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b/>
          <w:color w:val="1565C0"/>
          <w:sz w:val="36"/>
        </w:rPr>
        <w:t>Yahoo + DSP Display — Geo Incrementality Test Design</w:t>
      </w:r>
    </w:p>
    <w:p>
      <w:pPr>
        <w:spacing w:after="280"/>
      </w:pPr>
      <w:r>
        <w:rPr>
          <w:color w:val="555555"/>
          <w:sz w:val="22"/>
        </w:rPr>
        <w:t>Matched Market Test (MMT)  |  3-Cell Design  |  MDF-1629</w:t>
      </w:r>
    </w:p>
    <w:p>
      <w:pPr>
        <w:pStyle w:val="Heading1"/>
        <w:spacing w:before="280" w:after="80"/>
      </w:pPr>
      <w:r>
        <w:rPr>
          <w:b/>
          <w:color w:val="1A1A2E"/>
          <w:sz w:val="30"/>
        </w:rPr>
        <w:t>What We're Testing</w:t>
      </w:r>
    </w:p>
    <w:p>
      <w:pPr>
        <w:spacing w:after="120"/>
      </w:pPr>
      <w:r>
        <w:rPr>
          <w:sz w:val="22"/>
        </w:rPr>
        <w:t>Whether running Yahoo display ads and DSP (Scope3) display ads in select U.S. markets drives more enrollments to Chime. The two partners are tested independently against the same control group, allowing us to measure the incremental lift of each channel separately.</w:t>
      </w:r>
    </w:p>
    <w:p>
      <w:pPr>
        <w:pStyle w:val="Heading1"/>
        <w:spacing w:before="280" w:after="80"/>
      </w:pPr>
      <w:r>
        <w:rPr>
          <w:b/>
          <w:color w:val="1A1A2E"/>
          <w:sz w:val="30"/>
        </w:rPr>
        <w:t>Test Design</w:t>
      </w:r>
    </w:p>
    <w:p>
      <w:pPr>
        <w:pStyle w:val="ListBullet"/>
        <w:spacing w:after="60"/>
        <w:ind w:left="432"/>
      </w:pPr>
      <w:r>
        <w:rPr>
          <w:sz w:val="22"/>
        </w:rPr>
        <w:t>10 Yahoo Test markets → Yahoo display ads ON</w:t>
      </w:r>
    </w:p>
    <w:p>
      <w:pPr>
        <w:pStyle w:val="ListBullet"/>
        <w:spacing w:after="60"/>
        <w:ind w:left="432"/>
      </w:pPr>
      <w:r>
        <w:rPr>
          <w:sz w:val="22"/>
        </w:rPr>
        <w:t>10 DSP (Scope3) Test markets → DSP display ads ON</w:t>
      </w:r>
    </w:p>
    <w:p>
      <w:pPr>
        <w:pStyle w:val="ListBullet"/>
        <w:spacing w:after="60"/>
        <w:ind w:left="432"/>
      </w:pPr>
      <w:r>
        <w:rPr>
          <w:sz w:val="22"/>
        </w:rPr>
        <w:t>10 Control markets → no display ads from either partner</w:t>
      </w:r>
    </w:p>
    <w:p>
      <w:pPr>
        <w:pStyle w:val="ListBullet"/>
        <w:spacing w:after="60"/>
        <w:ind w:left="432"/>
      </w:pPr>
      <w:r>
        <w:rPr>
          <w:sz w:val="22"/>
        </w:rPr>
        <w:t>Enrollments are compared within each matched triplet to estimate incremental lift driven by each partner's display spend</w:t>
      </w:r>
    </w:p>
    <w:p>
      <w:pPr>
        <w:pStyle w:val="Heading1"/>
        <w:spacing w:before="280" w:after="80"/>
      </w:pPr>
      <w:r>
        <w:rPr>
          <w:b/>
          <w:color w:val="1A1A2E"/>
          <w:sz w:val="30"/>
        </w:rPr>
        <w:t>Market Selection</w:t>
      </w:r>
    </w:p>
    <w:p>
      <w:pPr>
        <w:pStyle w:val="ListBullet"/>
        <w:spacing w:after="60"/>
        <w:ind w:left="432"/>
      </w:pPr>
      <w:r>
        <w:rPr>
          <w:sz w:val="22"/>
        </w:rPr>
        <w:t>Excluded the 26 largest U.S. DMAs (too dominant — would skew results) and the 50 smallest markets (too few enrollments to detect meaningful lift)</w:t>
      </w:r>
    </w:p>
    <w:p>
      <w:pPr>
        <w:pStyle w:val="ListBullet"/>
        <w:spacing w:after="60"/>
        <w:ind w:left="432"/>
      </w:pPr>
      <w:r>
        <w:rPr>
          <w:sz w:val="22"/>
        </w:rPr>
        <w:t>Excluded 20 additional DMAs already running in active geo tests</w:t>
      </w:r>
    </w:p>
    <w:p>
      <w:pPr>
        <w:pStyle w:val="ListBullet"/>
        <w:spacing w:after="60"/>
        <w:ind w:left="432"/>
      </w:pPr>
      <w:r>
        <w:rPr>
          <w:sz w:val="22"/>
        </w:rPr>
        <w:t>Matched each Yahoo market with a similar DSP market and a Control market into a "triplet" — matched on historical weekly enrollment volume and trend correlation (Feb 2025 – Apr 2026)</w:t>
      </w:r>
    </w:p>
    <w:p>
      <w:pPr>
        <w:pStyle w:val="ListBullet"/>
        <w:spacing w:after="60"/>
        <w:ind w:left="432"/>
      </w:pPr>
      <w:r>
        <w:rPr>
          <w:sz w:val="22"/>
        </w:rPr>
        <w:t>Cell assignment within each triplet done to maximise enrollment balance across all three cells</w:t>
      </w:r>
    </w:p>
    <w:p>
      <w:pPr>
        <w:pStyle w:val="Heading1"/>
        <w:spacing w:before="280" w:after="80"/>
      </w:pPr>
      <w:r>
        <w:rPr>
          <w:b/>
          <w:color w:val="1A1A2E"/>
          <w:sz w:val="30"/>
        </w:rPr>
        <w:t>Matched Markets</w:t>
      </w:r>
    </w:p>
    <w:p>
      <w:pPr>
        <w:spacing w:after="160"/>
      </w:pPr>
      <w:r>
        <w:rPr>
          <w:sz w:val="22"/>
        </w:rPr>
        <w:t>Each row is a matched triplet. Ads run only in Yahoo Test and DSP Test markets; Control markets receive no display spend from either partner.</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val="clear" w:color="auto" w:fill="1565C0"/>
            <w:vAlign w:val="center"/>
          </w:tcPr>
          <w:p>
            <w:pPr>
              <w:jc w:val="center"/>
            </w:pPr>
            <w:r>
              <w:rPr>
                <w:b/>
                <w:color w:val="FFFFFF"/>
                <w:sz w:val="20"/>
              </w:rPr>
              <w:t>Yahoo Test (ads ON)</w:t>
            </w:r>
          </w:p>
        </w:tc>
        <w:tc>
          <w:tcPr>
            <w:tcW w:type="dxa" w:w="2880"/>
            <w:shd w:val="clear" w:color="auto" w:fill="E65100"/>
            <w:vAlign w:val="center"/>
          </w:tcPr>
          <w:p>
            <w:pPr>
              <w:jc w:val="center"/>
            </w:pPr>
            <w:r>
              <w:rPr>
                <w:b/>
                <w:color w:val="FFFFFF"/>
                <w:sz w:val="20"/>
              </w:rPr>
              <w:t>DSP (Scope3) Test (ads ON)</w:t>
            </w:r>
          </w:p>
        </w:tc>
        <w:tc>
          <w:tcPr>
            <w:tcW w:type="dxa" w:w="2880"/>
            <w:shd w:val="clear" w:color="auto" w:fill="2E7D32"/>
            <w:vAlign w:val="center"/>
          </w:tcPr>
          <w:p>
            <w:pPr>
              <w:jc w:val="center"/>
            </w:pPr>
            <w:r>
              <w:rPr>
                <w:b/>
                <w:color w:val="FFFFFF"/>
                <w:sz w:val="20"/>
              </w:rPr>
              <w:t>Control Holdout (ads OFF)</w:t>
            </w:r>
          </w:p>
        </w:tc>
      </w:tr>
      <w:tr>
        <w:tc>
          <w:tcPr>
            <w:tcW w:type="dxa" w:w="2880"/>
            <w:shd w:val="clear" w:color="auto" w:fill="F5F8FF"/>
            <w:vAlign w:val="center"/>
          </w:tcPr>
          <w:p>
            <w:pPr>
              <w:jc w:val="left"/>
            </w:pPr>
            <w:r>
              <w:rPr>
                <w:sz w:val="20"/>
              </w:rPr>
              <w:t>Tampa-St. Petersburg-Sarasota, FL</w:t>
            </w:r>
          </w:p>
        </w:tc>
        <w:tc>
          <w:tcPr>
            <w:tcW w:type="dxa" w:w="2880"/>
            <w:shd w:val="clear" w:color="auto" w:fill="F5F8FF"/>
            <w:vAlign w:val="center"/>
          </w:tcPr>
          <w:p>
            <w:pPr>
              <w:jc w:val="left"/>
            </w:pPr>
            <w:r>
              <w:rPr>
                <w:sz w:val="20"/>
              </w:rPr>
              <w:t>Washington, DC</w:t>
            </w:r>
          </w:p>
        </w:tc>
        <w:tc>
          <w:tcPr>
            <w:tcW w:type="dxa" w:w="2880"/>
            <w:shd w:val="clear" w:color="auto" w:fill="F5F8FF"/>
            <w:vAlign w:val="center"/>
          </w:tcPr>
          <w:p>
            <w:pPr>
              <w:jc w:val="left"/>
            </w:pPr>
            <w:r>
              <w:rPr>
                <w:sz w:val="20"/>
              </w:rPr>
              <w:t>Orlando-Daytona Beach-Melbourne, FL</w:t>
            </w:r>
          </w:p>
        </w:tc>
      </w:tr>
      <w:tr>
        <w:tc>
          <w:tcPr>
            <w:tcW w:type="dxa" w:w="2880"/>
            <w:shd w:val="clear" w:color="auto" w:fill="FFFFFF"/>
            <w:vAlign w:val="center"/>
          </w:tcPr>
          <w:p>
            <w:pPr>
              <w:jc w:val="left"/>
            </w:pPr>
            <w:r>
              <w:rPr>
                <w:sz w:val="20"/>
              </w:rPr>
              <w:t>Flint-Saginaw, MI</w:t>
            </w:r>
          </w:p>
        </w:tc>
        <w:tc>
          <w:tcPr>
            <w:tcW w:type="dxa" w:w="2880"/>
            <w:shd w:val="clear" w:color="auto" w:fill="FFFFFF"/>
            <w:vAlign w:val="center"/>
          </w:tcPr>
          <w:p>
            <w:pPr>
              <w:jc w:val="left"/>
            </w:pPr>
            <w:r>
              <w:rPr>
                <w:sz w:val="20"/>
              </w:rPr>
              <w:t>Columbia, SC</w:t>
            </w:r>
          </w:p>
        </w:tc>
        <w:tc>
          <w:tcPr>
            <w:tcW w:type="dxa" w:w="2880"/>
            <w:shd w:val="clear" w:color="auto" w:fill="FFFFFF"/>
            <w:vAlign w:val="center"/>
          </w:tcPr>
          <w:p>
            <w:pPr>
              <w:jc w:val="left"/>
            </w:pPr>
            <w:r>
              <w:rPr>
                <w:sz w:val="20"/>
              </w:rPr>
              <w:t>La Crosse-Eau Claire, WI</w:t>
            </w:r>
          </w:p>
        </w:tc>
      </w:tr>
      <w:tr>
        <w:tc>
          <w:tcPr>
            <w:tcW w:type="dxa" w:w="2880"/>
            <w:shd w:val="clear" w:color="auto" w:fill="F5F8FF"/>
            <w:vAlign w:val="center"/>
          </w:tcPr>
          <w:p>
            <w:pPr>
              <w:jc w:val="left"/>
            </w:pPr>
            <w:r>
              <w:rPr>
                <w:sz w:val="20"/>
              </w:rPr>
              <w:t>Wichita-Hutchinson, KS</w:t>
            </w:r>
          </w:p>
        </w:tc>
        <w:tc>
          <w:tcPr>
            <w:tcW w:type="dxa" w:w="2880"/>
            <w:shd w:val="clear" w:color="auto" w:fill="F5F8FF"/>
            <w:vAlign w:val="center"/>
          </w:tcPr>
          <w:p>
            <w:pPr>
              <w:jc w:val="left"/>
            </w:pPr>
            <w:r>
              <w:rPr>
                <w:sz w:val="20"/>
              </w:rPr>
              <w:t>Greenville-New Bern-Washington, NC</w:t>
            </w:r>
          </w:p>
        </w:tc>
        <w:tc>
          <w:tcPr>
            <w:tcW w:type="dxa" w:w="2880"/>
            <w:shd w:val="clear" w:color="auto" w:fill="F5F8FF"/>
            <w:vAlign w:val="center"/>
          </w:tcPr>
          <w:p>
            <w:pPr>
              <w:jc w:val="left"/>
            </w:pPr>
            <w:r>
              <w:rPr>
                <w:sz w:val="20"/>
              </w:rPr>
              <w:t>Waco-Temple-Bryan, TX</w:t>
            </w:r>
          </w:p>
        </w:tc>
      </w:tr>
      <w:tr>
        <w:tc>
          <w:tcPr>
            <w:tcW w:type="dxa" w:w="2880"/>
            <w:shd w:val="clear" w:color="auto" w:fill="FFFFFF"/>
            <w:vAlign w:val="center"/>
          </w:tcPr>
          <w:p>
            <w:pPr>
              <w:jc w:val="left"/>
            </w:pPr>
            <w:r>
              <w:rPr>
                <w:sz w:val="20"/>
              </w:rPr>
              <w:t>Lincoln-Hastings-Kearney, NE</w:t>
            </w:r>
          </w:p>
        </w:tc>
        <w:tc>
          <w:tcPr>
            <w:tcW w:type="dxa" w:w="2880"/>
            <w:shd w:val="clear" w:color="auto" w:fill="FFFFFF"/>
            <w:vAlign w:val="center"/>
          </w:tcPr>
          <w:p>
            <w:pPr>
              <w:jc w:val="left"/>
            </w:pPr>
            <w:r>
              <w:rPr>
                <w:sz w:val="20"/>
              </w:rPr>
              <w:t>Hartford-New Haven, CT</w:t>
            </w:r>
          </w:p>
        </w:tc>
        <w:tc>
          <w:tcPr>
            <w:tcW w:type="dxa" w:w="2880"/>
            <w:shd w:val="clear" w:color="auto" w:fill="FFFFFF"/>
            <w:vAlign w:val="center"/>
          </w:tcPr>
          <w:p>
            <w:pPr>
              <w:jc w:val="left"/>
            </w:pPr>
            <w:r>
              <w:rPr>
                <w:sz w:val="20"/>
              </w:rPr>
              <w:t>Salt Lake City, UT</w:t>
            </w:r>
          </w:p>
        </w:tc>
      </w:tr>
      <w:tr>
        <w:tc>
          <w:tcPr>
            <w:tcW w:type="dxa" w:w="2880"/>
            <w:shd w:val="clear" w:color="auto" w:fill="F5F8FF"/>
            <w:vAlign w:val="center"/>
          </w:tcPr>
          <w:p>
            <w:pPr>
              <w:jc w:val="left"/>
            </w:pPr>
            <w:r>
              <w:rPr>
                <w:sz w:val="20"/>
              </w:rPr>
              <w:t>Tri-Cities, TN/VA</w:t>
            </w:r>
          </w:p>
        </w:tc>
        <w:tc>
          <w:tcPr>
            <w:tcW w:type="dxa" w:w="2880"/>
            <w:shd w:val="clear" w:color="auto" w:fill="F5F8FF"/>
            <w:vAlign w:val="center"/>
          </w:tcPr>
          <w:p>
            <w:pPr>
              <w:jc w:val="left"/>
            </w:pPr>
            <w:r>
              <w:rPr>
                <w:sz w:val="20"/>
              </w:rPr>
              <w:t>Tyler-Longview, TX</w:t>
            </w:r>
          </w:p>
        </w:tc>
        <w:tc>
          <w:tcPr>
            <w:tcW w:type="dxa" w:w="2880"/>
            <w:shd w:val="clear" w:color="auto" w:fill="F5F8FF"/>
            <w:vAlign w:val="center"/>
          </w:tcPr>
          <w:p>
            <w:pPr>
              <w:jc w:val="left"/>
            </w:pPr>
            <w:r>
              <w:rPr>
                <w:sz w:val="20"/>
              </w:rPr>
              <w:t>Spokane, WA</w:t>
            </w:r>
          </w:p>
        </w:tc>
      </w:tr>
      <w:tr>
        <w:tc>
          <w:tcPr>
            <w:tcW w:type="dxa" w:w="2880"/>
            <w:shd w:val="clear" w:color="auto" w:fill="FFFFFF"/>
            <w:vAlign w:val="center"/>
          </w:tcPr>
          <w:p>
            <w:pPr>
              <w:jc w:val="left"/>
            </w:pPr>
            <w:r>
              <w:rPr>
                <w:sz w:val="20"/>
              </w:rPr>
              <w:t>Tulsa, OK</w:t>
            </w:r>
          </w:p>
        </w:tc>
        <w:tc>
          <w:tcPr>
            <w:tcW w:type="dxa" w:w="2880"/>
            <w:shd w:val="clear" w:color="auto" w:fill="FFFFFF"/>
            <w:vAlign w:val="center"/>
          </w:tcPr>
          <w:p>
            <w:pPr>
              <w:jc w:val="left"/>
            </w:pPr>
            <w:r>
              <w:rPr>
                <w:sz w:val="20"/>
              </w:rPr>
              <w:t>Biloxi-Gulfport-Pascagoula, MS</w:t>
            </w:r>
          </w:p>
        </w:tc>
        <w:tc>
          <w:tcPr>
            <w:tcW w:type="dxa" w:w="2880"/>
            <w:shd w:val="clear" w:color="auto" w:fill="FFFFFF"/>
            <w:vAlign w:val="center"/>
          </w:tcPr>
          <w:p>
            <w:pPr>
              <w:jc w:val="left"/>
            </w:pPr>
            <w:r>
              <w:rPr>
                <w:sz w:val="20"/>
              </w:rPr>
              <w:t>Ft. Wayne, IN</w:t>
            </w:r>
          </w:p>
        </w:tc>
      </w:tr>
      <w:tr>
        <w:tc>
          <w:tcPr>
            <w:tcW w:type="dxa" w:w="2880"/>
            <w:shd w:val="clear" w:color="auto" w:fill="F5F8FF"/>
            <w:vAlign w:val="center"/>
          </w:tcPr>
          <w:p>
            <w:pPr>
              <w:jc w:val="left"/>
            </w:pPr>
            <w:r>
              <w:rPr>
                <w:sz w:val="20"/>
              </w:rPr>
              <w:t>Laredo, TX</w:t>
            </w:r>
          </w:p>
        </w:tc>
        <w:tc>
          <w:tcPr>
            <w:tcW w:type="dxa" w:w="2880"/>
            <w:shd w:val="clear" w:color="auto" w:fill="F5F8FF"/>
            <w:vAlign w:val="center"/>
          </w:tcPr>
          <w:p>
            <w:pPr>
              <w:jc w:val="left"/>
            </w:pPr>
            <w:r>
              <w:rPr>
                <w:sz w:val="20"/>
              </w:rPr>
              <w:t>Huntsville-Decatur, AL</w:t>
            </w:r>
          </w:p>
        </w:tc>
        <w:tc>
          <w:tcPr>
            <w:tcW w:type="dxa" w:w="2880"/>
            <w:shd w:val="clear" w:color="auto" w:fill="F5F8FF"/>
            <w:vAlign w:val="center"/>
          </w:tcPr>
          <w:p>
            <w:pPr>
              <w:jc w:val="left"/>
            </w:pPr>
            <w:r>
              <w:rPr>
                <w:sz w:val="20"/>
              </w:rPr>
              <w:t>Amarillo, TX</w:t>
            </w:r>
          </w:p>
        </w:tc>
      </w:tr>
      <w:tr>
        <w:tc>
          <w:tcPr>
            <w:tcW w:type="dxa" w:w="2880"/>
            <w:shd w:val="clear" w:color="auto" w:fill="FFFFFF"/>
            <w:vAlign w:val="center"/>
          </w:tcPr>
          <w:p>
            <w:pPr>
              <w:jc w:val="left"/>
            </w:pPr>
            <w:r>
              <w:rPr>
                <w:sz w:val="20"/>
              </w:rPr>
              <w:t>Medford-Klamath Falls, OR</w:t>
            </w:r>
          </w:p>
        </w:tc>
        <w:tc>
          <w:tcPr>
            <w:tcW w:type="dxa" w:w="2880"/>
            <w:shd w:val="clear" w:color="auto" w:fill="FFFFFF"/>
            <w:vAlign w:val="center"/>
          </w:tcPr>
          <w:p>
            <w:pPr>
              <w:jc w:val="left"/>
            </w:pPr>
            <w:r>
              <w:rPr>
                <w:sz w:val="20"/>
              </w:rPr>
              <w:t>Wichita Falls, TX-Lawton, OK</w:t>
            </w:r>
          </w:p>
        </w:tc>
        <w:tc>
          <w:tcPr>
            <w:tcW w:type="dxa" w:w="2880"/>
            <w:shd w:val="clear" w:color="auto" w:fill="FFFFFF"/>
            <w:vAlign w:val="center"/>
          </w:tcPr>
          <w:p>
            <w:pPr>
              <w:jc w:val="left"/>
            </w:pPr>
            <w:r>
              <w:rPr>
                <w:sz w:val="20"/>
              </w:rPr>
              <w:t>Davenport-Rock Island-Moline, IL/IA</w:t>
            </w:r>
          </w:p>
        </w:tc>
      </w:tr>
      <w:tr>
        <w:tc>
          <w:tcPr>
            <w:tcW w:type="dxa" w:w="2880"/>
            <w:shd w:val="clear" w:color="auto" w:fill="F5F8FF"/>
            <w:vAlign w:val="center"/>
          </w:tcPr>
          <w:p>
            <w:pPr>
              <w:jc w:val="left"/>
            </w:pPr>
            <w:r>
              <w:rPr>
                <w:sz w:val="20"/>
              </w:rPr>
              <w:t>Chico-Redding, CA</w:t>
            </w:r>
          </w:p>
        </w:tc>
        <w:tc>
          <w:tcPr>
            <w:tcW w:type="dxa" w:w="2880"/>
            <w:shd w:val="clear" w:color="auto" w:fill="F5F8FF"/>
            <w:vAlign w:val="center"/>
          </w:tcPr>
          <w:p>
            <w:pPr>
              <w:jc w:val="left"/>
            </w:pPr>
            <w:r>
              <w:rPr>
                <w:sz w:val="20"/>
              </w:rPr>
              <w:t>Huntington-Charleston, WV</w:t>
            </w:r>
          </w:p>
        </w:tc>
        <w:tc>
          <w:tcPr>
            <w:tcW w:type="dxa" w:w="2880"/>
            <w:shd w:val="clear" w:color="auto" w:fill="F5F8FF"/>
            <w:vAlign w:val="center"/>
          </w:tcPr>
          <w:p>
            <w:pPr>
              <w:jc w:val="left"/>
            </w:pPr>
            <w:r>
              <w:rPr>
                <w:sz w:val="20"/>
              </w:rPr>
              <w:t>Fargo-Valley City, ND</w:t>
            </w:r>
          </w:p>
        </w:tc>
      </w:tr>
      <w:tr>
        <w:tc>
          <w:tcPr>
            <w:tcW w:type="dxa" w:w="2880"/>
            <w:shd w:val="clear" w:color="auto" w:fill="FFFFFF"/>
            <w:vAlign w:val="center"/>
          </w:tcPr>
          <w:p>
            <w:pPr>
              <w:jc w:val="left"/>
            </w:pPr>
            <w:r>
              <w:rPr>
                <w:sz w:val="20"/>
              </w:rPr>
              <w:t>Springfield-Holyoke, MA</w:t>
            </w:r>
          </w:p>
        </w:tc>
        <w:tc>
          <w:tcPr>
            <w:tcW w:type="dxa" w:w="2880"/>
            <w:shd w:val="clear" w:color="auto" w:fill="FFFFFF"/>
            <w:vAlign w:val="center"/>
          </w:tcPr>
          <w:p>
            <w:pPr>
              <w:jc w:val="left"/>
            </w:pPr>
            <w:r>
              <w:rPr>
                <w:sz w:val="20"/>
              </w:rPr>
              <w:t>Palm Springs, CA</w:t>
            </w:r>
          </w:p>
        </w:tc>
        <w:tc>
          <w:tcPr>
            <w:tcW w:type="dxa" w:w="2880"/>
            <w:shd w:val="clear" w:color="auto" w:fill="FFFFFF"/>
            <w:vAlign w:val="center"/>
          </w:tcPr>
          <w:p>
            <w:pPr>
              <w:jc w:val="left"/>
            </w:pPr>
            <w:r>
              <w:rPr>
                <w:sz w:val="20"/>
              </w:rPr>
              <w:t>Duluth, MN-Superior, WI</w:t>
            </w:r>
          </w:p>
        </w:tc>
      </w:tr>
    </w:tbl>
    <w:p/>
    <w:p>
      <w:pPr>
        <w:pStyle w:val="Heading1"/>
        <w:spacing w:before="280" w:after="80"/>
      </w:pPr>
      <w:r>
        <w:rPr>
          <w:b/>
          <w:color w:val="1A1A2E"/>
          <w:sz w:val="30"/>
        </w:rPr>
        <w:t>Pre-Test Validation</w:t>
      </w:r>
    </w:p>
    <w:p>
      <w:pPr>
        <w:spacing w:after="120"/>
      </w:pPr>
      <w:r>
        <w:rPr>
          <w:sz w:val="22"/>
        </w:rPr>
        <w:t>Test and control markets show strong alignment in weekly enrollments over the pre-period (Feb 2025 – Apr 2026). Each triplet was selected to maximise the week-to-week correlation between its three markets, giving confidence that any divergence during the campaign can be attributed to the ads. The chart below shows the enrollment profile across matched markets — overlapping lines confirm tight matching.</w:t>
      </w:r>
    </w:p>
    <w:p>
      <w:pPr>
        <w:jc w:val="center"/>
      </w:pPr>
      <w:r>
        <w:drawing>
          <wp:inline xmlns:a="http://schemas.openxmlformats.org/drawingml/2006/main" xmlns:pic="http://schemas.openxmlformats.org/drawingml/2006/picture">
            <wp:extent cx="5669280" cy="1984248"/>
            <wp:docPr id="1" name="Picture 1"/>
            <wp:cNvGraphicFramePr>
              <a:graphicFrameLocks noChangeAspect="1"/>
            </wp:cNvGraphicFramePr>
            <a:graphic>
              <a:graphicData uri="http://schemas.openxmlformats.org/drawingml/2006/picture">
                <pic:pic>
                  <pic:nvPicPr>
                    <pic:cNvPr id="0" name="mmt_balance_power.png"/>
                    <pic:cNvPicPr/>
                  </pic:nvPicPr>
                  <pic:blipFill>
                    <a:blip r:embed="rId9"/>
                    <a:stretch>
                      <a:fillRect/>
                    </a:stretch>
                  </pic:blipFill>
                  <pic:spPr>
                    <a:xfrm>
                      <a:off x="0" y="0"/>
                      <a:ext cx="5669280" cy="1984248"/>
                    </a:xfrm>
                    <a:prstGeom prst="rect"/>
                  </pic:spPr>
                </pic:pic>
              </a:graphicData>
            </a:graphic>
          </wp:inline>
        </w:drawing>
      </w:r>
    </w:p>
    <w:p>
      <w:pPr>
        <w:spacing w:after="200"/>
        <w:jc w:val="center"/>
      </w:pPr>
      <w:r>
        <w:rPr>
          <w:i/>
          <w:color w:val="555555"/>
          <w:sz w:val="18"/>
        </w:rPr>
        <w:t>Fig 1: Left — weekly enrollment trend by cell. Centre — DMA enrollment profile (overlapping lines = good match). Right — minimum detectable effect vs. test duration.</w:t>
      </w:r>
    </w:p>
    <w:p>
      <w:pPr>
        <w:pStyle w:val="Heading1"/>
        <w:spacing w:before="280" w:after="80"/>
      </w:pPr>
      <w:r>
        <w:rPr>
          <w:b/>
          <w:color w:val="1A1A2E"/>
          <w:sz w:val="30"/>
        </w:rPr>
        <w:t>Test Recommendation</w:t>
      </w:r>
    </w:p>
    <w:p>
      <w:pPr>
        <w:spacing w:after="120"/>
      </w:pPr>
      <w:r>
        <w:rPr>
          <w:sz w:val="22"/>
        </w:rPr>
        <w:t>We recommend concentrating the $300K budget per partner into a 3-week flight. Concentrating spend into fewer weeks produces a stronger weekly signal, which is easier to detect against normal week-to-week market fluctuations. Spreading the same budget over 4–6 weeks weakens the detectable signal and reduces our confidence in the result.</w:t>
      </w:r>
    </w:p>
    <w:p>
      <w:pPr>
        <w:pStyle w:val="ListBullet"/>
        <w:spacing w:after="60"/>
        <w:ind w:left="432"/>
      </w:pPr>
      <w:r>
        <w:rPr>
          <w:b/>
          <w:sz w:val="22"/>
        </w:rPr>
        <w:t xml:space="preserve">Recommended flight duration: </w:t>
      </w:r>
      <w:r>
        <w:rPr>
          <w:sz w:val="22"/>
        </w:rPr>
        <w:t>3 weeks</w:t>
      </w:r>
    </w:p>
    <w:p>
      <w:pPr>
        <w:pStyle w:val="ListBullet"/>
        <w:spacing w:after="60"/>
        <w:ind w:left="432"/>
      </w:pPr>
      <w:r>
        <w:rPr>
          <w:b/>
          <w:sz w:val="22"/>
        </w:rPr>
        <w:t xml:space="preserve">Budget: </w:t>
      </w:r>
      <w:r>
        <w:rPr>
          <w:sz w:val="22"/>
        </w:rPr>
        <w:t>$300K per partner</w:t>
      </w:r>
    </w:p>
    <w:p>
      <w:pPr>
        <w:pStyle w:val="ListBullet"/>
        <w:spacing w:after="60"/>
        <w:ind w:left="432"/>
      </w:pPr>
      <w:r>
        <w:rPr>
          <w:b/>
          <w:sz w:val="22"/>
        </w:rPr>
        <w:t xml:space="preserve">Assumed iCPE: </w:t>
      </w:r>
      <w:r>
        <w:rPr>
          <w:sz w:val="22"/>
        </w:rPr>
        <w:t>$400</w:t>
      </w:r>
    </w:p>
    <w:p>
      <w:pPr>
        <w:pStyle w:val="ListBullet"/>
        <w:spacing w:after="60"/>
        <w:ind w:left="432"/>
      </w:pPr>
      <w:r>
        <w:rPr>
          <w:b/>
          <w:sz w:val="22"/>
        </w:rPr>
        <w:t xml:space="preserve">Expected incremental enrollments: </w:t>
      </w:r>
      <w:r>
        <w:rPr>
          <w:sz w:val="22"/>
        </w:rPr>
        <w:t>~750 per partner</w:t>
      </w:r>
    </w:p>
    <w:p>
      <w:pPr>
        <w:pStyle w:val="ListBullet"/>
        <w:spacing w:after="60"/>
        <w:ind w:left="432"/>
      </w:pPr>
      <w:r>
        <w:rPr>
          <w:b/>
          <w:sz w:val="22"/>
        </w:rPr>
        <w:t xml:space="preserve">Spend pacing: </w:t>
      </w:r>
      <w:r>
        <w:rPr>
          <w:sz w:val="22"/>
        </w:rPr>
        <w:t>~$10K per market per week</w:t>
      </w:r>
    </w:p>
    <w:p>
      <w:pPr>
        <w:pStyle w:val="ListBullet"/>
        <w:spacing w:after="60"/>
        <w:ind w:left="432"/>
      </w:pPr>
      <w:r>
        <w:rPr>
          <w:b/>
          <w:sz w:val="22"/>
        </w:rPr>
        <w:t xml:space="preserve">Lift this budget is expected to drive: </w:t>
      </w:r>
      <w:r>
        <w:rPr>
          <w:sz w:val="22"/>
        </w:rPr>
        <w:t>~4%</w:t>
      </w:r>
    </w:p>
    <w:p>
      <w:pPr>
        <w:pStyle w:val="ListBullet"/>
        <w:spacing w:after="60"/>
        <w:ind w:left="432"/>
      </w:pPr>
      <w:r>
        <w:rPr>
          <w:b/>
          <w:sz w:val="22"/>
        </w:rPr>
        <w:t xml:space="preserve">Statistical power: </w:t>
      </w:r>
      <w:r>
        <w:rPr>
          <w:sz w:val="22"/>
        </w:rPr>
        <w:t>~70% for both Yahoo and DSP</w:t>
      </w:r>
    </w:p>
    <w:p>
      <w:pPr>
        <w:pStyle w:val="ListBullet"/>
        <w:spacing w:after="60"/>
        <w:ind w:left="432"/>
      </w:pPr>
      <w:r>
        <w:rPr>
          <w:b/>
          <w:sz w:val="22"/>
        </w:rPr>
        <w:t xml:space="preserve">Flight structure: </w:t>
      </w:r>
      <w:r>
        <w:rPr>
          <w:sz w:val="22"/>
        </w:rPr>
        <w:t>Week 1 allows the campaigns to exit the platform learning phase; Weeks 2–3 are the primary measurement window</w:t>
      </w:r>
    </w:p>
    <w:p/>
    <w:p>
      <w:pPr>
        <w:spacing w:before="160"/>
        <w:ind w:left="0"/>
      </w:pPr>
      <w:r>
        <w:rPr>
          <w:b/>
          <w:sz w:val="20"/>
        </w:rPr>
        <w:t xml:space="preserve">Note: </w:t>
      </w:r>
      <w:r>
        <w:rPr>
          <w:color w:val="444444"/>
          <w:sz w:val="20"/>
        </w:rPr>
        <w:t>Expected incremental enrollments are the same for both partners ($300K ÷ $400 iCPE = 750) and are held equal by design. Actual results will depend on delivery, true iCPE, and whether ads reach incremental audiences in each market.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