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237E"/>
          <w:sz w:val="36"/>
        </w:rPr>
        <w:t>Creator Pulse Test — Weekly Spend Schedule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296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Week of</w:t>
            </w:r>
          </w:p>
        </w:tc>
        <w:tc>
          <w:tcPr>
            <w:tcW w:type="dxa" w:w="1440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type="dxa" w:w="1440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 Spend</w:t>
            </w:r>
          </w:p>
        </w:tc>
        <w:tc>
          <w:tcPr>
            <w:tcW w:type="dxa" w:w="1296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IO NES</w:t>
            </w:r>
          </w:p>
        </w:tc>
        <w:tc>
          <w:tcPr>
            <w:tcW w:type="dxa" w:w="1296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Non-Incr.</w:t>
            </w:r>
          </w:p>
        </w:tc>
        <w:tc>
          <w:tcPr>
            <w:tcW w:type="dxa" w:w="2880"/>
            <w:shd w:val="clear" w:color="auto" w:fill="1A237E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296"/>
            <w:shd w:val="clear" w:color="auto" w:fill="BBDE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June 1</w:t>
            </w:r>
          </w:p>
        </w:tc>
        <w:tc>
          <w:tcPr>
            <w:tcW w:type="dxa" w:w="1440"/>
            <w:shd w:val="clear" w:color="auto" w:fill="BBDEFB"/>
          </w:tcPr>
          <w:p>
            <w:pPr>
              <w:jc w:val="center"/>
            </w:pPr>
            <w:r/>
            <w:r>
              <w:rPr>
                <w:b/>
                <w:color w:val="1565C0"/>
                <w:sz w:val="20"/>
              </w:rPr>
              <w:t>Pre-period</w:t>
            </w:r>
          </w:p>
        </w:tc>
        <w:tc>
          <w:tcPr>
            <w:tcW w:type="dxa" w:w="1440"/>
            <w:shd w:val="clear" w:color="auto" w:fill="BBDEFB"/>
          </w:tcPr>
          <w:p>
            <w:pPr>
              <w:jc w:val="center"/>
            </w:pPr>
            <w:r/>
            <w:r>
              <w:rPr>
                <w:b/>
                <w:sz w:val="20"/>
              </w:rPr>
              <w:t>$200K</w:t>
            </w:r>
          </w:p>
        </w:tc>
        <w:tc>
          <w:tcPr>
            <w:tcW w:type="dxa" w:w="1296"/>
            <w:shd w:val="clear" w:color="auto" w:fill="BBDE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BBDE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  <w:shd w:val="clear" w:color="auto" w:fill="BBDE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shd w:val="clear" w:color="auto" w:fill="BBDE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June 8</w:t>
            </w:r>
          </w:p>
        </w:tc>
        <w:tc>
          <w:tcPr>
            <w:tcW w:type="dxa" w:w="1440"/>
            <w:shd w:val="clear" w:color="auto" w:fill="BBDEFB"/>
          </w:tcPr>
          <w:p>
            <w:pPr>
              <w:jc w:val="center"/>
            </w:pPr>
            <w:r/>
            <w:r>
              <w:rPr>
                <w:b/>
                <w:color w:val="1565C0"/>
                <w:sz w:val="20"/>
              </w:rPr>
              <w:t>Pre-period</w:t>
            </w:r>
          </w:p>
        </w:tc>
        <w:tc>
          <w:tcPr>
            <w:tcW w:type="dxa" w:w="1440"/>
            <w:shd w:val="clear" w:color="auto" w:fill="BBDEFB"/>
          </w:tcPr>
          <w:p>
            <w:pPr>
              <w:jc w:val="center"/>
            </w:pPr>
            <w:r/>
            <w:r>
              <w:rPr>
                <w:b/>
                <w:sz w:val="20"/>
              </w:rPr>
              <w:t>$200K</w:t>
            </w:r>
          </w:p>
        </w:tc>
        <w:tc>
          <w:tcPr>
            <w:tcW w:type="dxa" w:w="1296"/>
            <w:shd w:val="clear" w:color="auto" w:fill="BBDE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BBDE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  <w:shd w:val="clear" w:color="auto" w:fill="BBDE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shd w:val="clear" w:color="auto" w:fill="BBDE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June 15</w:t>
            </w:r>
          </w:p>
        </w:tc>
        <w:tc>
          <w:tcPr>
            <w:tcW w:type="dxa" w:w="1440"/>
            <w:shd w:val="clear" w:color="auto" w:fill="BBDEFB"/>
          </w:tcPr>
          <w:p>
            <w:pPr>
              <w:jc w:val="center"/>
            </w:pPr>
            <w:r/>
            <w:r>
              <w:rPr>
                <w:b/>
                <w:color w:val="1565C0"/>
                <w:sz w:val="20"/>
              </w:rPr>
              <w:t>Pre-period</w:t>
            </w:r>
          </w:p>
        </w:tc>
        <w:tc>
          <w:tcPr>
            <w:tcW w:type="dxa" w:w="1440"/>
            <w:shd w:val="clear" w:color="auto" w:fill="BBDEFB"/>
          </w:tcPr>
          <w:p>
            <w:pPr>
              <w:jc w:val="center"/>
            </w:pPr>
            <w:r/>
            <w:r>
              <w:rPr>
                <w:b/>
                <w:sz w:val="20"/>
              </w:rPr>
              <w:t>$200K</w:t>
            </w:r>
          </w:p>
        </w:tc>
        <w:tc>
          <w:tcPr>
            <w:tcW w:type="dxa" w:w="1296"/>
            <w:shd w:val="clear" w:color="auto" w:fill="BBDE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BBDEFB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  <w:shd w:val="clear" w:color="auto" w:fill="BBDEFB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$600K total  |  $200K/wk incremental</w:t>
            </w:r>
          </w:p>
        </w:tc>
      </w:tr>
      <w:tr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June 22</w:t>
            </w:r>
          </w:p>
        </w:tc>
        <w:tc>
          <w:tcPr>
            <w:tcW w:type="dxa" w:w="1440"/>
            <w:shd w:val="clear" w:color="auto" w:fill="EEEEEE"/>
          </w:tcPr>
          <w:p>
            <w:pPr>
              <w:jc w:val="center"/>
            </w:pPr>
            <w:r/>
            <w:r>
              <w:rPr>
                <w:b/>
                <w:color w:val="424242"/>
                <w:sz w:val="20"/>
              </w:rPr>
              <w:t>Dark</w:t>
            </w:r>
          </w:p>
        </w:tc>
        <w:tc>
          <w:tcPr>
            <w:tcW w:type="dxa" w:w="1440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$0</w:t>
            </w:r>
          </w:p>
        </w:tc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  <w:shd w:val="clear" w:color="auto" w:fill="EEEE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June 29</w:t>
            </w:r>
          </w:p>
        </w:tc>
        <w:tc>
          <w:tcPr>
            <w:tcW w:type="dxa" w:w="1440"/>
            <w:shd w:val="clear" w:color="auto" w:fill="EEEEEE"/>
          </w:tcPr>
          <w:p>
            <w:pPr>
              <w:jc w:val="center"/>
            </w:pPr>
            <w:r/>
            <w:r>
              <w:rPr>
                <w:b/>
                <w:color w:val="424242"/>
                <w:sz w:val="20"/>
              </w:rPr>
              <w:t>Dark</w:t>
            </w:r>
          </w:p>
        </w:tc>
        <w:tc>
          <w:tcPr>
            <w:tcW w:type="dxa" w:w="1440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$0</w:t>
            </w:r>
          </w:p>
        </w:tc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  <w:shd w:val="clear" w:color="auto" w:fill="EEEE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July 6</w:t>
            </w:r>
          </w:p>
        </w:tc>
        <w:tc>
          <w:tcPr>
            <w:tcW w:type="dxa" w:w="1440"/>
            <w:shd w:val="clear" w:color="auto" w:fill="EEEEEE"/>
          </w:tcPr>
          <w:p>
            <w:pPr>
              <w:jc w:val="center"/>
            </w:pPr>
            <w:r/>
            <w:r>
              <w:rPr>
                <w:b/>
                <w:color w:val="424242"/>
                <w:sz w:val="20"/>
              </w:rPr>
              <w:t>Dark</w:t>
            </w:r>
          </w:p>
        </w:tc>
        <w:tc>
          <w:tcPr>
            <w:tcW w:type="dxa" w:w="1440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$0</w:t>
            </w:r>
          </w:p>
        </w:tc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  <w:shd w:val="clear" w:color="auto" w:fill="EEEE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July 12</w:t>
            </w:r>
          </w:p>
        </w:tc>
        <w:tc>
          <w:tcPr>
            <w:tcW w:type="dxa" w:w="1440"/>
            <w:shd w:val="clear" w:color="auto" w:fill="EEEEEE"/>
          </w:tcPr>
          <w:p>
            <w:pPr>
              <w:jc w:val="center"/>
            </w:pPr>
            <w:r/>
            <w:r>
              <w:rPr>
                <w:b/>
                <w:color w:val="424242"/>
                <w:sz w:val="20"/>
              </w:rPr>
              <w:t>Dark</w:t>
            </w:r>
          </w:p>
        </w:tc>
        <w:tc>
          <w:tcPr>
            <w:tcW w:type="dxa" w:w="1440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$0</w:t>
            </w:r>
          </w:p>
        </w:tc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EEEEEE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  <w:shd w:val="clear" w:color="auto" w:fill="EEEEE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weeks dark</w:t>
            </w:r>
          </w:p>
        </w:tc>
      </w:tr>
      <w:tr>
        <w:tc>
          <w:tcPr>
            <w:tcW w:type="dxa" w:w="1296"/>
            <w:shd w:val="clear" w:color="auto" w:fill="C8E6C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July 19</w:t>
            </w:r>
          </w:p>
        </w:tc>
        <w:tc>
          <w:tcPr>
            <w:tcW w:type="dxa" w:w="1440"/>
            <w:shd w:val="clear" w:color="auto" w:fill="C8E6C9"/>
          </w:tcPr>
          <w:p>
            <w:pPr>
              <w:jc w:val="center"/>
            </w:pPr>
            <w:r/>
            <w:r>
              <w:rPr>
                <w:b/>
                <w:color w:val="2E7D32"/>
                <w:sz w:val="20"/>
              </w:rPr>
              <w:t>Ramp</w:t>
            </w:r>
          </w:p>
        </w:tc>
        <w:tc>
          <w:tcPr>
            <w:tcW w:type="dxa" w:w="1440"/>
            <w:shd w:val="clear" w:color="auto" w:fill="C8E6C9"/>
          </w:tcPr>
          <w:p>
            <w:pPr>
              <w:jc w:val="center"/>
            </w:pPr>
            <w:r/>
            <w:r>
              <w:rPr>
                <w:b/>
                <w:sz w:val="20"/>
              </w:rPr>
              <w:t>$1M</w:t>
            </w:r>
          </w:p>
        </w:tc>
        <w:tc>
          <w:tcPr>
            <w:tcW w:type="dxa" w:w="1296"/>
            <w:shd w:val="clear" w:color="auto" w:fill="C8E6C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$0</w:t>
            </w:r>
          </w:p>
        </w:tc>
        <w:tc>
          <w:tcPr>
            <w:tcW w:type="dxa" w:w="1296"/>
            <w:shd w:val="clear" w:color="auto" w:fill="C8E6C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$1M</w:t>
            </w:r>
          </w:p>
        </w:tc>
        <w:tc>
          <w:tcPr>
            <w:tcW w:type="dxa" w:w="2880"/>
            <w:shd w:val="clear" w:color="auto" w:fill="C8E6C9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shd w:val="clear" w:color="auto" w:fill="C8E6C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July 26</w:t>
            </w:r>
          </w:p>
        </w:tc>
        <w:tc>
          <w:tcPr>
            <w:tcW w:type="dxa" w:w="1440"/>
            <w:shd w:val="clear" w:color="auto" w:fill="C8E6C9"/>
          </w:tcPr>
          <w:p>
            <w:pPr>
              <w:jc w:val="center"/>
            </w:pPr>
            <w:r/>
            <w:r>
              <w:rPr>
                <w:b/>
                <w:color w:val="2E7D32"/>
                <w:sz w:val="20"/>
              </w:rPr>
              <w:t>Ramp</w:t>
            </w:r>
          </w:p>
        </w:tc>
        <w:tc>
          <w:tcPr>
            <w:tcW w:type="dxa" w:w="1440"/>
            <w:shd w:val="clear" w:color="auto" w:fill="C8E6C9"/>
          </w:tcPr>
          <w:p>
            <w:pPr>
              <w:jc w:val="center"/>
            </w:pPr>
            <w:r/>
            <w:r>
              <w:rPr>
                <w:b/>
                <w:sz w:val="20"/>
              </w:rPr>
              <w:t>$1M</w:t>
            </w:r>
          </w:p>
        </w:tc>
        <w:tc>
          <w:tcPr>
            <w:tcW w:type="dxa" w:w="1296"/>
            <w:shd w:val="clear" w:color="auto" w:fill="C8E6C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$500K</w:t>
            </w:r>
          </w:p>
        </w:tc>
        <w:tc>
          <w:tcPr>
            <w:tcW w:type="dxa" w:w="1296"/>
            <w:shd w:val="clear" w:color="auto" w:fill="C8E6C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$500K</w:t>
            </w:r>
          </w:p>
        </w:tc>
        <w:tc>
          <w:tcPr>
            <w:tcW w:type="dxa" w:w="2880"/>
            <w:shd w:val="clear" w:color="auto" w:fill="C8E6C9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shd w:val="clear" w:color="auto" w:fill="C8E6C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Aug 3</w:t>
            </w:r>
          </w:p>
        </w:tc>
        <w:tc>
          <w:tcPr>
            <w:tcW w:type="dxa" w:w="1440"/>
            <w:shd w:val="clear" w:color="auto" w:fill="C8E6C9"/>
          </w:tcPr>
          <w:p>
            <w:pPr>
              <w:jc w:val="center"/>
            </w:pPr>
            <w:r/>
            <w:r>
              <w:rPr>
                <w:b/>
                <w:color w:val="2E7D32"/>
                <w:sz w:val="20"/>
              </w:rPr>
              <w:t>Ramp</w:t>
            </w:r>
          </w:p>
        </w:tc>
        <w:tc>
          <w:tcPr>
            <w:tcW w:type="dxa" w:w="1440"/>
            <w:shd w:val="clear" w:color="auto" w:fill="C8E6C9"/>
          </w:tcPr>
          <w:p>
            <w:pPr>
              <w:jc w:val="center"/>
            </w:pPr>
            <w:r/>
            <w:r>
              <w:rPr>
                <w:b/>
                <w:sz w:val="20"/>
              </w:rPr>
              <w:t>$1M</w:t>
            </w:r>
          </w:p>
        </w:tc>
        <w:tc>
          <w:tcPr>
            <w:tcW w:type="dxa" w:w="1296"/>
            <w:shd w:val="clear" w:color="auto" w:fill="C8E6C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$1M</w:t>
            </w:r>
          </w:p>
        </w:tc>
        <w:tc>
          <w:tcPr>
            <w:tcW w:type="dxa" w:w="1296"/>
            <w:shd w:val="clear" w:color="auto" w:fill="C8E6C9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$0</w:t>
            </w:r>
          </w:p>
        </w:tc>
        <w:tc>
          <w:tcPr>
            <w:tcW w:type="dxa" w:w="2880"/>
            <w:shd w:val="clear" w:color="auto" w:fill="C8E6C9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← target state</w:t>
            </w:r>
          </w:p>
        </w:tc>
      </w:tr>
      <w:tr>
        <w:tc>
          <w:tcPr>
            <w:tcW w:type="dxa" w:w="1296"/>
            <w:shd w:val="clear" w:color="auto" w:fill="EDE7F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Aug 10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/>
            <w:r>
              <w:rPr>
                <w:b/>
                <w:color w:val="6A1B9A"/>
                <w:sz w:val="20"/>
              </w:rPr>
              <w:t>Wind-down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/>
            <w:r>
              <w:rPr>
                <w:b/>
                <w:sz w:val="20"/>
              </w:rPr>
              <w:t>$300K</w:t>
            </w:r>
          </w:p>
        </w:tc>
        <w:tc>
          <w:tcPr>
            <w:tcW w:type="dxa" w:w="1296"/>
            <w:shd w:val="clear" w:color="auto" w:fill="EDE7F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EDE7F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  <w:shd w:val="clear" w:color="auto" w:fill="EDE7F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296"/>
            <w:shd w:val="clear" w:color="auto" w:fill="EDE7F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Aug 17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/>
            <w:r>
              <w:rPr>
                <w:b/>
                <w:color w:val="6A1B9A"/>
                <w:sz w:val="20"/>
              </w:rPr>
              <w:t>Wind-down</w:t>
            </w:r>
          </w:p>
        </w:tc>
        <w:tc>
          <w:tcPr>
            <w:tcW w:type="dxa" w:w="1440"/>
            <w:shd w:val="clear" w:color="auto" w:fill="EDE7F6"/>
          </w:tcPr>
          <w:p>
            <w:pPr>
              <w:jc w:val="center"/>
            </w:pPr>
            <w:r/>
            <w:r>
              <w:rPr>
                <w:b/>
                <w:sz w:val="20"/>
              </w:rPr>
              <w:t>$300K</w:t>
            </w:r>
          </w:p>
        </w:tc>
        <w:tc>
          <w:tcPr>
            <w:tcW w:type="dxa" w:w="1296"/>
            <w:shd w:val="clear" w:color="auto" w:fill="EDE7F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1296"/>
            <w:shd w:val="clear" w:color="auto" w:fill="EDE7F6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  <w:shd w:val="clear" w:color="auto" w:fill="EDE7F6"/>
          </w:tcPr>
          <w:p>
            <w:pPr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r>
        <w:rPr>
          <w:b/>
          <w:sz w:val="18"/>
        </w:rPr>
        <w:t xml:space="preserve">Phase legend:  </w:t>
      </w:r>
      <w:r>
        <w:rPr>
          <w:color w:val="555555"/>
          <w:sz w:val="18"/>
        </w:rPr>
        <w:t xml:space="preserve">Pre-period = current $200K/wk baseline   |   </w:t>
      </w:r>
      <w:r>
        <w:rPr>
          <w:color w:val="555555"/>
          <w:sz w:val="18"/>
        </w:rPr>
        <w:t xml:space="preserve">Dark = $0 creator spend (off period)   |   </w:t>
      </w:r>
      <w:r>
        <w:rPr>
          <w:color w:val="555555"/>
          <w:sz w:val="18"/>
        </w:rPr>
        <w:t xml:space="preserve">Ramp = incrementality measurement ($1M/wk)   |   </w:t>
      </w:r>
      <w:r>
        <w:rPr>
          <w:color w:val="555555"/>
          <w:sz w:val="18"/>
        </w:rPr>
        <w:t>Wind-down = return to steady-state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