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60"/>
        <w:jc w:val="center"/>
      </w:pPr>
      <w:r>
        <w:rPr>
          <w:rFonts w:ascii="Calibri" w:hAnsi="Calibri"/>
          <w:b/>
          <w:i w:val="0"/>
          <w:color w:val="1F4D78"/>
          <w:sz w:val="48"/>
        </w:rPr>
        <w:t>SAFETY DATA SHEET (SDS)</w:t>
      </w:r>
    </w:p>
    <w:p>
      <w:pPr>
        <w:spacing w:after="280"/>
        <w:jc w:val="center"/>
      </w:pPr>
      <w:r>
        <w:rPr>
          <w:rFonts w:ascii="Calibri" w:hAnsi="Calibri"/>
          <w:b/>
          <w:i w:val="0"/>
          <w:color w:val="666666"/>
          <w:sz w:val="30"/>
        </w:rPr>
        <w:t>TR2C Neutral Surface Cleaner NSC-100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i w:val="0"/>
                <w:color w:val="9B1C1C"/>
                <w:sz w:val="20"/>
              </w:rPr>
              <w:t>CONTROLLED TEST DOCUMENT - FICTIONAL DATA ONLY. Created solely to test document upload, extraction, verification, evidence sharing, expiration tracking, and audit workflows. Do not use for workplace safety, transport, emergency response, or regulatory compliance.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Submitting supplier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Test Supplier</w:t>
            </w:r>
          </w:p>
        </w:tc>
      </w:tr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Submitted to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Test Buyer</w:t>
            </w:r>
          </w:p>
        </w:tc>
      </w:tr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Product name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TR2C Neutral Surface Cleaner NSC-100</w:t>
            </w:r>
          </w:p>
        </w:tc>
      </w:tr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SDS number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SDS-TS-NSC100-2026-001</w:t>
            </w:r>
          </w:p>
        </w:tc>
      </w:tr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Certification number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CERT-SDS-2026-0619-001</w:t>
            </w:r>
          </w:p>
        </w:tc>
      </w:tr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Issue date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June 19, 2026 (2026-06-19)</w:t>
            </w:r>
          </w:p>
        </w:tc>
      </w:tr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Revision date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June 19, 2026 (2026-06-19)</w:t>
            </w:r>
          </w:p>
        </w:tc>
      </w:tr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Expiration date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June 19, 2027 (2027-06-19)</w:t>
            </w:r>
          </w:p>
        </w:tc>
      </w:tr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Document version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Intended standard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OSHA Hazard Communication Standard, 29 CFR 1910.1200 - test fixture only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SECTION 1: IDENTIFICATION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Product identifier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TR2C Neutral Surface Cleaner NSC-100</w:t>
            </w:r>
          </w:p>
        </w:tc>
      </w:tr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Recommended use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Fictional water-based hard-surface cleaner used only as software test data</w:t>
            </w:r>
          </w:p>
        </w:tc>
      </w:tr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Restrictions on use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Not a real commercial product; do not distribute or use</w:t>
            </w:r>
          </w:p>
        </w:tc>
      </w:tr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Supplier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Test Supplier, 100 Test Park Drive, Chicago, IL 60601, United States</w:t>
            </w:r>
          </w:p>
        </w:tc>
      </w:tr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Supplier contact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Amit | amit@tracer2c.com | +1 (555) 010-2026</w:t>
            </w:r>
          </w:p>
        </w:tc>
      </w:tr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Emergency telephone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+1 (555) 010-0911 - NONFUNCTIONAL TEST NUMBER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SECTION 2: HAZARD IDENTIFICATION</w:t>
      </w: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000000"/>
          <w:sz w:val="22"/>
        </w:rPr>
        <w:t>OSHA classification:</w:t>
      </w:r>
      <w:r>
        <w:rPr>
          <w:rFonts w:ascii="Calibri" w:hAnsi="Calibri"/>
          <w:b w:val="0"/>
          <w:i w:val="0"/>
          <w:color w:val="000000"/>
          <w:sz w:val="22"/>
        </w:rPr>
        <w:t xml:space="preserve"> Not classified as hazardous under the criteria represented in this fictional test document.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Signal word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None required</w:t>
            </w:r>
          </w:p>
        </w:tc>
      </w:tr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Hazard statements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None assigned for this fictional mixture</w:t>
            </w:r>
          </w:p>
        </w:tc>
      </w:tr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Precautionary statements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Avoid eye contact. Use ordinary workplace hygiene. Keep out of reach of children.</w:t>
            </w:r>
          </w:p>
        </w:tc>
      </w:tr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Other hazards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Spilled liquid may create a slip hazard.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SECTION 3: COMPOSITION / INFORMATION ON INGREDIENTS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00"/>
        <w:gridCol w:w="2400"/>
        <w:gridCol w:w="2760"/>
      </w:tblGrid>
      <w:tr>
        <w:trPr>
          <w:tblHeader/>
        </w:trPr>
        <w:tc>
          <w:tcPr>
            <w:tcW w:type="dxa" w:w="42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Ingredient</w:t>
            </w:r>
          </w:p>
        </w:tc>
        <w:tc>
          <w:tcPr>
            <w:tcW w:type="dxa" w:w="24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CAS number</w:t>
            </w:r>
          </w:p>
        </w:tc>
        <w:tc>
          <w:tcPr>
            <w:tcW w:type="dxa" w:w="276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Concentration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Water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7732-18-5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85-95%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Nonionic surfactant blend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Proprietary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3-5%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Sodium citrate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68-04-2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1-3%</w:t>
            </w:r>
          </w:p>
        </w:tc>
      </w:tr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Propylene glycol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57-55-6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1-3%</w:t>
            </w:r>
          </w:p>
        </w:tc>
      </w:tr>
    </w:tbl>
    <w:p>
      <w:pPr>
        <w:spacing w:after="0"/>
      </w:pP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The concentrations above are fictional and are included only to test structured extraction from a composition table.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SECTION 4: FIRST-AID MEASURES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Eye contact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Rinse cautiously with water for several minutes. Obtain medical advice if irritation persists.</w:t>
            </w:r>
          </w:p>
        </w:tc>
      </w:tr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Skin contact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Wash with soap and water. Remove contaminated clothing if needed.</w:t>
            </w:r>
          </w:p>
        </w:tc>
      </w:tr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Inhalation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Move to fresh air if discomfort occurs.</w:t>
            </w:r>
          </w:p>
        </w:tc>
      </w:tr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Ingestion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Rinse mouth. Do not induce vomiting. Contact a medical professional if unwell.</w:t>
            </w:r>
          </w:p>
        </w:tc>
      </w:tr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Most important symptoms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Temporary eye irritation may occur.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SECTION 5: FIRE-FIGHTING MEASURES</w:t>
      </w: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000000"/>
          <w:sz w:val="22"/>
        </w:rPr>
        <w:t>Suitable extinguishing media:</w:t>
      </w:r>
      <w:r>
        <w:rPr>
          <w:rFonts w:ascii="Calibri" w:hAnsi="Calibri"/>
          <w:b w:val="0"/>
          <w:i w:val="0"/>
          <w:color w:val="000000"/>
          <w:sz w:val="22"/>
        </w:rPr>
        <w:t xml:space="preserve"> Use extinguishing media appropriate for the surrounding fire. The fictional water-based mixture is not expected to be flammable.</w:t>
      </w: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000000"/>
          <w:sz w:val="22"/>
        </w:rPr>
        <w:t>Protective equipment:</w:t>
      </w:r>
      <w:r>
        <w:rPr>
          <w:rFonts w:ascii="Calibri" w:hAnsi="Calibri"/>
          <w:b w:val="0"/>
          <w:i w:val="0"/>
          <w:color w:val="000000"/>
          <w:sz w:val="22"/>
        </w:rPr>
        <w:t xml:space="preserve"> Firefighters should use standard protective equipment appropriate to the surrounding incident.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SECTION 6: ACCIDENTAL RELEASE MEASURES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Isolate the area, use ordinary protective gloves, absorb with inert material, and clean the surface with water. Prevent entry into drains in large quantities. Mark wet floors to prevent slips.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SECTION 7: HANDLING AND STORAGE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Safe handling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Avoid eye contact and prolonged skin contact. Do not mix with other cleaning products.</w:t>
            </w:r>
          </w:p>
        </w:tc>
      </w:tr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Storage conditions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Keep container closed in a cool, dry, ventilated place away from direct sunlight.</w:t>
            </w:r>
          </w:p>
        </w:tc>
      </w:tr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Storage temperature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5-30 C (41-86 F)</w:t>
            </w:r>
          </w:p>
        </w:tc>
      </w:tr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Incompatible materials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Strong oxidizers and strong acids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SECTION 8: EXPOSURE CONTROLS / PERSONAL PROTECTION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Exposure limits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No occupational exposure limits assigned for the fictional mixture</w:t>
            </w:r>
          </w:p>
        </w:tc>
      </w:tr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Engineering controls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General ventilation is adequate for intended test representation</w:t>
            </w:r>
          </w:p>
        </w:tc>
      </w:tr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Eye protection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Safety glasses if splashing is possible</w:t>
            </w:r>
          </w:p>
        </w:tc>
      </w:tr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Hand protection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Protective gloves for prolonged contact</w:t>
            </w:r>
          </w:p>
        </w:tc>
      </w:tr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Respiratory protection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Not normally required under represented conditions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SECTION 9: PHYSICAL AND CHEMICAL PROPERTIES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780"/>
        <w:gridCol w:w="1900"/>
        <w:gridCol w:w="2780"/>
      </w:tblGrid>
      <w:tr>
        <w:trPr>
          <w:tblHeader/>
        </w:trPr>
        <w:tc>
          <w:tcPr>
            <w:tcW w:type="dxa" w:w="19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Property</w:t>
            </w:r>
          </w:p>
        </w:tc>
        <w:tc>
          <w:tcPr>
            <w:tcW w:type="dxa" w:w="278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Test value</w:t>
            </w:r>
          </w:p>
        </w:tc>
        <w:tc>
          <w:tcPr>
            <w:tcW w:type="dxa" w:w="190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Property</w:t>
            </w:r>
          </w:p>
        </w:tc>
        <w:tc>
          <w:tcPr>
            <w:tcW w:type="dxa" w:w="2780"/>
            <w:shd w:fill="1F4D7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Test value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Appearance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Clear blue liquid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Odor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Mild citrus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pH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7.0-8.0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Freezing point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Approximately 0 C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Boiling point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Approximately 100 C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Flash point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Not applicable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Relative density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1.01 at 20 C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Solubility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Completely soluble in water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SECTION 10: STABILITY AND REACTIVITY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Reactivity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No dangerous reaction expected under normal represented conditions</w:t>
            </w:r>
          </w:p>
        </w:tc>
      </w:tr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Chemical stability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Stable under recommended fictional storage conditions</w:t>
            </w:r>
          </w:p>
        </w:tc>
      </w:tr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Conditions to avoid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Freezing, excessive heat, and direct sunlight</w:t>
            </w:r>
          </w:p>
        </w:tc>
      </w:tr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Incompatible materials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Strong oxidizers and strong acids</w:t>
            </w:r>
          </w:p>
        </w:tc>
      </w:tr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Hazardous decomposition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None expected under normal represented use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SECTION 11: TOXICOLOGICAL INFORMATION</w:t>
      </w: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000000"/>
          <w:sz w:val="22"/>
        </w:rPr>
        <w:t>Likely routes of exposure:</w:t>
      </w:r>
      <w:r>
        <w:rPr>
          <w:rFonts w:ascii="Calibri" w:hAnsi="Calibri"/>
          <w:b w:val="0"/>
          <w:i w:val="0"/>
          <w:color w:val="000000"/>
          <w:sz w:val="22"/>
        </w:rPr>
        <w:t xml:space="preserve"> Eye contact, skin contact, inhalation of mist, and ingestion.</w:t>
      </w: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000000"/>
          <w:sz w:val="22"/>
        </w:rPr>
        <w:t>Expected effects:</w:t>
      </w:r>
      <w:r>
        <w:rPr>
          <w:rFonts w:ascii="Calibri" w:hAnsi="Calibri"/>
          <w:b w:val="0"/>
          <w:i w:val="0"/>
          <w:color w:val="000000"/>
          <w:sz w:val="22"/>
        </w:rPr>
        <w:t xml:space="preserve"> Temporary eye irritation and mild skin irritation after prolonged contact. No test data are available because this is a fictional software test mixture.</w:t>
      </w: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000000"/>
          <w:sz w:val="22"/>
        </w:rPr>
        <w:t>Carcinogenicity:</w:t>
      </w:r>
      <w:r>
        <w:rPr>
          <w:rFonts w:ascii="Calibri" w:hAnsi="Calibri"/>
          <w:b w:val="0"/>
          <w:i w:val="0"/>
          <w:color w:val="000000"/>
          <w:sz w:val="22"/>
        </w:rPr>
        <w:t xml:space="preserve"> No components are intentionally represented as listed by IARC, NTP, or OSHA at reportable concentrations.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SECTION 12: ECOLOGICAL INFORMATION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Ecotoxicity, persistence, bioaccumulation, and mobility data have not been determined for this fictional mixture. Avoid uncontrolled release to the environment.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SECTION 13: DISPOSAL CONSIDERATIONS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Dispose of contents and container in accordance with applicable local requirements. This statement is for test extraction only and is not disposal guidance for any actual product.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SECTION 14: TRANSPORT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UN number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Not regulated for this fictional test record</w:t>
            </w:r>
          </w:p>
        </w:tc>
      </w:tr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Proper shipping name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Not applicable</w:t>
            </w:r>
          </w:p>
        </w:tc>
      </w:tr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Transport hazard class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Not applicable</w:t>
            </w:r>
          </w:p>
        </w:tc>
      </w:tr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Packing group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Not applicable</w:t>
            </w:r>
          </w:p>
        </w:tc>
      </w:tr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Marine pollutant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No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SECTION 15: REGULATORY INFORMATION</w:t>
      </w:r>
    </w:p>
    <w:p>
      <w:pPr>
        <w:spacing w:before="0" w:after="120" w:line="264" w:lineRule="auto"/>
      </w:pPr>
      <w:r>
        <w:rPr>
          <w:rFonts w:ascii="Calibri" w:hAnsi="Calibri"/>
          <w:b w:val="0"/>
          <w:i w:val="0"/>
          <w:color w:val="000000"/>
          <w:sz w:val="22"/>
        </w:rPr>
        <w:t>This fictional document is formatted to resemble the 16-section structure used for OSHA Hazard Communication SDS records. It is not a regulatory determination, certification, or legal opinion.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SECTION 16: OTHER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Prepared by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Test Supplier Compliance Team</w:t>
            </w:r>
          </w:p>
        </w:tc>
      </w:tr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Approved by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Amit, Supplier Test Administrator</w:t>
            </w:r>
          </w:p>
        </w:tc>
      </w:tr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Certification number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CERT-SDS-2026-0619-001</w:t>
            </w:r>
          </w:p>
        </w:tc>
      </w:tr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Expiration date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June 19, 2027 (2027-06-19)</w:t>
            </w:r>
          </w:p>
        </w:tc>
      </w:tr>
      <w:tr>
        <w:tc>
          <w:tcPr>
            <w:tcW w:type="dxa" w:w="25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i w:val="0"/>
                <w:color w:val="1F4D78"/>
                <w:sz w:val="19"/>
              </w:rPr>
              <w:t>Revision summary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9"/>
              </w:rPr>
              <w:t>Initial fictional version created for TraceR2C end-to-end testing</w:t>
            </w:r>
          </w:p>
        </w:tc>
      </w:tr>
    </w:tbl>
    <w:p>
      <w:pPr>
        <w:spacing w:after="0"/>
      </w:pPr>
    </w:p>
    <w:p>
      <w:pPr>
        <w:spacing w:before="0" w:after="120" w:line="264" w:lineRule="auto"/>
      </w:pPr>
      <w:r>
        <w:rPr>
          <w:rFonts w:ascii="Calibri" w:hAnsi="Calibri"/>
          <w:b/>
          <w:i w:val="0"/>
          <w:color w:val="000000"/>
          <w:sz w:val="22"/>
        </w:rPr>
        <w:t>Test signature:</w:t>
      </w:r>
      <w:r>
        <w:rPr>
          <w:rFonts w:ascii="Calibri" w:hAnsi="Calibri"/>
          <w:b w:val="0"/>
          <w:i w:val="0"/>
          <w:color w:val="000000"/>
          <w:sz w:val="22"/>
        </w:rPr>
        <w:t xml:space="preserve"> /s/ Amit - Test Supplier - 2026-06-19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</w:pPr>
            <w:r/>
            <w:r>
              <w:rPr>
                <w:rFonts w:ascii="Calibri" w:hAnsi="Calibri"/>
                <w:b/>
                <w:i w:val="0"/>
                <w:color w:val="9B1C1C"/>
                <w:sz w:val="20"/>
              </w:rPr>
              <w:t>END OF CONTROLLED TEST FIXTURE - NOT VALID FOR REAL-WORLD USE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b w:val="0"/>
        <w:i w:val="0"/>
        <w:color w:val="666666"/>
        <w:sz w:val="18"/>
      </w:rPr>
      <w:t xml:space="preserve">TR2C SDS Extraction Test | SDS-TS-NSC100-2026-001 | Page </w:t>
    </w:r>
    <w:r>
      <w:rPr>
        <w:rFonts w:ascii="Calibri" w:hAnsi="Calibri"/>
        <w:b w:val="0"/>
        <w:i w:val="0"/>
        <w:color w:val="666666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i w:val="0"/>
        <w:color w:val="9B1C1C"/>
        <w:sz w:val="18"/>
      </w:rPr>
      <w:t>TEST FIXTURE - NOT FOR REGULATORY OR SAFETY USE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Supplier SDS Test Document</dc:title>
  <dc:subject>Fictional SDS fixture for TraceR2C extraction and evidence-sharing testing</dc:subject>
  <dc:creator>TraceR2C Test Fixture Generator</dc:creator>
  <cp:keywords>TEST FIXTURE, SDS, Test Supplier, Test Buyer</cp:keywords>
  <dc:description>Fictional data only. Not for regulatory or safety use.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