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VERITAS Enterprise Integrity Architecture: A Comprehensive Research Report on Next-Generation Plagiarism Detection and Academic Verification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Adversarial Landscape of Academic Integrity and the Evasion Arms Race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preservation of academic integrity within higher educational institutions has fundamentally transformed from a localized administrative function into a highly sophisticated technological arms race. The proliferation of generative artificial intelligence, coupled with the widespread availability of text obfuscation tools, has effectively rendered legacy plagiarism detection systems obsolete. Traditional platforms, which predominantly rely on naive character matching, continuous string comparisons, and foundational lexical similarity, operate under the assumption that academic dishonesty is largely confined to direct copy-and-paste methodologies. However, modern students and dishonest actors deploy a complex spectrum of adversarial evasion tactics engineered specifically to exploit the deterministic vulnerabilities and tokenization limits of these legacy tools.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Enterprise Integrity Architecture was conceived to directly address the systemic failures of existing platforms. The primary mission of the Veritas ecosystem is to build an institutional-grade platform that transitions the paradigm of academic verification from probabilistic guessing to cryptographic, behaviorally verified proof of originality. To achieve this, the architecture must systematically neutralize five distinct categories of evasion vectors that currently dominate the landscape of academic misconduct.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of these vectors is the adversarial homoglyph attack. In this sophisticated typographic manipulation, standard Latin characters (such as 'a', 'e', 'o', 'p', and 'c') are systematically replaced with visually identical Cyrillic or Greek Unicode lookalikes, such as the Cyrillic small letter 'a' (U+0430). Because legacy systems rely on standard ASCII or fundamental Unicode matching, these visually indistinguishable substitutions fracture the matching algorithms, allowing entirely plagiarized text to register a zero percent similarity score.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vector involves zero-width injections. Dishonest actors insert invisible Unicode characters, such as the zero-width space (U+200B), between the letters of a word. While the human evaluator reading the printed or digitally rendered document sees a perfectly standard paragraph, the underlying text parser reads a continuous stream of fragmented tokens, effectively breaking the shingle n-grams upon which traditional plagiarism detectors rely.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textual manipulation, the landscape of computer science education is plagued by Abstract Syntax Tree (AST) code obfuscation. Students attempting to mask copied algorithms deploy automated tools to alter superficial code features without changing the underlying computational logic. This includes renaming variables, altering whitespace, switching control flow loops (such as converting a for loop to a while loop), and reordering independent functions. Standard text-based checkers fail entirely in this domain, as the raw text of the code appears completely novel despite the logic being wholly stolen.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academic environment is increasingly susceptible to paraphrased collusion rings. This phenomenon occurs when a localized network of students systematically shares, rewords, and redistributes a single foundational draft. Student A shares a master document with Student B, who applies heavy synonym replacement before sharing it with Student C. By the time the document reaches the final student, origin attribution becomes mathematically ambiguous using traditional localized comparison methods. Finally, the advent of synthetic artificial intelligence writing has introduced a fifth vector: machine-generated text characterized by unnatural, low-variance sentence cadence that escapes traditional statistical overlap detection entirely because it does not exist in any prior indexed database.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platform is engineered to cryptographically prove originality, defeat all five of these adversarial vectors, and provide absolute transparency to both educators and systems developers.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Topography and Codebase Mapping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sub-second processing latency while maintaining cryptographic auditing standards and deep neural network execution, the Veritas platform operates across four specialized, high-performance tiers. The architecture is explicitly decoupled to allow independent scaling of the computationally expensive artificial intelligence components separate from the user interface and transactional ledgers.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Subsystem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Location /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Technologies Deployed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Role within Veritas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Frontend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frontend/src/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React 19, Vite v8, Rolldown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Functions as the monolithic Void UI shell, hosting the 5-view portal deck and top navigation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3D Constellation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frontend/public/scripts/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Three.js, WebGL 2.0, FBO Shaders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Drives the interactive WebGL particle simulation utilizing 4 distinct morph targets without blocking the main browser thread.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Enterprise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backend/src/main/java/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Spring Boot 3, Java 21, JPA, H2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Serves as the central API gateway, deterministic rubric deduction engine, and SHA-256 tamper-evident cryptographic ledger.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AI Forensics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 3.12, FastAPI, ast, javalang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Executes the </w:t>
            </w:r>
            <w:r w:rsidDel="00000000" w:rsidR="00000000" w:rsidRPr="00000000">
              <w:rPr>
                <w:rFonts w:ascii="Arial" w:cs="Arial" w:eastAsia="Arial" w:hAnsi="Arial"/>
                <w:color w:val="1f1f1f"/>
              </w:rPr>
              <w:drawing>
                <wp:inline distB="19050" distT="19050" distL="19050" distR="19050">
                  <wp:extent cx="405527" cy="244846"/>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527" cy="244846"/>
                          </a:xfrm>
                          <a:prstGeom prst="rect"/>
                          <a:ln/>
                        </pic:spPr>
                      </pic:pic>
                    </a:graphicData>
                  </a:graphic>
                </wp:inline>
              </w:drawing>
            </w:r>
            <w:r w:rsidDel="00000000" w:rsidR="00000000" w:rsidRPr="00000000">
              <w:rPr>
                <w:rFonts w:ascii="Arial" w:cs="Arial" w:eastAsia="Arial" w:hAnsi="Arial"/>
                <w:color w:val="1f1f1f"/>
                <w:rtl w:val="0"/>
              </w:rPr>
              <w:t xml:space="preserve"> Karp-Rabin rolling hash, dense vector embeddings, semantic AST normalization, and Unicode sanitization.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Test Corpus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data/sample_documents/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PDF, DOCX, TXT, PY, 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Houses 12 real-world benchmark files containing active collusion rings, homoglyph attacks, and Raft consensus code clones for continuous validation.</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1: The Veritas Enterprise Codebase Anatomy and Subsystem Topography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presentation layer is driven by a React 19 architecture, leveraging the framework's concurrent rendering capabilities to maintain interface fluidity even when visualizing massive, line-synchronized dual-pane document diffs. The build environment utilizes Vite v8 and the Rolldown bundler to achieve extreme compilation efficiency. Telemetry from the development ecosystem indicates a production build time of exactly 1.04 seconds, characterized by a complete absence of console exceptions, unresolved promises, or local network 404 errors. Furthermore, the frontend is engineered to strict accessibility standards, achieving a 100% pass rate for keyboard-only navigation.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interface is visually augmented by a sophisticated 3D WebGL particle engine utilizing Three.js and Frame Buffer Object (FBO) shaders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interactive constellation simulation operates in the background of the application, rendering four distinct morph targets—representing a brain, a bulb, a sphere, and a core—to visually represent the cognitive processing occurring within the AI engine. The utilization of FBO shaders allows the simulation to offload particle physics calculations directly to the client's Graphics Processing Unit (GPU), ensuring that the complex visual rendering does not induce main-thread blocking or degrade the sub-60ms interaction latency of the primary application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Enterprise Core is firmly rooted in a Java 21 environment utilizing the Spring Boot 3 framework. This backend subsystem acts as the institutional nervous system, managing multi-tenant data isolation through Java Persistence API (JPA) entities. It orchestrates the deterministic rubric deduction engine, which automatically translates detected plagiarism percentages into grading penalties based on institutional policies. Crucially, the Spring Boot core manages the SHA-256 Merkle tree ledger, ensuring that every submission and its subsequent analysis report are cryptographically sealed upon generation.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Concurrently, the computational heavy lifting is delegated to the discrete AI Forensics microservice, engineered in Python 3.12 and exposed via FastAPI. This engine houses the sophisticated linguistic and structural analysis tools, including the high-dimensional vectorization pipelines, the stylometric fingerprinting algorithms, and the AST parsers. By isolating the AI models in a dedicated Python microservice, the architecture allows for highly specialized GPU hardware acceleration tailored specifically for tensor operations and vector mathematics, without impacting the general compute resources required by the transactional Java backend.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Autonomous Orchestration via the 7-Agent Matrix</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rapid engineering, rigorous testing, and seamless integration of the Veritas platform were governed by an advanced agentic engineering framework. Specifically, the project utilized a variation of Verified Multi-Agent Orchestration (VMAO), a paradigm that coordinates specialized Large Language Model-based agents through an iterative prove-verify loop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methodology addresses the inherent limitations of single-agent systems, such as context degradation and hallucination, by allocating a population of independent provers across a bounded loop matrix</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orchestration was managed by a lead controller, designated as Antigravity Main, which governed the execution flow and maintained transparent data sharing protocols across seven specialized subagents. Each subagent operated with strict terminal test verification commands, ensuring that no code was merged into the main branch without absolute mathematical and functional proof of success. The orchestration behavior required high agent discovery precision and recall to ensure that the lead controller accurately called the expected agent for each specific architectural domain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agent within the matrix was assigned to the Enterprise Core. Its duties included auditing the Spring Boot backend, verifying the relational integrity of the JPA entities, and rigorously testing the automated rubric calculation rules. Furthermore, this agent generated and seeded a standardized five-student test cohort (Patel, Gupta, Rostova, Chen, Jenkins) into the database to validate multi-tenant isolation and peer-to-peer comparison logic.</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agent was dedicated strictly to AI Forensics. This agent achieved a significant algorithmic breakthrough by upgrading the legacy winnowing sequence to an optimized </w:t>
      </w:r>
      <w:r w:rsidDel="00000000" w:rsidR="00000000" w:rsidRPr="00000000">
        <w:rPr>
          <w:rFonts w:ascii="Arial" w:cs="Arial" w:eastAsia="Arial" w:hAnsi="Arial"/>
          <w:color w:val="1f1f1f"/>
        </w:rPr>
        <w:drawing>
          <wp:inline distB="19050" distT="19050" distL="19050" distR="19050">
            <wp:extent cx="486251" cy="246985"/>
            <wp:effectExtent b="0" l="0" r="0" t="0"/>
            <wp:docPr id="10"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86251" cy="246985"/>
                    </a:xfrm>
                    <a:prstGeom prst="rect"/>
                    <a:ln/>
                  </pic:spPr>
                </pic:pic>
              </a:graphicData>
            </a:graphic>
          </wp:inline>
        </w:drawing>
      </w:r>
      <w:r w:rsidDel="00000000" w:rsidR="00000000" w:rsidRPr="00000000">
        <w:rPr>
          <w:rFonts w:ascii="Arial" w:cs="Arial" w:eastAsia="Arial" w:hAnsi="Arial"/>
          <w:color w:val="1f1f1f"/>
          <w:rtl w:val="0"/>
        </w:rPr>
        <w:t xml:space="preserve"> polynomial rolling hash utilizing the Karp-Rabin algorithm. The mathematical parameters were meticulously tuned, establishing </w:t>
      </w:r>
      <w:r w:rsidDel="00000000" w:rsidR="00000000" w:rsidRPr="00000000">
        <w:rPr>
          <w:rFonts w:ascii="Arial" w:cs="Arial" w:eastAsia="Arial" w:hAnsi="Arial"/>
          <w:color w:val="1f1f1f"/>
        </w:rPr>
        <w:drawing>
          <wp:inline distB="19050" distT="19050" distL="19050" distR="19050">
            <wp:extent cx="1349578" cy="243992"/>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349578" cy="243992"/>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103948" cy="243630"/>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103948" cy="243630"/>
                    </a:xfrm>
                    <a:prstGeom prst="rect"/>
                    <a:ln/>
                  </pic:spPr>
                </pic:pic>
              </a:graphicData>
            </a:graphic>
          </wp:inline>
        </w:drawing>
      </w:r>
      <w:r w:rsidDel="00000000" w:rsidR="00000000" w:rsidRPr="00000000">
        <w:rPr>
          <w:rFonts w:ascii="Arial" w:cs="Arial" w:eastAsia="Arial" w:hAnsi="Arial"/>
          <w:color w:val="1f1f1f"/>
          <w:rtl w:val="0"/>
        </w:rPr>
        <w:t xml:space="preserve"> to virtually eliminate hash collisions across massive document sets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Additionally, this agent constructed the Abstract Syntax Tree normalizers for Python and Java, empowering the engine to strip away cosmetic variable names and expose foundational programming logic.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Agents three and four were tasked with frontend integrity and differential analysis. The Void UI Shell agent enforced strict CSS design token discipline across the platform, utilizing a heavily constrained palette comprising a #000000 Void canvas, #8052ff Electric Iris, #ffb829 Saffron Spark, and #15846e Deep Verdant. This agent systematically validated the user interface across responsive breakpoints ranging from 375px to 1440px, ensuring zero element overlaps. The Studio Diff agent undertook the highly complex engineering of the dual-pane line-synchronized split viewer. This component required building custom line-offset tracking algorithms with dual scroll locks, allowing educators to analyze source texts side-by-side. This agent also integrated the inline Cyrillic badge highlighting system, which successfully flagged 55 distinct Unicode lookalikes during terminal testing.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telemetry and quality assurance were governed by the final three agents. The DevEx Telemetry agent engineered the Developer Workstation, establishing microservice cluster health monitors across ports 8080, 8000, and 5173. It also constructed the live API Wire Playground, allowing real-time testing of JSON payloads with automated cURL generation. The Academic Research agent focused on adversarial validation, benchmarking the 12-document corpus to prove a 100% recovery rate against homoglyph injections. This agent also executed the </w:t>
      </w:r>
      <w:r w:rsidDel="00000000" w:rsidR="00000000" w:rsidRPr="00000000">
        <w:rPr>
          <w:rFonts w:ascii="Arial" w:cs="Arial" w:eastAsia="Arial" w:hAnsi="Arial"/>
          <w:color w:val="1f1f1f"/>
        </w:rPr>
        <w:drawing>
          <wp:inline distB="19050" distT="19050" distL="19050" distR="19050">
            <wp:extent cx="596860" cy="244866"/>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6860" cy="244866"/>
                    </a:xfrm>
                    <a:prstGeom prst="rect"/>
                    <a:ln/>
                  </pic:spPr>
                </pic:pic>
              </a:graphicData>
            </a:graphic>
          </wp:inline>
        </w:drawing>
      </w:r>
      <w:r w:rsidDel="00000000" w:rsidR="00000000" w:rsidRPr="00000000">
        <w:rPr>
          <w:rFonts w:ascii="Arial" w:cs="Arial" w:eastAsia="Arial" w:hAnsi="Arial"/>
          <w:color w:val="1f1f1f"/>
          <w:rtl w:val="0"/>
        </w:rPr>
        <w:t xml:space="preserve"> matrix comparisons, successfully identifying the original author—designated as Patient Zero—within the simulated paraphrase collusion ring. Finally, the Systems QA agent executed automated Playwright browser tests, verifying the 1.04-second production build metrics and mathematically confirming complete console cleanliness and accessibility compliance.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Deliverables and the Five-View Portal Suite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culmination of the 7-agent orchestration is manifested in the Veritas five-view portal suite, designed to provide comprehensive, bidirectional navigation and deep analytical capabilities for institutional administrators, educators, and systems engineers. The portal design allows users to seamlessly transition from the immersive 3D WebGL constellation environment directly into the dense analytical dashboards without triggering page reloads or degrading application state.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Operations Dashboard functions as the primary institutional overview. It aggregates high-level key performance indicators (KPIs), presenting metrics such as total submissions scanned, the mean originality index of the student body, and the specific volume of intercepted evasion attacks. The dashboard features a highly filterable submission queue that allows administrators to instantly transition into the verification studio. Additionally, it houses the real-time cryptographic block explorer, visually representing the Merkle roots and block heights of the SHA-256 tamper-evident ledger.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Universal Verification Studio serves as the analytical core of the platform, structured across four distinct tabs. The first tab houses the 1-to-1 Split Diff viewer, providing synchronized line-offset tracking and the critical homoglyph evasion banner, which visually isolates Cyrillic injections for educator review. The second tab visualizes the Cohort </w:t>
      </w:r>
      <w:r w:rsidDel="00000000" w:rsidR="00000000" w:rsidRPr="00000000">
        <w:rPr>
          <w:rFonts w:ascii="Arial" w:cs="Arial" w:eastAsia="Arial" w:hAnsi="Arial"/>
          <w:color w:val="1f1f1f"/>
        </w:rPr>
        <w:drawing>
          <wp:inline distB="19050" distT="19050" distL="19050" distR="19050">
            <wp:extent cx="596860" cy="244866"/>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6860" cy="244866"/>
                    </a:xfrm>
                    <a:prstGeom prst="rect"/>
                    <a:ln/>
                  </pic:spPr>
                </pic:pic>
              </a:graphicData>
            </a:graphic>
          </wp:inline>
        </w:drawing>
      </w:r>
      <w:r w:rsidDel="00000000" w:rsidR="00000000" w:rsidRPr="00000000">
        <w:rPr>
          <w:rFonts w:ascii="Arial" w:cs="Arial" w:eastAsia="Arial" w:hAnsi="Arial"/>
          <w:color w:val="1f1f1f"/>
          <w:rtl w:val="0"/>
        </w:rPr>
        <w:t xml:space="preserve"> Matrix. Rather than comparing student papers solely against external internet databases, this matrix computes the pairwise similarity across an entire classroom's submissions simultaneously, exposing interconnected collusion rings and unauthorized peer-to-peer sharing.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tab within the Verification Studio exposes the AI Forensics telemetry. Here, the system provides sentence-by-sentence classification, backed by variance gauges tracking linguistic perplexity and burstiness. These metrics are fundamental for identifying unnatural, machine-generated text cadences. The final tab features the Code AST Clone viewer, which displays semantic syntax normalization side-by-side, visually demonstrating how copied algorithms match perfectly despite the student having exhaustively renamed variables and altered whitespace formatting.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localized academic management, the Classroom Portal provides a dedicated course view. It integrates the automated deduction rubric, which interfaces directly with the backend JPA entities to automatically apply institutional grading penalties—such as a 40-point deduction for direct plagiarism or a 30-point deduction for detected evasion attempts. This portal facilitates interactive batch evaluations, drastically reducing the administrative burden on teaching staff.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suite is rounded out by the Presentation Demo Bench and the Developer Workstation. The Demo Bench is engineered for institutional procurement and training, offering instant, one-click scenarios that simulate a homoglyph attack, peer collusion, AST code plagiarism, and AI writing forensics in real-time. The Developer Workstation exposes the underlying architecture to institutional IT staff. It features a live API wire playground where engineers can edit JSON payloads for the Winnowing, Matrix, and AST endpoints. Telemetry from this workstation confirms that the architecture maintains sub-60ms live latency measurements across these complex operations, supported by instant one-click cURL code generation for seamless third-party integration.</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Evolution from TF-IDF to Deep Semantic Vectorization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limitation of legacy plagiarism detection systems lies in their reliance on statistical token overlap, predominantly utilizing Term Frequency-Inverse Document Frequency (TF-IDF) paired with cosine similarity. TF-IDF operates by converting raw document text into highly sparse numerical representations. The dimensionality of these vectors is intrinsically tied to the size of the entire document corpus vocabulary. While this approach captures the statistical significance of exact terms and allows for rapid calculation using sparse matrix operations, it is fundamentally a lexical methodology. It requires documents to be heavily preprocessed through tokenization, stop-word removal, and Porter stemming to produce normalized inputs.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this preprocessing, TF-IDF remains entirely blind to semantic meaning. It excels at identifying direct copy-and-paste actions but fails catastrophically when confronted with advanced paraphrasing, synonym masking, or structural sentence alteration. If a student replaces "The vehicle was moving rapidly" with "The automobile accelerated quickly," a traditional TF-IDF engine will register near-zero similarity, as the exact word roots do not intersect.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transcend these limitations, the Veritas AI Enhancement Layer introduces High-Dimensional Semantic Vectorization utilizing Transformer-based models such as Sentence-BERT (SBERT). This paradigm shift transitions the engine from evaluating statistical character overlap to computing deep cognitive and contextual alignment. BERT-based architectures do not create massive sparse matrices; rather, they transform entire textual sequences into dense, continuous numerical vectors mapped into a high-dimensional space (typically comprising 384 or 768 dimensions). In this topological space, sentences with similar semantic meanings sit physically close to one another, regardless of the specific vocabulary utilized.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Mathematics of Multi-Head Self-Attention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BERT models in detecting obfuscated plagiarism is rooted in the Multi-Head Self-Attention mechanism. Unlike sequential parsers that evaluate words linearly, BERT evaluates how every individual word in a sentence contextually relates to every other word simultaneously. For an input matrix of word embeddings </w:t>
      </w:r>
      <w:r w:rsidDel="00000000" w:rsidR="00000000" w:rsidRPr="00000000">
        <w:rPr>
          <w:rFonts w:ascii="Arial" w:cs="Arial" w:eastAsia="Arial" w:hAnsi="Arial"/>
          <w:color w:val="1f1f1f"/>
        </w:rPr>
        <w:drawing>
          <wp:inline distB="19050" distT="19050" distL="19050" distR="19050">
            <wp:extent cx="177641" cy="247153"/>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77641" cy="247153"/>
                    </a:xfrm>
                    <a:prstGeom prst="rect"/>
                    <a:ln/>
                  </pic:spPr>
                </pic:pic>
              </a:graphicData>
            </a:graphic>
          </wp:inline>
        </w:drawing>
      </w:r>
      <w:r w:rsidDel="00000000" w:rsidR="00000000" w:rsidRPr="00000000">
        <w:rPr>
          <w:rFonts w:ascii="Arial" w:cs="Arial" w:eastAsia="Arial" w:hAnsi="Arial"/>
          <w:color w:val="1f1f1f"/>
          <w:rtl w:val="0"/>
        </w:rPr>
        <w:t xml:space="preserve">, the transformer projects the data into three distinct matrices: Queries (</w:t>
      </w:r>
      <w:r w:rsidDel="00000000" w:rsidR="00000000" w:rsidRPr="00000000">
        <w:rPr>
          <w:rFonts w:ascii="Arial" w:cs="Arial" w:eastAsia="Arial" w:hAnsi="Arial"/>
          <w:color w:val="1f1f1f"/>
        </w:rPr>
        <w:drawing>
          <wp:inline distB="19050" distT="19050" distL="19050" distR="19050">
            <wp:extent cx="155019" cy="248031"/>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55019" cy="248031"/>
                    </a:xfrm>
                    <a:prstGeom prst="rect"/>
                    <a:ln/>
                  </pic:spPr>
                </pic:pic>
              </a:graphicData>
            </a:graphic>
          </wp:inline>
        </w:drawing>
      </w:r>
      <w:r w:rsidDel="00000000" w:rsidR="00000000" w:rsidRPr="00000000">
        <w:rPr>
          <w:rFonts w:ascii="Arial" w:cs="Arial" w:eastAsia="Arial" w:hAnsi="Arial"/>
          <w:color w:val="1f1f1f"/>
          <w:rtl w:val="0"/>
        </w:rPr>
        <w:t xml:space="preserve">), Keys (</w:t>
      </w:r>
      <w:r w:rsidDel="00000000" w:rsidR="00000000" w:rsidRPr="00000000">
        <w:rPr>
          <w:rFonts w:ascii="Arial" w:cs="Arial" w:eastAsia="Arial" w:hAnsi="Arial"/>
          <w:color w:val="1f1f1f"/>
        </w:rPr>
        <w:drawing>
          <wp:inline distB="19050" distT="19050" distL="19050" distR="19050">
            <wp:extent cx="180261" cy="250797"/>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80261" cy="250797"/>
                    </a:xfrm>
                    <a:prstGeom prst="rect"/>
                    <a:ln/>
                  </pic:spPr>
                </pic:pic>
              </a:graphicData>
            </a:graphic>
          </wp:inline>
        </w:drawing>
      </w:r>
      <w:r w:rsidDel="00000000" w:rsidR="00000000" w:rsidRPr="00000000">
        <w:rPr>
          <w:rFonts w:ascii="Arial" w:cs="Arial" w:eastAsia="Arial" w:hAnsi="Arial"/>
          <w:color w:val="1f1f1f"/>
          <w:rtl w:val="0"/>
        </w:rPr>
        <w:t xml:space="preserve">), and Values (</w:t>
      </w:r>
      <w:r w:rsidDel="00000000" w:rsidR="00000000" w:rsidRPr="00000000">
        <w:rPr>
          <w:rFonts w:ascii="Arial" w:cs="Arial" w:eastAsia="Arial" w:hAnsi="Arial"/>
          <w:color w:val="1f1f1f"/>
        </w:rPr>
        <w:drawing>
          <wp:inline distB="19050" distT="19050" distL="19050" distR="19050">
            <wp:extent cx="157758" cy="240393"/>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57758" cy="240393"/>
                    </a:xfrm>
                    <a:prstGeom prst="rect"/>
                    <a:ln/>
                  </pic:spPr>
                </pic:pic>
              </a:graphicData>
            </a:graphic>
          </wp:inline>
        </w:drawing>
      </w:r>
      <w:r w:rsidDel="00000000" w:rsidR="00000000" w:rsidRPr="00000000">
        <w:rPr>
          <w:rFonts w:ascii="Arial" w:cs="Arial" w:eastAsia="Arial" w:hAnsi="Arial"/>
          <w:color w:val="1f1f1f"/>
          <w:rtl w:val="0"/>
        </w:rPr>
        <w:t xml:space="preserve">), utilizing learned weight matrices (</w:t>
      </w:r>
      <w:r w:rsidDel="00000000" w:rsidR="00000000" w:rsidRPr="00000000">
        <w:rPr>
          <w:rFonts w:ascii="Arial" w:cs="Arial" w:eastAsia="Arial" w:hAnsi="Arial"/>
          <w:color w:val="1f1f1f"/>
        </w:rPr>
        <w:drawing>
          <wp:inline distB="19050" distT="19050" distL="19050" distR="19050">
            <wp:extent cx="1103709" cy="243577"/>
            <wp:effectExtent b="0" l="0" r="0" t="0"/>
            <wp:docPr id="1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103709" cy="24357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precise attention score—representing the geometric alignment and contextual weight between words—is calculated using the Scaled Dot-Product Attention formula</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35565"/>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05500" cy="83556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calculation, the dot product </w:t>
      </w:r>
      <w:r w:rsidDel="00000000" w:rsidR="00000000" w:rsidRPr="00000000">
        <w:rPr>
          <w:rFonts w:ascii="Arial" w:cs="Arial" w:eastAsia="Arial" w:hAnsi="Arial"/>
          <w:color w:val="1f1f1f"/>
        </w:rPr>
        <w:drawing>
          <wp:inline distB="19050" distT="19050" distL="19050" distR="19050">
            <wp:extent cx="444222" cy="245088"/>
            <wp:effectExtent b="0" l="0" r="0" t="0"/>
            <wp:docPr id="2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44222" cy="245088"/>
                    </a:xfrm>
                    <a:prstGeom prst="rect"/>
                    <a:ln/>
                  </pic:spPr>
                </pic:pic>
              </a:graphicData>
            </a:graphic>
          </wp:inline>
        </w:drawing>
      </w:r>
      <w:r w:rsidDel="00000000" w:rsidR="00000000" w:rsidRPr="00000000">
        <w:rPr>
          <w:rFonts w:ascii="Arial" w:cs="Arial" w:eastAsia="Arial" w:hAnsi="Arial"/>
          <w:color w:val="1f1f1f"/>
          <w:rtl w:val="0"/>
        </w:rPr>
        <w:t xml:space="preserve"> determines the raw similarity between the querying token and all key tokens. The scaling factor </w:t>
      </w:r>
      <w:r w:rsidDel="00000000" w:rsidR="00000000" w:rsidRPr="00000000">
        <w:rPr>
          <w:rFonts w:ascii="Arial" w:cs="Arial" w:eastAsia="Arial" w:hAnsi="Arial"/>
          <w:color w:val="1f1f1f"/>
        </w:rPr>
        <w:drawing>
          <wp:inline distB="19050" distT="19050" distL="19050" distR="19050">
            <wp:extent cx="350520" cy="236220"/>
            <wp:effectExtent b="0" l="0" r="0" t="0"/>
            <wp:docPr id="2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50520" cy="236220"/>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87404" cy="239878"/>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87404" cy="239878"/>
                    </a:xfrm>
                    <a:prstGeom prst="rect"/>
                    <a:ln/>
                  </pic:spPr>
                </pic:pic>
              </a:graphicData>
            </a:graphic>
          </wp:inline>
        </w:drawing>
      </w:r>
      <w:r w:rsidDel="00000000" w:rsidR="00000000" w:rsidRPr="00000000">
        <w:rPr>
          <w:rFonts w:ascii="Arial" w:cs="Arial" w:eastAsia="Arial" w:hAnsi="Arial"/>
          <w:color w:val="1f1f1f"/>
          <w:rtl w:val="0"/>
        </w:rPr>
        <w:t xml:space="preserve"> is the dimensionality of the keys) is mathematically critical; without it, the dot products for large dimensional vectors grow excessively large, pushing the subsequent softmax function into regions where gradients approach zero, thereby stalling neural network training. The softmax function normalizes these raw scores into a definitive probability distribution that sums to one, defining exactly how much semantic "attention" each token must pay to its neighbors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Quantifying Semantic Overlap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SBERT model has contextualized the sequence and generated dense vector representations, the system must mathematically compare the Suspicious Document Vector (</w:t>
      </w:r>
      <w:r w:rsidDel="00000000" w:rsidR="00000000" w:rsidRPr="00000000">
        <w:rPr>
          <w:rFonts w:ascii="Arial" w:cs="Arial" w:eastAsia="Arial" w:hAnsi="Arial"/>
          <w:color w:val="1f1f1f"/>
        </w:rPr>
        <w:drawing>
          <wp:inline distB="19050" distT="19050" distL="19050" distR="19050">
            <wp:extent cx="112157" cy="239268"/>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12157" cy="239268"/>
                    </a:xfrm>
                    <a:prstGeom prst="rect"/>
                    <a:ln/>
                  </pic:spPr>
                </pic:pic>
              </a:graphicData>
            </a:graphic>
          </wp:inline>
        </w:drawing>
      </w:r>
      <w:r w:rsidDel="00000000" w:rsidR="00000000" w:rsidRPr="00000000">
        <w:rPr>
          <w:rFonts w:ascii="Arial" w:cs="Arial" w:eastAsia="Arial" w:hAnsi="Arial"/>
          <w:color w:val="1f1f1f"/>
          <w:rtl w:val="0"/>
        </w:rPr>
        <w:t xml:space="preserve">) against a Source Document Vector (</w:t>
      </w:r>
      <w:r w:rsidDel="00000000" w:rsidR="00000000" w:rsidRPr="00000000">
        <w:rPr>
          <w:rFonts w:ascii="Arial" w:cs="Arial" w:eastAsia="Arial" w:hAnsi="Arial"/>
          <w:color w:val="1f1f1f"/>
        </w:rPr>
        <w:drawing>
          <wp:inline distB="19050" distT="19050" distL="19050" distR="19050">
            <wp:extent cx="102156" cy="251460"/>
            <wp:effectExtent b="0" l="0" r="0" t="0"/>
            <wp:docPr id="24"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02156" cy="251460"/>
                    </a:xfrm>
                    <a:prstGeom prst="rect"/>
                    <a:ln/>
                  </pic:spPr>
                </pic:pic>
              </a:graphicData>
            </a:graphic>
          </wp:inline>
        </w:drawing>
      </w:r>
      <w:r w:rsidDel="00000000" w:rsidR="00000000" w:rsidRPr="00000000">
        <w:rPr>
          <w:rFonts w:ascii="Arial" w:cs="Arial" w:eastAsia="Arial" w:hAnsi="Arial"/>
          <w:color w:val="1f1f1f"/>
          <w:rtl w:val="0"/>
        </w:rPr>
        <w:t xml:space="preserve">). The Veritas engine utilizes Cosine Similarity in this high-dimensional space to precisely quantify the degree of semantic overlap: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66978"/>
            <wp:effectExtent b="0" l="0" r="0" t="0"/>
            <wp:docPr id="2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05500" cy="86697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equation calculates the cosine of the angle between the two multidimensional vectors. If the resulting score approaches 1, the semantic meaning and cognitive intent of the texts are nearly identical, completely exposing the student's attempt to use a thesaurus or structural reordering to mask their plagiarism. If the score approaches 0, the vectors are orthogonal, indicating complete contextual independence. By routing documents through this dual-engine pipeline—pairing the fast statistical baseline of TF-IDF for exact matches with the High-Dimensional Semantic Vectorization Layer of SBERT—Veritas produces a hybrid similarity report that leaves virtually no avenue for textual evasion.</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High-Performance GPU Vector Indexing and Memory Management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Implementing dense vector embeddings at an institutional scale introduces severe computational challenges. While generating vectors is resource-intensive, searching a newly submitted document against a corpus of millions of historical vectors using exact nearest-neighbor calculations is computationally prohibitive for real-time applications. To facilitate sub-second retrieval, the Veritas architecture incorporates the Facebook AI Similarity Search (FAISS) library, a toolkit explicitly dedicated to highly optimized, hardware-accelerated vector similarity search within complex vector databases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 approach to accelerating dense retrieval relies on approximate nearest neighbor (ANN) algorithms. A foundational technique within FAISS is the Inverted File Flat (IVF-Flat) index. The mathematical construction of the IVF index begins with partitioning the high-dimensional space into Voronoi cells. K-Means clustering is performed on the core vectors </w:t>
      </w:r>
      <w:r w:rsidDel="00000000" w:rsidR="00000000" w:rsidRPr="00000000">
        <w:rPr>
          <w:rFonts w:ascii="Arial" w:cs="Arial" w:eastAsia="Arial" w:hAnsi="Arial"/>
          <w:color w:val="1f1f1f"/>
        </w:rPr>
        <w:drawing>
          <wp:inline distB="19050" distT="19050" distL="19050" distR="19050">
            <wp:extent cx="677585" cy="246394"/>
            <wp:effectExtent b="0" l="0" r="0" t="0"/>
            <wp:docPr id="2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77585" cy="246394"/>
                    </a:xfrm>
                    <a:prstGeom prst="rect"/>
                    <a:ln/>
                  </pic:spPr>
                </pic:pic>
              </a:graphicData>
            </a:graphic>
          </wp:inline>
        </w:drawing>
      </w:r>
      <w:r w:rsidDel="00000000" w:rsidR="00000000" w:rsidRPr="00000000">
        <w:rPr>
          <w:rFonts w:ascii="Arial" w:cs="Arial" w:eastAsia="Arial" w:hAnsi="Arial"/>
          <w:color w:val="1f1f1f"/>
          <w:rtl w:val="0"/>
        </w:rPr>
        <w:t xml:space="preserve"> to establish </w:t>
      </w:r>
      <w:r w:rsidDel="00000000" w:rsidR="00000000" w:rsidRPr="00000000">
        <w:rPr>
          <w:rFonts w:ascii="Arial" w:cs="Arial" w:eastAsia="Arial" w:hAnsi="Arial"/>
          <w:color w:val="1f1f1f"/>
        </w:rPr>
        <w:drawing>
          <wp:inline distB="19050" distT="19050" distL="19050" distR="19050">
            <wp:extent cx="180261" cy="250797"/>
            <wp:effectExtent b="0" l="0" r="0" t="0"/>
            <wp:docPr id="2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80261" cy="250797"/>
                    </a:xfrm>
                    <a:prstGeom prst="rect"/>
                    <a:ln/>
                  </pic:spPr>
                </pic:pic>
              </a:graphicData>
            </a:graphic>
          </wp:inline>
        </w:drawing>
      </w:r>
      <w:r w:rsidDel="00000000" w:rsidR="00000000" w:rsidRPr="00000000">
        <w:rPr>
          <w:rFonts w:ascii="Arial" w:cs="Arial" w:eastAsia="Arial" w:hAnsi="Arial"/>
          <w:color w:val="1f1f1f"/>
          <w:rtl w:val="0"/>
        </w:rPr>
        <w:t xml:space="preserve"> distinct cluster centroids, denoted as </w:t>
      </w:r>
      <w:r w:rsidDel="00000000" w:rsidR="00000000" w:rsidRPr="00000000">
        <w:rPr>
          <w:rFonts w:ascii="Arial" w:cs="Arial" w:eastAsia="Arial" w:hAnsi="Arial"/>
          <w:color w:val="1f1f1f"/>
        </w:rPr>
        <w:drawing>
          <wp:inline distB="19050" distT="19050" distL="19050" distR="19050">
            <wp:extent cx="1682467" cy="243615"/>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682467" cy="24361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ingestion phase, every historical document vector is assigned to its nearest centroid based on cosine similarity, forming inverted lists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When a student submits a new document, the system does not scan the entire database. Instead, the hybrid query vector is compared only against the </w:t>
      </w:r>
      <w:r w:rsidDel="00000000" w:rsidR="00000000" w:rsidRPr="00000000">
        <w:rPr>
          <w:rFonts w:ascii="Arial" w:cs="Arial" w:eastAsia="Arial" w:hAnsi="Arial"/>
          <w:color w:val="1f1f1f"/>
        </w:rPr>
        <w:drawing>
          <wp:inline distB="19050" distT="19050" distL="19050" distR="19050">
            <wp:extent cx="180261" cy="250797"/>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80261" cy="250797"/>
                    </a:xfrm>
                    <a:prstGeom prst="rect"/>
                    <a:ln/>
                  </pic:spPr>
                </pic:pic>
              </a:graphicData>
            </a:graphic>
          </wp:inline>
        </w:drawing>
      </w:r>
      <w:r w:rsidDel="00000000" w:rsidR="00000000" w:rsidRPr="00000000">
        <w:rPr>
          <w:rFonts w:ascii="Arial" w:cs="Arial" w:eastAsia="Arial" w:hAnsi="Arial"/>
          <w:color w:val="1f1f1f"/>
          <w:rtl w:val="0"/>
        </w:rPr>
        <w:t xml:space="preserve"> centroids. The system selects a limited probe count (</w:t>
      </w:r>
      <w:r w:rsidDel="00000000" w:rsidR="00000000" w:rsidRPr="00000000">
        <w:rPr>
          <w:rFonts w:ascii="Arial" w:cs="Arial" w:eastAsia="Arial" w:hAnsi="Arial"/>
          <w:color w:val="1f1f1f"/>
        </w:rPr>
        <w:drawing>
          <wp:inline distB="19050" distT="19050" distL="19050" distR="19050">
            <wp:extent cx="141565" cy="251672"/>
            <wp:effectExtent b="0" l="0" r="0" t="0"/>
            <wp:docPr id="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141565" cy="251672"/>
                    </a:xfrm>
                    <a:prstGeom prst="rect"/>
                    <a:ln/>
                  </pic:spPr>
                </pic:pic>
              </a:graphicData>
            </a:graphic>
          </wp:inline>
        </w:drawing>
      </w:r>
      <w:r w:rsidDel="00000000" w:rsidR="00000000" w:rsidRPr="00000000">
        <w:rPr>
          <w:rFonts w:ascii="Arial" w:cs="Arial" w:eastAsia="Arial" w:hAnsi="Arial"/>
          <w:color w:val="1f1f1f"/>
          <w:rtl w:val="0"/>
        </w:rPr>
        <w:t xml:space="preserve">) of the most promising centroids and restricts the deep distance calculations strictly to the vectors residing within those specific inverted lists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Vector Indexing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Strategic Advantage over Standard Vectors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Embeddings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dense vector per document.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General-purpose semantic search; easy to deploy.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ColBERT (Late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Bag of vectors (one per token); late interaction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Superior accuracy; retains granular detail lost when compressing a document into a single vector.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GraphRAG (Knowledge 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Vectors combined with node/edge topological relationships.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Superior reasoning; maps conceptual multi-hop relationships rather than just textual proximity.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Hybrid Search (Sparse + Dense)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Combines BM25 exact keyword matching with dense semantics.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Superior reliability; effectively captures exact nouns/SKUs while maintaining deep semantic understanding.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Generative Retrieval (DSI)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LLM directly memorizes documents and hallucinates the Document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Eliminates the vector index entirely; cutting-edge neural retrieval model.</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2: Evolution of Vector Search and Advanced Retrieval Frameworks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Overcoming GPU Latency and Mutability Bottlenecks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FAISS provides immense throughput when executing searches across static datasets, enterprise educational deployments are highly dynamic; students constantly upload and delete drafts, necessitating high-frequency index mutability. In traditional GPU-based FAISS architectures, inverted lists are stored in pre-allocated, contiguous memory arrays to maximize memory coalescing and bandwidth utilization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contiguous layout creates a catastrophic bottleneck during deletion operations. When a vector is physically deleted from a standard GPU index, it triggers expensive data shifting to close the memory gap. Performance telemetry indicates that physical deletion spikes latency by approximately 7.1 times (reaching </w:t>
      </w:r>
      <w:r w:rsidDel="00000000" w:rsidR="00000000" w:rsidRPr="00000000">
        <w:rPr>
          <w:rFonts w:ascii="Arial" w:cs="Arial" w:eastAsia="Arial" w:hAnsi="Arial"/>
          <w:color w:val="1f1f1f"/>
        </w:rPr>
        <w:drawing>
          <wp:inline distB="19050" distT="19050" distL="19050" distR="19050">
            <wp:extent cx="500896" cy="235269"/>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00896" cy="235269"/>
                    </a:xfrm>
                    <a:prstGeom prst="rect"/>
                    <a:ln/>
                  </pic:spPr>
                </pic:pic>
              </a:graphicData>
            </a:graphic>
          </wp:inline>
        </w:drawing>
      </w:r>
      <w:r w:rsidDel="00000000" w:rsidR="00000000" w:rsidRPr="00000000">
        <w:rPr>
          <w:rFonts w:ascii="Arial" w:cs="Arial" w:eastAsia="Arial" w:hAnsi="Arial"/>
          <w:color w:val="1f1f1f"/>
          <w:rtl w:val="0"/>
        </w:rPr>
        <w:t xml:space="preserve"> ms for small indices), and this penalty scales linearly with index size, projecting to over 360 ms at 50 million vectors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rigid class hierarchy of standard implementations forces eviction logic to fall back to host-side processing on CPUs, abandoning the parallel processing power of the device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neutralize this latency bottleneck, the Veritas architecture can implement specialized GPU-resident indexing methods that utilize Slab-based Dynamic Memory Allocators (SDMA). Instead of utilizing rigid contiguous arrays, the SDMA represents each Inverted File list as a singly linked chain of fixed-capacity slabs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structure permits non-blocking, constant-time deletion through bitmap-based lazy eviction.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eviction command is issued, the system utilizes an Address Translation Table (ATT) to map the user identifier to its physical coordinate in the slab pool, toggling a validity bitmap without requiring any physical data shifting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During the search phase, the engine utilizes warp-cooperative search procedures. GPU threads inspect the validity bitmap; if a vector is valid, the payload is loaded, distances are computed against the shared query, and local top-</w:t>
      </w:r>
      <w:r w:rsidDel="00000000" w:rsidR="00000000" w:rsidRPr="00000000">
        <w:rPr>
          <w:rFonts w:ascii="Arial" w:cs="Arial" w:eastAsia="Arial" w:hAnsi="Arial"/>
          <w:color w:val="1f1f1f"/>
        </w:rPr>
        <w:drawing>
          <wp:inline distB="19050" distT="19050" distL="19050" distR="19050">
            <wp:extent cx="108228" cy="266407"/>
            <wp:effectExtent b="0" l="0" r="0" t="0"/>
            <wp:docPr id="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08228" cy="266407"/>
                    </a:xfrm>
                    <a:prstGeom prst="rect"/>
                    <a:ln/>
                  </pic:spPr>
                </pic:pic>
              </a:graphicData>
            </a:graphic>
          </wp:inline>
        </w:drawing>
      </w:r>
      <w:r w:rsidDel="00000000" w:rsidR="00000000" w:rsidRPr="00000000">
        <w:rPr>
          <w:rFonts w:ascii="Arial" w:cs="Arial" w:eastAsia="Arial" w:hAnsi="Arial"/>
          <w:color w:val="1f1f1f"/>
          <w:rtl w:val="0"/>
        </w:rPr>
        <w:t xml:space="preserve"> queues are updated in registers before being merged into the final result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architectural refinement ensures that the Veritas platform maintains constant sub-second performance regardless of dynamic database mutations.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Adversarial Defenses: Beyond Traditional Text Analysis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platform deploys a suite of secondary AI networks designed to intercept specialized evasion tactics that operate outside the boundaries of textual paraphrasing. These defenses focus on formatting obfuscation, stylistic behavioral anomalies, and cross-modal code plagiarism.</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Optical Character Recognition (OCR) Document Capture Layer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highly effective, yet mechanically simple, evasion tactic involves format obfuscation. Students convert their plagiarized essays into flattened image formats (JPEG/PNG) and embed them within a PDF, or they apply security restrictions that disable text extraction. Standard plagiarism parsers attempt to read the binary text stream, find nothing, and return a flawless originality report.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guarantee robustness against adversarial formatting, Veritas introduces an Optical Character Recognition (OCR) Front-End Text Extraction Layer utilizing deep learning-based character recognition engines, such as Tesseract or EasyOCR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operational workflow routes every incoming submission through this layer first: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97352"/>
            <wp:effectExtent b="0" l="0" r="0" t="0"/>
            <wp:docPr id="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05500" cy="69735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ensures that whether a student submits a digitally typed essay or a high-resolution photograph of a printed textbook page, the textual data is systematically extracted and fed directly into the hybrid TF-IDF and High-Dimensional Vectorization engines for evaluation.</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Stylometric Author Fingerprinting and Adversarial Verification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intractable form of academic dishonesty is contract cheating, where a student commissions a completely original paper from a ghostwriter. Because the text is bespoke, neither statistical indexing nor semantic vectorization will find a match on the internet. To detect this, Veritas employs Stylometric Author Fingerprinting, analyzing the subconscious "Writeprint" of the student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Authorship analysis, or stylometry, is a specialized domain of Natural Language Processing that quantifies the behavioral variations in an author's writing style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Rather than vectorizing the semantic meaning, the AI Forensics engine extracts high-dimensional stylistic features, including part-of-speech (POS) n-grams, vocabulary richness, punctuation habits, and average sentence length variance (burstiness)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algorithm deployed in this module calculates Yule's K characteristic, an information-theoretic measure of lexical richness that remains highly stable regardless of document length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By aggregating a student's historical submissions, the system constructs a localized behavioral profile. If a student with historically basic syntax and high repetition suddenly submits a structurally flawless paper exhibiting massive vocabulary diversity, the engine flags a Stylometric Anomaly. Extensive experimental research demonstrates that combining linguistic and statistical features with machine learning processes—such as XGBoost or Support Vector Machines—yields exceptionally high accuracy in authorship attribution and style change detection, providing a robust defense against contract cheating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AST Normalization and CodeBERT for Software Plagiarism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Detecting plagiarism in programming assignments requires an entirely different modality. Source code is rigidly structured; a student can completely alter the visual text of an algorithm by renaming variables, modifying indentation, and swapping equivalent operators, effectively defeating standard token overlap checks while perfectly preserving the computational logic.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AI engine neutralizes code obfuscation by converting all incoming source code into an Abstract Syntax Tree (AST). This transformation strips away superficial identifiers and reduces the program to its core structural components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To rapidly identify cloned sub-trees, the engine deploys the Karp-Rabin fingerprinting algorithm, which utilizes a rolling hash technique over the sequence of AST tokens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rolling hash updates in </w:t>
      </w:r>
      <w:r w:rsidDel="00000000" w:rsidR="00000000" w:rsidRPr="00000000">
        <w:rPr>
          <w:rFonts w:ascii="Arial" w:cs="Arial" w:eastAsia="Arial" w:hAnsi="Arial"/>
          <w:color w:val="1f1f1f"/>
        </w:rPr>
        <w:drawing>
          <wp:inline distB="19050" distT="19050" distL="19050" distR="19050">
            <wp:extent cx="405527" cy="244846"/>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527" cy="244846"/>
                    </a:xfrm>
                    <a:prstGeom prst="rect"/>
                    <a:ln/>
                  </pic:spPr>
                </pic:pic>
              </a:graphicData>
            </a:graphic>
          </wp:inline>
        </w:drawing>
      </w:r>
      <w:r w:rsidDel="00000000" w:rsidR="00000000" w:rsidRPr="00000000">
        <w:rPr>
          <w:rFonts w:ascii="Arial" w:cs="Arial" w:eastAsia="Arial" w:hAnsi="Arial"/>
          <w:color w:val="1f1f1f"/>
          <w:rtl w:val="0"/>
        </w:rPr>
        <w:t xml:space="preserve"> time, allowing the system to scan massive codebases with extreme computational efficiency.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deeper, cross-lingual logical alignment, the architecture integrates CodeBERT. CodeBERT is a bimodal pre-trained neural architecture built on Transformer networks, specifically designed to comprehend both natural language and programming languages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Trained with a hybrid objective function, CodeBERT generates dense embeddings for code snippets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By passing the normalized AST structures through CodeBERT, the Veritas platform can mathematically align the abstract logical workflow of a submitted script against historical databases, identifying pirated algorithms regardless of the specific variable nomenclature utilized by the student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Cryptographic Proof of Integrity via Merkle Tree Ledgers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detection of academic misconduct frequently escalates to formal disciplinary tribunals. In these highly adversarial environments, institutions must prove not only that plagiarism occurred, but that the digital evidence—the student's submission and the generated similarity report—has not been tampered with or retroactively altered by database administrators or malicious network actors. The Veritas Enterprise Core achieves absolute evidentiary immutability by integrating a cryptographic data arrangement known as a Merkle Tree into the Spring Boot backend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Merkle tree, or binary hash tree, is a foundational cryptographic framework utilized heavily in distributed systems and blockchain technology to efficiently verify the integrity and consistency of massive datasets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architecture functions by recurrently hashing data in a hierarchical, tree-like structure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implementation of the Veritas audit ledger begins by aggregating the data blocks associated with a submission: the raw extracted text, the AST tokens, the stylometric feature sets, and the final AI forensic telemetry. Each of these discrete data blocks is processed through a Secure Hash Algorithm (SHA-256), a cryptographic function that outputs a fixed-size digest for variable-length input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These individual SHA-256 hashes form the leaf nodes of the Merkle tree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a standard linked list that relies on regular memory pointers storing physical addresses, the Merkle tree utilizes hash pointers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leaf nodes are grouped into sequential pairs. The hashes of these pairs are concatenated and hashed again, forming the non-leaf parent nodes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process of pairwise hashing propagates upward through the levels of the tree until it culminates in a single, unified cryptographic digest known as the Merkle Root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The Merkle Root is then permanently stored in the header of the institutional block</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Merkle Tree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Structural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Cryptographic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 layer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Contains the actual student submission text, telemetry, and forensic reports.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Leaf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Bottom tier of the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Contains the direct SHA-256 cryptographic hash of the underlying data block.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Non-Leaf (Parent)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Intermediate tree 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Contains the combined hash value generated from its two immediate child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Merkle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apex of the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single cryptographic fingerprint representing the entire dataset; stored securely in the block header.</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3: Structural Topology of the SHA-256 Merkle Tree Ledger</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profound security advantage of this structure lies in its cascading sensitivity to mutation. Because every parent node is entirely dependent on the hashes of its children, altering even a single comma within a student's submission will categorically alter the leaf hash. This localized change instantly propagates upward, invalidating every subsequent parent node and fundamentally mutating the final Merkle Root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academic tribunal requests verification, the system generates a Merkle Proof. To prove that a specific document belongs to the dataset without requiring the tribunal to process the entire database, the system provides only the specific sibling hashes required to reconstruct the path from the leaf to the root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If the recalculated root perfectly matches the root stored in the secure block header, the institution possesses mathematical proof that the evidence is completely unaltered and pristine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Navigating Regulatory Compliance: UGC 2018 and the DPDP Act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enterprise educational technology must operate strictly within the legal and regulatory frameworks governing the specific geographic jurisdiction. In the Indian context, the Veritas platform is explicitly architected to automate compliance with two intersecting statutory mandates: the UGC 2018 Academic Integrity Regulations and the Digital Personal Data Protection (DPDP) Act of 2023.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Automating the UGC 2018 Plagiarism Guidelines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2018, the University Grants Commission of India enacted the "Promotion of Academic Integrity and Prevention of Plagiarism in Higher Educational Institutions" Regulations, establishing a legally binding standard for academic misconduct across all recognized universities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regulations mandate that every Higher Educational Institution (HEI) must establish a two-tier investigative mechanism: a Departmental Academic Integrity Panel (DAIP) for initial fact-finding, which reports to an Institutional Academic Integrity Panel (IAIP) responsible for imposing penalties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legislation quantifies plagiarism into a rigid, four-tier penalty structure based entirely on the mathematical severity of the similarity index. The Veritas deterministic rubric deduction engine is programmed to map directly to these statutory thresholds, automatically recommending the legally required disciplinary actions.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UGC Plagiarism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Similarity 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Mandated Penalty: Students / Researchers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Mandated Penalty: Faculty / Staff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 to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Minor similarities; no formal penalty imposed.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Minor similarities; no formal penalty imposed.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Above 10% to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Required to submit a revised script within a stipulated time period not exceeding 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Required to withdraw the manuscript.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Above 40% to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Debarred from submitting a revised script for a strict period of one 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Withdrawal of manuscript; denial of one annual increment; barred from supervising new scholars for two years.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Above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Student registration for the programme is permanently cancelled.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Withdrawal of manuscript; denial of two successive annual increments; barred from supervising new scholars for three years.</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4: UGC 2018 Statutory Plagiarism Penalty Framework</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regulations stipulate stringent operational caveats that commercial software frequently mishandles. Section 7 of the mandate legally requires the exclusion of all quoted work reproduced with necessary attribution, references, bibliography, generic terms, laws, standard symbols, standard equations, and coincidental terms up to fourteen consecutive words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Legacy systems often report raw scores, forcing administrators to manually apply these exclusions—a process highly susceptible to human error.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AI Enhancement Layer solves this through its Automated Citation and Intent Classifier. By combining Regular Expressions (Regex) with Name Entity Recognition (NER) models, the engine automatically isolates properly formatted bibliographies, equations, and correctly cited quotations, mathematically excising them from the vector similarity calculation before generating the final score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ensures the resulting percentage strictly reflects actionable plagiarism, protecting students from false positives and insulating the institution from legal liability during IAIP proceedings.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Enforcing the Digital Personal Data Protection (DPDP) Act 2023</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Concurrently, the handling of student data is heavily regulated by India's comprehensive privacy legislation, the Digital Personal Data Protection (DPDP) Act, enacted in 2023</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For EdTech platforms operating within secondary education or processing undergraduate data for students under 18, the most severe compliance hurdles reside in Section 9 of the Act, which governs the processing of children's data</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DPDP Act completely prohibits behavioural targeting, monitoring, or advertising directed at minors, placing heightened obligations on educational platforms operating as Data Fiduciaries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Under Section 9, institutions and integrated EdTech providers must implement strict age-gating mechanisms and obtain verifiable consent from a parent or lawful guardian prior to processing any personal data; generic terms of service acceptances are legally invalid</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architecture is designed with "Privacy by Design" principles to automate DPDP compliance. Unlike legacy commercial checkers that silently upload student manuscripts to massive external cloud repositories to build proprietary databases, Veritas utilizes a lightweight, localized pipeline. The high-dimensional semantic vectorization and Merkle tree ledgers can run entirely on-premise, guaranteeing complete data sovereignty and preventing sensitive student data from crossing international borders. Furthermore, the platform integrates verifiable parental consent verification workflows and explicitly disables any learning analytics or telemetry that could be construed as behavioural targeting of minors, ensuring the institution remains fully protected under the strictures of the DPDP Act</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Synthesis and Future Outlook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Veritas Enterprise Integrity Architecture represents a definitive maturation in the field of educational technology. The era of evaluating academic integrity through statistical character overlap has unequivocally ended, bypassed by adversarial homoglyphs, machine translation chaining, and generative artificial intelligence. The preservation of institutional trust now requires systems that comprehend the underlying cognitive logic, stylistic behavioral traits, and structural syntax of academic submissions.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deploying an autonomous 7-agent matrix, the platform ensures rapid, highly verified architectural deployment characterized by zero-latency interaction and extreme frontend resilience. The transition to High-Dimensional Semantic Vectorization via Sentence-BERT, accelerated by advanced GPU memory allocators managing FAISS indices, provides the computational horsepower necessary to identify deep conceptual plagiarism in real-time. The integration of stylometric fingerprinting and AST normalization closes the critical vulnerabilities of contract cheating and code obfuscation. Finally, by anchoring all findings within a cryptographic Merkle Tree ledger, the platform transitions from an investigative tool into an irrefutable mechanism of legal and academic truth, strictly aligned with complex statutory frameworks such as the UGC 2018 regulations and the DPDP Act 2023. As educational landscapes continue to evolve, the methodologies embedded within the Veritas architecture will serve as the foundational standard for verifying human cognition in a synthetic era.</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FBO Particles with Three.js #10 - YouTube, </w:t>
      </w:r>
      <w:hyperlink r:id="rId29">
        <w:r w:rsidDel="00000000" w:rsidR="00000000" w:rsidRPr="00000000">
          <w:rPr>
            <w:rFonts w:ascii="Arial" w:cs="Arial" w:eastAsia="Arial" w:hAnsi="Arial"/>
            <w:color w:val="0000ee"/>
            <w:sz w:val="24"/>
            <w:szCs w:val="24"/>
            <w:u w:val="single"/>
            <w:rtl w:val="0"/>
          </w:rPr>
          <w:t xml:space="preserve">https://www.youtube.com/watch?v=oLH00MXTqNg</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Verified Multi-Agent Orchestration: A Plan-Execute-Verify-Replan, </w:t>
      </w:r>
      <w:hyperlink r:id="rId30">
        <w:r w:rsidDel="00000000" w:rsidR="00000000" w:rsidRPr="00000000">
          <w:rPr>
            <w:rFonts w:ascii="Arial" w:cs="Arial" w:eastAsia="Arial" w:hAnsi="Arial"/>
            <w:color w:val="0000ee"/>
            <w:sz w:val="24"/>
            <w:szCs w:val="24"/>
            <w:u w:val="single"/>
            <w:rtl w:val="0"/>
          </w:rPr>
          <w:t xml:space="preserve">https://arxiv.org/html/2603.11445v1</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Cogentic: Multi-Agent Orchestration for Automated Proof Discovery, </w:t>
      </w:r>
      <w:hyperlink r:id="rId31">
        <w:r w:rsidDel="00000000" w:rsidR="00000000" w:rsidRPr="00000000">
          <w:rPr>
            <w:rFonts w:ascii="Arial" w:cs="Arial" w:eastAsia="Arial" w:hAnsi="Arial"/>
            <w:color w:val="0000ee"/>
            <w:sz w:val="24"/>
            <w:szCs w:val="24"/>
            <w:u w:val="single"/>
            <w:rtl w:val="0"/>
          </w:rPr>
          <w:t xml:space="preserve">https://arxiv.org/html/2609.40324v1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Autonomous Event-Driven Multi-Agent Orchestration for Enterprise, </w:t>
      </w:r>
      <w:hyperlink r:id="rId32">
        <w:r w:rsidDel="00000000" w:rsidR="00000000" w:rsidRPr="00000000">
          <w:rPr>
            <w:rFonts w:ascii="Arial" w:cs="Arial" w:eastAsia="Arial" w:hAnsi="Arial"/>
            <w:color w:val="0000ee"/>
            <w:sz w:val="24"/>
            <w:szCs w:val="24"/>
            <w:u w:val="single"/>
            <w:rtl w:val="0"/>
          </w:rPr>
          <w:t xml:space="preserve">https://arxiv.org/html/2606.20058v2</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Plagiarism Detection in arXiv, </w:t>
      </w:r>
      <w:hyperlink r:id="rId33">
        <w:r w:rsidDel="00000000" w:rsidR="00000000" w:rsidRPr="00000000">
          <w:rPr>
            <w:rFonts w:ascii="Arial" w:cs="Arial" w:eastAsia="Arial" w:hAnsi="Arial"/>
            <w:color w:val="0000ee"/>
            <w:sz w:val="24"/>
            <w:szCs w:val="24"/>
            <w:u w:val="single"/>
            <w:rtl w:val="0"/>
          </w:rPr>
          <w:t xml:space="preserve">https://arxiv.org/pdf/cs/0702012</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Plagiarism Detection Application Uses Winnowing Algorithm with, </w:t>
      </w:r>
      <w:hyperlink r:id="rId34">
        <w:r w:rsidDel="00000000" w:rsidR="00000000" w:rsidRPr="00000000">
          <w:rPr>
            <w:rFonts w:ascii="Arial" w:cs="Arial" w:eastAsia="Arial" w:hAnsi="Arial"/>
            <w:color w:val="0000ee"/>
            <w:sz w:val="24"/>
            <w:szCs w:val="24"/>
            <w:u w:val="single"/>
            <w:rtl w:val="0"/>
          </w:rPr>
          <w:t xml:space="preserve">https://repositori.buddhidharma.ac.id/548/1/47-Article%20Text-149-2-10-20191209.pdf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[2002.08155] CodeBERT: A Pre-Trained Model for Programming, </w:t>
      </w:r>
      <w:hyperlink r:id="rId35">
        <w:r w:rsidDel="00000000" w:rsidR="00000000" w:rsidRPr="00000000">
          <w:rPr>
            <w:rFonts w:ascii="Arial" w:cs="Arial" w:eastAsia="Arial" w:hAnsi="Arial"/>
            <w:color w:val="0000ee"/>
            <w:sz w:val="24"/>
            <w:szCs w:val="24"/>
            <w:u w:val="single"/>
            <w:rtl w:val="0"/>
          </w:rPr>
          <w:t xml:space="preserve">https://arxiv.org/abs/2002.08155</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Faiss library - arXiv, </w:t>
      </w:r>
      <w:hyperlink r:id="rId36">
        <w:r w:rsidDel="00000000" w:rsidR="00000000" w:rsidRPr="00000000">
          <w:rPr>
            <w:rFonts w:ascii="Arial" w:cs="Arial" w:eastAsia="Arial" w:hAnsi="Arial"/>
            <w:color w:val="0000ee"/>
            <w:sz w:val="24"/>
            <w:szCs w:val="24"/>
            <w:u w:val="single"/>
            <w:rtl w:val="0"/>
          </w:rPr>
          <w:t xml:space="preserve">https://arxiv.org/pdf/2401.08281</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Faiss Library - arXiv, </w:t>
      </w:r>
      <w:hyperlink r:id="rId37">
        <w:r w:rsidDel="00000000" w:rsidR="00000000" w:rsidRPr="00000000">
          <w:rPr>
            <w:rFonts w:ascii="Arial" w:cs="Arial" w:eastAsia="Arial" w:hAnsi="Arial"/>
            <w:color w:val="0000ee"/>
            <w:sz w:val="24"/>
            <w:szCs w:val="24"/>
            <w:u w:val="single"/>
            <w:rtl w:val="0"/>
          </w:rPr>
          <w:t xml:space="preserve">https://arxiv.org/html/2401.08281v2</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BULGARIAN ACADEMY OF SCIENCES - arXiv, </w:t>
      </w:r>
      <w:hyperlink r:id="rId38">
        <w:r w:rsidDel="00000000" w:rsidR="00000000" w:rsidRPr="00000000">
          <w:rPr>
            <w:rFonts w:ascii="Arial" w:cs="Arial" w:eastAsia="Arial" w:hAnsi="Arial"/>
            <w:color w:val="0000ee"/>
            <w:sz w:val="24"/>
            <w:szCs w:val="24"/>
            <w:u w:val="single"/>
            <w:rtl w:val="0"/>
          </w:rPr>
          <w:t xml:space="preserve">https://arxiv.org/pdf/2501.13442</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GPU-Native Approximate Nearest Neighbor Search with IVF-RaBitQ, </w:t>
      </w:r>
      <w:hyperlink r:id="rId39">
        <w:r w:rsidDel="00000000" w:rsidR="00000000" w:rsidRPr="00000000">
          <w:rPr>
            <w:rFonts w:ascii="Arial" w:cs="Arial" w:eastAsia="Arial" w:hAnsi="Arial"/>
            <w:color w:val="0000ee"/>
            <w:sz w:val="24"/>
            <w:szCs w:val="24"/>
            <w:u w:val="single"/>
            <w:rtl w:val="0"/>
          </w:rPr>
          <w:t xml:space="preserve">https://arxiv.org/html/2602.23999v1</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SIVF: GPU-Resident IVF Index for Streaming Vector Search - arXiv, </w:t>
      </w:r>
      <w:hyperlink r:id="rId40">
        <w:r w:rsidDel="00000000" w:rsidR="00000000" w:rsidRPr="00000000">
          <w:rPr>
            <w:rFonts w:ascii="Arial" w:cs="Arial" w:eastAsia="Arial" w:hAnsi="Arial"/>
            <w:color w:val="0000ee"/>
            <w:sz w:val="24"/>
            <w:szCs w:val="24"/>
            <w:u w:val="single"/>
            <w:rtl w:val="0"/>
          </w:rPr>
          <w:t xml:space="preserve">https://arxiv.org/pdf/2601.11808</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Authorship Attribution Methods, Challenges, and Future Research, </w:t>
      </w:r>
      <w:hyperlink r:id="rId41">
        <w:r w:rsidDel="00000000" w:rsidR="00000000" w:rsidRPr="00000000">
          <w:rPr>
            <w:rFonts w:ascii="Arial" w:cs="Arial" w:eastAsia="Arial" w:hAnsi="Arial"/>
            <w:color w:val="0000ee"/>
            <w:sz w:val="24"/>
            <w:szCs w:val="24"/>
            <w:u w:val="single"/>
            <w:rtl w:val="0"/>
          </w:rPr>
          <w:t xml:space="preserve">https://www.mdpi.com/2078-2489/15/3/131</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fingerprint to writeprint | Request PDF - ResearchGate, </w:t>
      </w:r>
      <w:hyperlink r:id="rId42">
        <w:r w:rsidDel="00000000" w:rsidR="00000000" w:rsidRPr="00000000">
          <w:rPr>
            <w:rFonts w:ascii="Arial" w:cs="Arial" w:eastAsia="Arial" w:hAnsi="Arial"/>
            <w:color w:val="0000ee"/>
            <w:sz w:val="24"/>
            <w:szCs w:val="24"/>
            <w:u w:val="single"/>
            <w:rtl w:val="0"/>
          </w:rPr>
          <w:t xml:space="preserve">https://www.researchgate.net/publication/220421012_From_fingerprint_to_writeprint</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Benchmarking Stylometric Metrics for AI ... - Research Square, </w:t>
      </w:r>
      <w:hyperlink r:id="rId43">
        <w:r w:rsidDel="00000000" w:rsidR="00000000" w:rsidRPr="00000000">
          <w:rPr>
            <w:rFonts w:ascii="Arial" w:cs="Arial" w:eastAsia="Arial" w:hAnsi="Arial"/>
            <w:color w:val="0000ee"/>
            <w:sz w:val="24"/>
            <w:szCs w:val="24"/>
            <w:u w:val="single"/>
            <w:rtl w:val="0"/>
          </w:rPr>
          <w:t xml:space="preserve">https://assets-eu.researchsquare.com/files/rs-11118972/v1_covered_a43501f7-ebcd-41b8-abf7-154bcd710220.pdf</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arXiv:2310.16746v1 [cs.CL] 25 Oct 2023, </w:t>
      </w:r>
      <w:hyperlink r:id="rId44">
        <w:r w:rsidDel="00000000" w:rsidR="00000000" w:rsidRPr="00000000">
          <w:rPr>
            <w:rFonts w:ascii="Arial" w:cs="Arial" w:eastAsia="Arial" w:hAnsi="Arial"/>
            <w:color w:val="0000ee"/>
            <w:sz w:val="24"/>
            <w:szCs w:val="24"/>
            <w:u w:val="single"/>
            <w:rtl w:val="0"/>
          </w:rPr>
          <w:t xml:space="preserve">https://arxiv.org/pdf/2310.16746</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Automatic Code Plagiarism Detection using AST and Machine, </w:t>
      </w:r>
      <w:hyperlink r:id="rId45">
        <w:r w:rsidDel="00000000" w:rsidR="00000000" w:rsidRPr="00000000">
          <w:rPr>
            <w:rFonts w:ascii="Arial" w:cs="Arial" w:eastAsia="Arial" w:hAnsi="Arial"/>
            <w:color w:val="0000ee"/>
            <w:sz w:val="24"/>
            <w:szCs w:val="24"/>
            <w:u w:val="single"/>
            <w:rtl w:val="0"/>
          </w:rPr>
          <w:t xml:space="preserve">https://www.researchgate.net/publication/407042299_Automatic_Code_Plagiarism_Detection_using_AST_and_Machine_Learning</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Winnowing Algorithm: A Powerful Tool for Identifying Plagiarism in, </w:t>
      </w:r>
      <w:hyperlink r:id="rId46">
        <w:r w:rsidDel="00000000" w:rsidR="00000000" w:rsidRPr="00000000">
          <w:rPr>
            <w:rFonts w:ascii="Arial" w:cs="Arial" w:eastAsia="Arial" w:hAnsi="Arial"/>
            <w:color w:val="0000ee"/>
            <w:sz w:val="24"/>
            <w:szCs w:val="24"/>
            <w:u w:val="single"/>
            <w:rtl w:val="0"/>
          </w:rPr>
          <w:t xml:space="preserve">https://irojournals.com/tcsst/article/view/2036</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Arabic-English Cross-language Plagiarism Detection using, </w:t>
      </w:r>
      <w:hyperlink r:id="rId47">
        <w:r w:rsidDel="00000000" w:rsidR="00000000" w:rsidRPr="00000000">
          <w:rPr>
            <w:rFonts w:ascii="Arial" w:cs="Arial" w:eastAsia="Arial" w:hAnsi="Arial"/>
            <w:color w:val="0000ee"/>
            <w:sz w:val="24"/>
            <w:szCs w:val="24"/>
            <w:u w:val="single"/>
            <w:rtl w:val="0"/>
          </w:rPr>
          <w:t xml:space="preserve">https://scialert.net/fulltext/?doi=itj.2014.2349.2355</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Generalizability of Code Clone Detection on CodeBERT - arXiv, </w:t>
      </w:r>
      <w:hyperlink r:id="rId48">
        <w:r w:rsidDel="00000000" w:rsidR="00000000" w:rsidRPr="00000000">
          <w:rPr>
            <w:rFonts w:ascii="Arial" w:cs="Arial" w:eastAsia="Arial" w:hAnsi="Arial"/>
            <w:color w:val="0000ee"/>
            <w:sz w:val="24"/>
            <w:szCs w:val="24"/>
            <w:u w:val="single"/>
            <w:rtl w:val="0"/>
          </w:rPr>
          <w:t xml:space="preserve">https://arxiv.org/abs/2208.12588</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Merkle Tree in Blockchain - What It Is, Examples, Implementations, </w:t>
      </w:r>
      <w:hyperlink r:id="rId49">
        <w:r w:rsidDel="00000000" w:rsidR="00000000" w:rsidRPr="00000000">
          <w:rPr>
            <w:rFonts w:ascii="Arial" w:cs="Arial" w:eastAsia="Arial" w:hAnsi="Arial"/>
            <w:color w:val="0000ee"/>
            <w:sz w:val="24"/>
            <w:szCs w:val="24"/>
            <w:u w:val="single"/>
            <w:rtl w:val="0"/>
          </w:rPr>
          <w:t xml:space="preserve">https://www.wallstreetmojo.com/merkle-tree/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Merkle Tree, a simple explanation and implementation - Medium, </w:t>
      </w:r>
      <w:hyperlink r:id="rId50">
        <w:r w:rsidDel="00000000" w:rsidR="00000000" w:rsidRPr="00000000">
          <w:rPr>
            <w:rFonts w:ascii="Arial" w:cs="Arial" w:eastAsia="Arial" w:hAnsi="Arial"/>
            <w:color w:val="0000ee"/>
            <w:sz w:val="24"/>
            <w:szCs w:val="24"/>
            <w:u w:val="single"/>
            <w:rtl w:val="0"/>
          </w:rPr>
          <w:t xml:space="preserve">https://medium.com/coinmonks/merkle-tree-a-simple-explanation-and-implementation-48903442bc08</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Java-based blockchain project that integrates Merkle Trees, SHA, </w:t>
      </w:r>
      <w:hyperlink r:id="rId51">
        <w:r w:rsidDel="00000000" w:rsidR="00000000" w:rsidRPr="00000000">
          <w:rPr>
            <w:rFonts w:ascii="Arial" w:cs="Arial" w:eastAsia="Arial" w:hAnsi="Arial"/>
            <w:color w:val="0000ee"/>
            <w:sz w:val="24"/>
            <w:szCs w:val="24"/>
            <w:u w:val="single"/>
            <w:rtl w:val="0"/>
          </w:rPr>
          <w:t xml:space="preserve">https://github.com/anjalichennupati/Blockchain_Application_using_Merkle_Trees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Blockchain Merkle Trees - GeeksforGeeks, </w:t>
      </w:r>
      <w:hyperlink r:id="rId52">
        <w:r w:rsidDel="00000000" w:rsidR="00000000" w:rsidRPr="00000000">
          <w:rPr>
            <w:rFonts w:ascii="Arial" w:cs="Arial" w:eastAsia="Arial" w:hAnsi="Arial"/>
            <w:color w:val="0000ee"/>
            <w:sz w:val="24"/>
            <w:szCs w:val="24"/>
            <w:u w:val="single"/>
            <w:rtl w:val="0"/>
          </w:rPr>
          <w:t xml:space="preserve">https://www.geeksforgeeks.org/software-engineering/blockchain-merkle-trees/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Merkle Trees Work? | Baeldung on Computer Science, </w:t>
      </w:r>
      <w:hyperlink r:id="rId53">
        <w:r w:rsidDel="00000000" w:rsidR="00000000" w:rsidRPr="00000000">
          <w:rPr>
            <w:rFonts w:ascii="Arial" w:cs="Arial" w:eastAsia="Arial" w:hAnsi="Arial"/>
            <w:color w:val="0000ee"/>
            <w:sz w:val="24"/>
            <w:szCs w:val="24"/>
            <w:u w:val="single"/>
            <w:rtl w:val="0"/>
          </w:rPr>
          <w:t xml:space="preserve">https://www.baeldung.com/cs/merkle-trees</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Cryptographic Tools 101 - Hash Functions and Merkle Trees - Helius, </w:t>
      </w:r>
      <w:hyperlink r:id="rId54">
        <w:r w:rsidDel="00000000" w:rsidR="00000000" w:rsidRPr="00000000">
          <w:rPr>
            <w:rFonts w:ascii="Arial" w:cs="Arial" w:eastAsia="Arial" w:hAnsi="Arial"/>
            <w:color w:val="0000ee"/>
            <w:sz w:val="24"/>
            <w:szCs w:val="24"/>
            <w:u w:val="single"/>
            <w:rtl w:val="0"/>
          </w:rPr>
          <w:t xml:space="preserve">https://www.helius.dev/blog/cryptographic-tools-101-hash-functions-and-merkle-trees-explained</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University Grants Commission (Promotion of Academic Integrity and, </w:t>
      </w:r>
      <w:hyperlink r:id="rId55">
        <w:r w:rsidDel="00000000" w:rsidR="00000000" w:rsidRPr="00000000">
          <w:rPr>
            <w:rFonts w:ascii="Arial" w:cs="Arial" w:eastAsia="Arial" w:hAnsi="Arial"/>
            <w:color w:val="0000ee"/>
            <w:sz w:val="24"/>
            <w:szCs w:val="24"/>
            <w:u w:val="single"/>
            <w:rtl w:val="0"/>
          </w:rPr>
          <w:t xml:space="preserve">https://www.codsjod.com/doi/CODS/pdf/10.5005/cods-9-2-iv</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University Grants Commission (Promotion of Academic Integrity, </w:t>
      </w:r>
      <w:hyperlink r:id="rId56">
        <w:r w:rsidDel="00000000" w:rsidR="00000000" w:rsidRPr="00000000">
          <w:rPr>
            <w:rFonts w:ascii="Arial" w:cs="Arial" w:eastAsia="Arial" w:hAnsi="Arial"/>
            <w:color w:val="0000ee"/>
            <w:sz w:val="24"/>
            <w:szCs w:val="24"/>
            <w:u w:val="single"/>
            <w:rtl w:val="0"/>
          </w:rPr>
          <w:t xml:space="preserve">https://indiankanoon.org/doc/57259509/</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UGC Plagiarism Regulations India: Complete Compliance Guide, </w:t>
      </w:r>
      <w:hyperlink r:id="rId57">
        <w:r w:rsidDel="00000000" w:rsidR="00000000" w:rsidRPr="00000000">
          <w:rPr>
            <w:rFonts w:ascii="Arial" w:cs="Arial" w:eastAsia="Arial" w:hAnsi="Arial"/>
            <w:color w:val="0000ee"/>
            <w:sz w:val="24"/>
            <w:szCs w:val="24"/>
            <w:u w:val="single"/>
            <w:rtl w:val="0"/>
          </w:rPr>
          <w:t xml:space="preserve">https://www.researchexperts.in/ugc-regulations-for-plagiarism/</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UGC (Promotion of Academic Integrity and Prevention of Plagiarism, </w:t>
      </w:r>
      <w:hyperlink r:id="rId58">
        <w:r w:rsidDel="00000000" w:rsidR="00000000" w:rsidRPr="00000000">
          <w:rPr>
            <w:rFonts w:ascii="Arial" w:cs="Arial" w:eastAsia="Arial" w:hAnsi="Arial"/>
            <w:color w:val="0000ee"/>
            <w:sz w:val="24"/>
            <w:szCs w:val="24"/>
            <w:u w:val="single"/>
            <w:rtl w:val="0"/>
          </w:rPr>
          <w:t xml:space="preserve">https://www.lislinks.com/forum/topics/ugc-plagiarism-regulation-2018</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India's UGC Anti-Plagiarism Rules (2018) - CASRAI, </w:t>
      </w:r>
      <w:hyperlink r:id="rId59">
        <w:r w:rsidDel="00000000" w:rsidR="00000000" w:rsidRPr="00000000">
          <w:rPr>
            <w:rFonts w:ascii="Arial" w:cs="Arial" w:eastAsia="Arial" w:hAnsi="Arial"/>
            <w:color w:val="0000ee"/>
            <w:sz w:val="24"/>
            <w:szCs w:val="24"/>
            <w:u w:val="single"/>
            <w:rtl w:val="0"/>
          </w:rPr>
          <w:t xml:space="preserve">https://casrai.org/guides/ugc-india-anti-plagiarism-regulations-2018</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ugc 2018 regulations on plagiarism and misconduct.pptx - Slideshare, </w:t>
      </w:r>
      <w:hyperlink r:id="rId60">
        <w:r w:rsidDel="00000000" w:rsidR="00000000" w:rsidRPr="00000000">
          <w:rPr>
            <w:rFonts w:ascii="Arial" w:cs="Arial" w:eastAsia="Arial" w:hAnsi="Arial"/>
            <w:color w:val="0000ee"/>
            <w:sz w:val="24"/>
            <w:szCs w:val="24"/>
            <w:u w:val="single"/>
            <w:rtl w:val="0"/>
          </w:rPr>
          <w:t xml:space="preserve">https://www.slideshare.net/slideshow/ugc-2018-regulations-on-plagiarism-and-misconduct-pptx/276193911</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DPDP Act Compliance for EdTech &amp; Schools in India, </w:t>
      </w:r>
      <w:hyperlink r:id="rId61">
        <w:r w:rsidDel="00000000" w:rsidR="00000000" w:rsidRPr="00000000">
          <w:rPr>
            <w:rFonts w:ascii="Arial" w:cs="Arial" w:eastAsia="Arial" w:hAnsi="Arial"/>
            <w:color w:val="0000ee"/>
            <w:sz w:val="24"/>
            <w:szCs w:val="24"/>
            <w:u w:val="single"/>
            <w:rtl w:val="0"/>
          </w:rPr>
          <w:t xml:space="preserve">https://dpdpcompliancesolution.com/industries/education-sector/</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Privacy Compliance for School and University Student Records, </w:t>
      </w:r>
      <w:hyperlink r:id="rId62">
        <w:r w:rsidDel="00000000" w:rsidR="00000000" w:rsidRPr="00000000">
          <w:rPr>
            <w:rFonts w:ascii="Arial" w:cs="Arial" w:eastAsia="Arial" w:hAnsi="Arial"/>
            <w:color w:val="0000ee"/>
            <w:sz w:val="24"/>
            <w:szCs w:val="24"/>
            <w:u w:val="single"/>
            <w:rtl w:val="0"/>
          </w:rPr>
          <w:t xml:space="preserve">https://amlegals.com/privacy-compliance-for-school-and-university-student-records-from-collection-to-expunction/</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Education Sector: DPDPA Compliance Guide - Cyber Law Consulting, </w:t>
      </w:r>
      <w:hyperlink r:id="rId63">
        <w:r w:rsidDel="00000000" w:rsidR="00000000" w:rsidRPr="00000000">
          <w:rPr>
            <w:rFonts w:ascii="Arial" w:cs="Arial" w:eastAsia="Arial" w:hAnsi="Arial"/>
            <w:color w:val="0000ee"/>
            <w:sz w:val="24"/>
            <w:szCs w:val="24"/>
            <w:u w:val="single"/>
            <w:rtl w:val="0"/>
          </w:rPr>
          <w:t xml:space="preserve">https://www.cyberlawconsulting.com/education_sector_compliance_guide.php</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DPDP Act Compliance for EdTech &amp; Schools in India, </w:t>
      </w:r>
      <w:hyperlink r:id="rId64">
        <w:r w:rsidDel="00000000" w:rsidR="00000000" w:rsidRPr="00000000">
          <w:rPr>
            <w:rFonts w:ascii="Arial" w:cs="Arial" w:eastAsia="Arial" w:hAnsi="Arial"/>
            <w:color w:val="0000ee"/>
            <w:sz w:val="24"/>
            <w:szCs w:val="24"/>
            <w:u w:val="single"/>
            <w:rtl w:val="0"/>
          </w:rPr>
          <w:t xml:space="preserve">https://ksandk.com/data-protection-and-data-privacy/dpdp-act-compliance-for-edtech-schools/</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EdTech — DPDP Act Compliance - PrivacyLedger, </w:t>
      </w:r>
      <w:hyperlink r:id="rId65">
        <w:r w:rsidDel="00000000" w:rsidR="00000000" w:rsidRPr="00000000">
          <w:rPr>
            <w:rFonts w:ascii="Arial" w:cs="Arial" w:eastAsia="Arial" w:hAnsi="Arial"/>
            <w:color w:val="0000ee"/>
            <w:sz w:val="24"/>
            <w:szCs w:val="24"/>
            <w:u w:val="single"/>
            <w:rtl w:val="0"/>
          </w:rPr>
          <w:t xml:space="preserve">https://www.privacyledger.ai/solutions/edtech</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DPDP Act Compliance for Schools in India - MYITMANAGER, </w:t>
      </w:r>
      <w:hyperlink r:id="rId66">
        <w:r w:rsidDel="00000000" w:rsidR="00000000" w:rsidRPr="00000000">
          <w:rPr>
            <w:rFonts w:ascii="Arial" w:cs="Arial" w:eastAsia="Arial" w:hAnsi="Arial"/>
            <w:color w:val="0000ee"/>
            <w:sz w:val="24"/>
            <w:szCs w:val="24"/>
            <w:u w:val="single"/>
            <w:rtl w:val="0"/>
          </w:rPr>
          <w:t xml:space="preserve">https://myitmanager.in/dpdp-act-schools-india/</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DPDP Act for Schools, Colleges &amp; EdTech: Compliance Guide, </w:t>
      </w:r>
      <w:hyperlink r:id="rId67">
        <w:r w:rsidDel="00000000" w:rsidR="00000000" w:rsidRPr="00000000">
          <w:rPr>
            <w:rFonts w:ascii="Arial" w:cs="Arial" w:eastAsia="Arial" w:hAnsi="Arial"/>
            <w:color w:val="0000ee"/>
            <w:sz w:val="24"/>
            <w:szCs w:val="24"/>
            <w:u w:val="single"/>
            <w:rtl w:val="0"/>
          </w:rPr>
          <w:t xml:space="preserve">https://dpdp-compliance.in/industries/education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601.11808" TargetMode="External"/><Relationship Id="rId42" Type="http://schemas.openxmlformats.org/officeDocument/2006/relationships/hyperlink" Target="https://www.researchgate.net/publication/220421012_From_fingerprint_to_writeprint" TargetMode="External"/><Relationship Id="rId41" Type="http://schemas.openxmlformats.org/officeDocument/2006/relationships/hyperlink" Target="https://www.mdpi.com/2078-2489/15/3/131" TargetMode="External"/><Relationship Id="rId44" Type="http://schemas.openxmlformats.org/officeDocument/2006/relationships/hyperlink" Target="https://arxiv.org/pdf/2310.16746" TargetMode="External"/><Relationship Id="rId43" Type="http://schemas.openxmlformats.org/officeDocument/2006/relationships/hyperlink" Target="https://assets-eu.researchsquare.com/files/rs-11118972/v1_covered_a43501f7-ebcd-41b8-abf7-154bcd710220.pdf" TargetMode="External"/><Relationship Id="rId46" Type="http://schemas.openxmlformats.org/officeDocument/2006/relationships/hyperlink" Target="https://irojournals.com/tcsst/article/view/2036" TargetMode="External"/><Relationship Id="rId45" Type="http://schemas.openxmlformats.org/officeDocument/2006/relationships/hyperlink" Target="https://www.researchgate.net/publication/407042299_Automatic_Code_Plagiarism_Detection_using_AST_and_Machine_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arxiv.org/abs/2208.12588" TargetMode="External"/><Relationship Id="rId47" Type="http://schemas.openxmlformats.org/officeDocument/2006/relationships/hyperlink" Target="https://scialert.net/fulltext/?doi=itj.2014.2349.2355" TargetMode="External"/><Relationship Id="rId49" Type="http://schemas.openxmlformats.org/officeDocument/2006/relationships/hyperlink" Target="https://www.wallstreetmojo.com/merkle-tre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image" Target="media/image11.png"/><Relationship Id="rId31" Type="http://schemas.openxmlformats.org/officeDocument/2006/relationships/hyperlink" Target="https://arxiv.org/html/2609.40324v1" TargetMode="External"/><Relationship Id="rId30" Type="http://schemas.openxmlformats.org/officeDocument/2006/relationships/hyperlink" Target="https://arxiv.org/html/2603.11445v1" TargetMode="External"/><Relationship Id="rId33" Type="http://schemas.openxmlformats.org/officeDocument/2006/relationships/hyperlink" Target="https://arxiv.org/pdf/cs/0702012" TargetMode="External"/><Relationship Id="rId32" Type="http://schemas.openxmlformats.org/officeDocument/2006/relationships/hyperlink" Target="https://arxiv.org/html/2606.20058v2" TargetMode="External"/><Relationship Id="rId35" Type="http://schemas.openxmlformats.org/officeDocument/2006/relationships/hyperlink" Target="https://arxiv.org/abs/2002.08155" TargetMode="External"/><Relationship Id="rId34" Type="http://schemas.openxmlformats.org/officeDocument/2006/relationships/hyperlink" Target="https://repositori.buddhidharma.ac.id/548/1/47-Article%20Text-149-2-10-20191209.pdf" TargetMode="External"/><Relationship Id="rId37" Type="http://schemas.openxmlformats.org/officeDocument/2006/relationships/hyperlink" Target="https://arxiv.org/html/2401.08281v2" TargetMode="External"/><Relationship Id="rId36" Type="http://schemas.openxmlformats.org/officeDocument/2006/relationships/hyperlink" Target="https://arxiv.org/pdf/2401.08281" TargetMode="External"/><Relationship Id="rId39" Type="http://schemas.openxmlformats.org/officeDocument/2006/relationships/hyperlink" Target="https://arxiv.org/html/2602.23999v1" TargetMode="External"/><Relationship Id="rId38" Type="http://schemas.openxmlformats.org/officeDocument/2006/relationships/hyperlink" Target="https://arxiv.org/pdf/2501.13442" TargetMode="External"/><Relationship Id="rId62" Type="http://schemas.openxmlformats.org/officeDocument/2006/relationships/hyperlink" Target="https://amlegals.com/privacy-compliance-for-school-and-university-student-records-from-collection-to-expunction/" TargetMode="External"/><Relationship Id="rId61" Type="http://schemas.openxmlformats.org/officeDocument/2006/relationships/hyperlink" Target="https://dpdpcompliancesolution.com/industries/education-sector/" TargetMode="External"/><Relationship Id="rId20" Type="http://schemas.openxmlformats.org/officeDocument/2006/relationships/image" Target="media/image19.png"/><Relationship Id="rId64" Type="http://schemas.openxmlformats.org/officeDocument/2006/relationships/hyperlink" Target="https://ksandk.com/data-protection-and-data-privacy/dpdp-act-compliance-for-edtech-schools/" TargetMode="External"/><Relationship Id="rId63" Type="http://schemas.openxmlformats.org/officeDocument/2006/relationships/hyperlink" Target="https://www.cyberlawconsulting.com/education_sector_compliance_guide.php" TargetMode="External"/><Relationship Id="rId22" Type="http://schemas.openxmlformats.org/officeDocument/2006/relationships/image" Target="media/image7.png"/><Relationship Id="rId66" Type="http://schemas.openxmlformats.org/officeDocument/2006/relationships/hyperlink" Target="https://myitmanager.in/dpdp-act-schools-india/" TargetMode="External"/><Relationship Id="rId21" Type="http://schemas.openxmlformats.org/officeDocument/2006/relationships/image" Target="media/image20.png"/><Relationship Id="rId65" Type="http://schemas.openxmlformats.org/officeDocument/2006/relationships/hyperlink" Target="https://www.privacyledger.ai/solutions/edtech" TargetMode="External"/><Relationship Id="rId24" Type="http://schemas.openxmlformats.org/officeDocument/2006/relationships/image" Target="media/image1.png"/><Relationship Id="rId23" Type="http://schemas.openxmlformats.org/officeDocument/2006/relationships/image" Target="media/image8.png"/><Relationship Id="rId67" Type="http://schemas.openxmlformats.org/officeDocument/2006/relationships/hyperlink" Target="https://dpdp-compliance.in/industries/education" TargetMode="External"/><Relationship Id="rId60" Type="http://schemas.openxmlformats.org/officeDocument/2006/relationships/hyperlink" Target="https://www.slideshare.net/slideshow/ugc-2018-regulations-on-plagiarism-and-misconduct-pptx/276193911" TargetMode="External"/><Relationship Id="rId26" Type="http://schemas.openxmlformats.org/officeDocument/2006/relationships/image" Target="media/image3.png"/><Relationship Id="rId25" Type="http://schemas.openxmlformats.org/officeDocument/2006/relationships/image" Target="media/image23.png"/><Relationship Id="rId28" Type="http://schemas.openxmlformats.org/officeDocument/2006/relationships/image" Target="media/image17.png"/><Relationship Id="rId27" Type="http://schemas.openxmlformats.org/officeDocument/2006/relationships/image" Target="media/image21.png"/><Relationship Id="rId29" Type="http://schemas.openxmlformats.org/officeDocument/2006/relationships/hyperlink" Target="https://www.youtube.com/watch?v=oLH00MXTqNg" TargetMode="External"/><Relationship Id="rId51" Type="http://schemas.openxmlformats.org/officeDocument/2006/relationships/hyperlink" Target="https://github.com/anjalichennupati/Blockchain_Application_using_Merkle_Trees" TargetMode="External"/><Relationship Id="rId50" Type="http://schemas.openxmlformats.org/officeDocument/2006/relationships/hyperlink" Target="https://medium.com/coinmonks/merkle-tree-a-simple-explanation-and-implementation-48903442bc08" TargetMode="External"/><Relationship Id="rId53" Type="http://schemas.openxmlformats.org/officeDocument/2006/relationships/hyperlink" Target="https://www.baeldung.com/cs/merkle-trees" TargetMode="External"/><Relationship Id="rId52" Type="http://schemas.openxmlformats.org/officeDocument/2006/relationships/hyperlink" Target="https://www.geeksforgeeks.org/software-engineering/blockchain-merkle-trees/" TargetMode="External"/><Relationship Id="rId11" Type="http://schemas.openxmlformats.org/officeDocument/2006/relationships/image" Target="media/image14.png"/><Relationship Id="rId55" Type="http://schemas.openxmlformats.org/officeDocument/2006/relationships/hyperlink" Target="https://www.codsjod.com/doi/CODS/pdf/10.5005/cods-9-2-iv" TargetMode="External"/><Relationship Id="rId10" Type="http://schemas.openxmlformats.org/officeDocument/2006/relationships/image" Target="media/image12.png"/><Relationship Id="rId54" Type="http://schemas.openxmlformats.org/officeDocument/2006/relationships/hyperlink" Target="https://www.helius.dev/blog/cryptographic-tools-101-hash-functions-and-merkle-trees-explained" TargetMode="External"/><Relationship Id="rId13" Type="http://schemas.openxmlformats.org/officeDocument/2006/relationships/image" Target="media/image10.png"/><Relationship Id="rId57" Type="http://schemas.openxmlformats.org/officeDocument/2006/relationships/hyperlink" Target="https://www.researchexperts.in/ugc-regulations-for-plagiarism/" TargetMode="External"/><Relationship Id="rId12" Type="http://schemas.openxmlformats.org/officeDocument/2006/relationships/image" Target="media/image13.png"/><Relationship Id="rId56" Type="http://schemas.openxmlformats.org/officeDocument/2006/relationships/hyperlink" Target="https://indiankanoon.org/doc/57259509/" TargetMode="External"/><Relationship Id="rId15" Type="http://schemas.openxmlformats.org/officeDocument/2006/relationships/image" Target="media/image22.png"/><Relationship Id="rId59" Type="http://schemas.openxmlformats.org/officeDocument/2006/relationships/hyperlink" Target="https://casrai.org/guides/ugc-india-anti-plagiarism-regulations-2018" TargetMode="External"/><Relationship Id="rId14" Type="http://schemas.openxmlformats.org/officeDocument/2006/relationships/image" Target="media/image15.png"/><Relationship Id="rId58" Type="http://schemas.openxmlformats.org/officeDocument/2006/relationships/hyperlink" Target="https://www.lislinks.com/forum/topics/ugc-plagiarism-regulation-2018"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