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2A44"/>
          <w:sz w:val="40"/>
          <w:szCs w:val="40"/>
        </w:rPr>
        <w:t xml:space="preserve">Real-Time Acceleration for Medical Image Processing</w:t>
      </w:r>
    </w:p>
    <w:p>
      <w:pPr>
        <w:spacing w:after="160"/>
      </w:pPr>
      <w:r>
        <w:rPr>
          <w:color w:val="1C7C7D"/>
          <w:sz w:val="26"/>
          <w:szCs w:val="26"/>
        </w:rPr>
        <w:t xml:space="preserve">Project documentation, version 2.0 (after the MathWorks review)</w:t>
      </w:r>
    </w:p>
    <w:p>
      <w:pPr>
        <w:spacing w:after="160"/>
      </w:pPr>
      <w:r>
        <w:rPr>
          <w:color w:val="5A6270"/>
          <w:sz w:val="22"/>
          <w:szCs w:val="22"/>
        </w:rPr>
        <w:t xml:space="preserve">Project 259, MathWorks MATLAB-Simulink Challenge. Prepared by Rohith Ram V, 28 October 2026. This document replaces the pre-review version (Project_Documentation_1.pdf and the v1.9 draft). The README is the source of truth for every number; this document quotes it.</w:t>
      </w:r>
    </w:p>
    <w:p>
      <w:pPr>
        <w:pStyle w:val="Heading1"/>
        <w:spacing w:after="160" w:before="320"/>
      </w:pPr>
      <w:r>
        <w:t xml:space="preserve">1. Summary</w:t>
      </w:r>
    </w:p>
    <w:p>
      <w:pPr>
        <w:spacing w:after="160"/>
      </w:pPr>
      <w:r>
        <w:rPr>
          <w:sz w:val="22"/>
          <w:szCs w:val="22"/>
        </w:rPr>
        <w:t xml:space="preserve">The project is an end-to-end breast ultrasound pipeline. Raw OASBUD RF data goes in, a benign or malignant decision comes out, and the pipeline is deployed with NVIDIA Holoscan SDK on an RTX 4070 Laptop GPU. Reconstruction runs as a GPU Coder-generated CUDA library. A second Holoscan application runs plane-wave delay-and-sum beamforming on real per-element channel data (CIRS040GSE) and has no classification stage, because that phantom carries no disease labels.</w:t>
      </w:r>
    </w:p>
    <w:p>
      <w:pPr>
        <w:spacing w:after="160"/>
      </w:pPr>
      <w:r>
        <w:rPr>
          <w:sz w:val="22"/>
          <w:szCs w:val="22"/>
        </w:rPr>
        <w:t xml:space="preserve">The MathWorks review found that several headline numbers were measured on data that overlapped training, and that some results could not be reproduced from the committed scripts. This version withdraws those figures and reports held-out results only. The current numbers are: classifier accuracy 81.76% on 636 held-out images (malignant AUC-ROC 0.9105), pipeline accuracy 55.0% (33 of 60) on held-out OASBUD patients, and a CUDA beamformer that matches the scipy reference to 7.64e-13.</w:t>
      </w:r>
    </w:p>
    <w:p>
      <w:pPr>
        <w:pStyle w:val="Heading1"/>
        <w:spacing w:after="160" w:before="320"/>
      </w:pPr>
      <w:r>
        <w:t xml:space="preserve">2. Changes since the review</w:t>
      </w:r>
    </w:p>
    <w:p>
      <w:pPr>
        <w:spacing w:after="160"/>
      </w:pPr>
      <w:r>
        <w:rPr>
          <w:sz w:val="22"/>
          <w:szCs w:val="22"/>
        </w:rPr>
        <w:t xml:space="preserve">Each review item was addressed in a commit on the review-response branch. RESPONSE_TO_REVIEW.md maps each item to its commit and files. The main changes are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3744"/>
        <w:gridCol w:w="2808"/>
      </w:tblGrid>
      <w:tr>
        <w:trPr>
          <w:tblHeader/>
        </w:trPr>
        <w:tc>
          <w:tcPr>
            <w:tcW w:type="dxa" w:w="2808"/>
            <w:shd w:fill="1F2A44" w:color="auto" w:val="clear"/>
            <w:tcMar>
              <w:top w:type="dxa" w:w="60"/>
              <w:left w:type="dxa" w:w="100"/>
              <w:bottom w:type="dxa" w:w="60"/>
              <w:right w:type="dxa" w:w="100"/>
            </w:tcMar>
          </w:tcPr>
          <w:p>
            <w:r>
              <w:rPr>
                <w:b/>
                <w:bCs/>
                <w:color w:val="FFFFFF"/>
                <w:sz w:val="20"/>
                <w:szCs w:val="20"/>
              </w:rPr>
              <w:t xml:space="preserve">Review finding</w:t>
            </w:r>
          </w:p>
        </w:tc>
        <w:tc>
          <w:tcPr>
            <w:tcW w:type="dxa" w:w="3744"/>
            <w:shd w:fill="1F2A44" w:color="auto" w:val="clear"/>
            <w:tcMar>
              <w:top w:type="dxa" w:w="60"/>
              <w:left w:type="dxa" w:w="100"/>
              <w:bottom w:type="dxa" w:w="60"/>
              <w:right w:type="dxa" w:w="100"/>
            </w:tcMar>
          </w:tcPr>
          <w:p>
            <w:r>
              <w:rPr>
                <w:b/>
                <w:bCs/>
                <w:color w:val="FFFFFF"/>
                <w:sz w:val="20"/>
                <w:szCs w:val="20"/>
              </w:rPr>
              <w:t xml:space="preserve">Change</w:t>
            </w:r>
          </w:p>
        </w:tc>
        <w:tc>
          <w:tcPr>
            <w:tcW w:type="dxa" w:w="2808"/>
            <w:shd w:fill="1F2A44" w:color="auto" w:val="clear"/>
            <w:tcMar>
              <w:top w:type="dxa" w:w="60"/>
              <w:left w:type="dxa" w:w="100"/>
              <w:bottom w:type="dxa" w:w="60"/>
              <w:right w:type="dxa" w:w="100"/>
            </w:tcMar>
          </w:tcPr>
          <w:p>
            <w:r>
              <w:rPr>
                <w:b/>
                <w:bCs/>
                <w:color w:val="FFFFFF"/>
                <w:sz w:val="20"/>
                <w:szCs w:val="20"/>
              </w:rPr>
              <w:t xml:space="preserve">Result</w:t>
            </w:r>
          </w:p>
        </w:tc>
      </w:tr>
      <w:tr>
        <w:trPr>
          <w:tblHeader w:val="false"/>
        </w:trPr>
        <w:tc>
          <w:tcPr>
            <w:tcW w:type="dxa" w:w="2808"/>
            <w:tcMar>
              <w:top w:type="dxa" w:w="60"/>
              <w:left w:type="dxa" w:w="100"/>
              <w:bottom w:type="dxa" w:w="60"/>
              <w:right w:type="dxa" w:w="100"/>
            </w:tcMar>
          </w:tcPr>
          <w:p>
            <w:r>
              <w:rPr>
                <w:b w:val="false"/>
                <w:bCs w:val="false"/>
                <w:color w:val="1E1E1E"/>
                <w:sz w:val="20"/>
                <w:szCs w:val="20"/>
              </w:rPr>
              <w:t xml:space="preserve">CNN test partition not recoverable; reported figures overlapped training</w:t>
            </w:r>
          </w:p>
        </w:tc>
        <w:tc>
          <w:tcPr>
            <w:tcW w:type="dxa" w:w="3744"/>
            <w:tcMar>
              <w:top w:type="dxa" w:w="60"/>
              <w:left w:type="dxa" w:w="100"/>
              <w:bottom w:type="dxa" w:w="60"/>
              <w:right w:type="dxa" w:w="100"/>
            </w:tcMar>
          </w:tcPr>
          <w:p>
            <w:r>
              <w:rPr>
                <w:b w:val="false"/>
                <w:bCs w:val="false"/>
                <w:color w:val="1E1E1E"/>
                <w:sz w:val="20"/>
                <w:szCs w:val="20"/>
              </w:rPr>
              <w:t xml:space="preserve">One dataset builder shared by training and evaluation; split saved with the weights by patient; evaluation loads the saved split</w:t>
            </w:r>
          </w:p>
        </w:tc>
        <w:tc>
          <w:tcPr>
            <w:tcW w:type="dxa" w:w="2808"/>
            <w:tcMar>
              <w:top w:type="dxa" w:w="60"/>
              <w:left w:type="dxa" w:w="100"/>
              <w:bottom w:type="dxa" w:w="60"/>
              <w:right w:type="dxa" w:w="100"/>
            </w:tcMar>
          </w:tcPr>
          <w:p>
            <w:r>
              <w:rPr>
                <w:b w:val="false"/>
                <w:bCs w:val="false"/>
                <w:color w:val="1E1E1E"/>
                <w:sz w:val="20"/>
                <w:szCs w:val="20"/>
              </w:rPr>
              <w:t xml:space="preserve">81.76% held-out accuracy (was 87.37%, withdrawn)</w:t>
            </w:r>
          </w:p>
        </w:tc>
      </w:tr>
      <w:tr>
        <w:trPr>
          <w:tblHeader w:val="false"/>
        </w:trPr>
        <w:tc>
          <w:tcPr>
            <w:tcW w:type="dxa" w:w="2808"/>
            <w:tcMar>
              <w:top w:type="dxa" w:w="60"/>
              <w:left w:type="dxa" w:w="100"/>
              <w:bottom w:type="dxa" w:w="60"/>
              <w:right w:type="dxa" w:w="100"/>
            </w:tcMar>
          </w:tcPr>
          <w:p>
            <w:r>
              <w:rPr>
                <w:b w:val="false"/>
                <w:bCs w:val="false"/>
                <w:color w:val="1E1E1E"/>
                <w:sz w:val="20"/>
                <w:szCs w:val="20"/>
              </w:rPr>
              <w:t xml:space="preserve">73.0% pipeline accuracy included training patients</w:t>
            </w:r>
          </w:p>
        </w:tc>
        <w:tc>
          <w:tcPr>
            <w:tcW w:type="dxa" w:w="3744"/>
            <w:tcMar>
              <w:top w:type="dxa" w:w="60"/>
              <w:left w:type="dxa" w:w="100"/>
              <w:bottom w:type="dxa" w:w="60"/>
              <w:right w:type="dxa" w:w="100"/>
            </w:tcMar>
          </w:tcPr>
          <w:p>
            <w:r>
              <w:rPr>
                <w:b w:val="false"/>
                <w:bCs w:val="false"/>
                <w:color w:val="1E1E1E"/>
                <w:sz w:val="20"/>
                <w:szCs w:val="20"/>
              </w:rPr>
              <w:t xml:space="preserve">Pipeline scored only on the 60 held-out patients</w:t>
            </w:r>
          </w:p>
        </w:tc>
        <w:tc>
          <w:tcPr>
            <w:tcW w:type="dxa" w:w="2808"/>
            <w:tcMar>
              <w:top w:type="dxa" w:w="60"/>
              <w:left w:type="dxa" w:w="100"/>
              <w:bottom w:type="dxa" w:w="60"/>
              <w:right w:type="dxa" w:w="100"/>
            </w:tcMar>
          </w:tcPr>
          <w:p>
            <w:r>
              <w:rPr>
                <w:b w:val="false"/>
                <w:bCs w:val="false"/>
                <w:color w:val="1E1E1E"/>
                <w:sz w:val="20"/>
                <w:szCs w:val="20"/>
              </w:rPr>
              <w:t xml:space="preserve">55.0% (33 of 60)</w:t>
            </w:r>
          </w:p>
        </w:tc>
      </w:tr>
      <w:tr>
        <w:trPr>
          <w:tblHeader w:val="false"/>
        </w:trPr>
        <w:tc>
          <w:tcPr>
            <w:tcW w:type="dxa" w:w="2808"/>
            <w:tcMar>
              <w:top w:type="dxa" w:w="60"/>
              <w:left w:type="dxa" w:w="100"/>
              <w:bottom w:type="dxa" w:w="60"/>
              <w:right w:type="dxa" w:w="100"/>
            </w:tcMar>
          </w:tcPr>
          <w:p>
            <w:r>
              <w:rPr>
                <w:b w:val="false"/>
                <w:bCs w:val="false"/>
                <w:color w:val="1E1E1E"/>
                <w:sz w:val="20"/>
                <w:szCs w:val="20"/>
              </w:rPr>
              <w:t xml:space="preserve">Enhancement filter chosen by PSNR/SSIM against the noisy image</w:t>
            </w:r>
          </w:p>
        </w:tc>
        <w:tc>
          <w:tcPr>
            <w:tcW w:type="dxa" w:w="3744"/>
            <w:tcMar>
              <w:top w:type="dxa" w:w="60"/>
              <w:left w:type="dxa" w:w="100"/>
              <w:bottom w:type="dxa" w:w="60"/>
              <w:right w:type="dxa" w:w="100"/>
            </w:tcMar>
          </w:tcPr>
          <w:p>
            <w:r>
              <w:rPr>
                <w:b w:val="false"/>
                <w:bCs w:val="false"/>
                <w:color w:val="1E1E1E"/>
                <w:sz w:val="20"/>
                <w:szCs w:val="20"/>
              </w:rPr>
              <w:t xml:space="preserve">Filters ranked by CNR, gCNR, speckle SNR, edge ratio and a phantom with known ground truth</w:t>
            </w:r>
          </w:p>
        </w:tc>
        <w:tc>
          <w:tcPr>
            <w:tcW w:type="dxa" w:w="2808"/>
            <w:tcMar>
              <w:top w:type="dxa" w:w="60"/>
              <w:left w:type="dxa" w:w="100"/>
              <w:bottom w:type="dxa" w:w="60"/>
              <w:right w:type="dxa" w:w="100"/>
            </w:tcMar>
          </w:tcPr>
          <w:p>
            <w:r>
              <w:rPr>
                <w:b w:val="false"/>
                <w:bCs w:val="false"/>
                <w:color w:val="1E1E1E"/>
                <w:sz w:val="20"/>
                <w:szCs w:val="20"/>
              </w:rPr>
              <w:t xml:space="preserve">Bilateral selected (was median)</w:t>
            </w:r>
          </w:p>
        </w:tc>
      </w:tr>
      <w:tr>
        <w:trPr>
          <w:tblHeader w:val="false"/>
        </w:trPr>
        <w:tc>
          <w:tcPr>
            <w:tcW w:type="dxa" w:w="2808"/>
            <w:tcMar>
              <w:top w:type="dxa" w:w="60"/>
              <w:left w:type="dxa" w:w="100"/>
              <w:bottom w:type="dxa" w:w="60"/>
              <w:right w:type="dxa" w:w="100"/>
            </w:tcMar>
          </w:tcPr>
          <w:p>
            <w:r>
              <w:rPr>
                <w:b w:val="false"/>
                <w:bCs w:val="false"/>
                <w:color w:val="1E1E1E"/>
                <w:sz w:val="20"/>
                <w:szCs w:val="20"/>
              </w:rPr>
              <w:t xml:space="preserve">Preprocessing differed between MATLAB and Holoscan</w:t>
            </w:r>
          </w:p>
        </w:tc>
        <w:tc>
          <w:tcPr>
            <w:tcW w:type="dxa" w:w="3744"/>
            <w:tcMar>
              <w:top w:type="dxa" w:w="60"/>
              <w:left w:type="dxa" w:w="100"/>
              <w:bottom w:type="dxa" w:w="60"/>
              <w:right w:type="dxa" w:w="100"/>
            </w:tcMar>
          </w:tcPr>
          <w:p>
            <w:r>
              <w:rPr>
                <w:b w:val="false"/>
                <w:bCs w:val="false"/>
                <w:color w:val="1E1E1E"/>
                <w:sz w:val="20"/>
                <w:szCs w:val="20"/>
              </w:rPr>
              <w:t xml:space="preserve">One path: uint8 scaling with no min-max renormalisation</w:t>
            </w:r>
          </w:p>
        </w:tc>
        <w:tc>
          <w:tcPr>
            <w:tcW w:type="dxa" w:w="2808"/>
            <w:tcMar>
              <w:top w:type="dxa" w:w="60"/>
              <w:left w:type="dxa" w:w="100"/>
              <w:bottom w:type="dxa" w:w="60"/>
              <w:right w:type="dxa" w:w="100"/>
            </w:tcMar>
          </w:tcPr>
          <w:p>
            <w:r>
              <w:rPr>
                <w:b w:val="false"/>
                <w:bCs w:val="false"/>
                <w:color w:val="1E1E1E"/>
                <w:sz w:val="20"/>
                <w:szCs w:val="20"/>
              </w:rPr>
              <w:t xml:space="preserve">Consistent in both</w:t>
            </w:r>
          </w:p>
        </w:tc>
      </w:tr>
      <w:tr>
        <w:trPr>
          <w:tblHeader w:val="false"/>
        </w:trPr>
        <w:tc>
          <w:tcPr>
            <w:tcW w:type="dxa" w:w="2808"/>
            <w:tcMar>
              <w:top w:type="dxa" w:w="60"/>
              <w:left w:type="dxa" w:w="100"/>
              <w:bottom w:type="dxa" w:w="60"/>
              <w:right w:type="dxa" w:w="100"/>
            </w:tcMar>
          </w:tcPr>
          <w:p>
            <w:r>
              <w:rPr>
                <w:b w:val="false"/>
                <w:bCs w:val="false"/>
                <w:color w:val="1E1E1E"/>
                <w:sz w:val="20"/>
                <w:szCs w:val="20"/>
              </w:rPr>
              <w:t xml:space="preserve">Simulink model described as illustrative</w:t>
            </w:r>
          </w:p>
        </w:tc>
        <w:tc>
          <w:tcPr>
            <w:tcW w:type="dxa" w:w="3744"/>
            <w:tcMar>
              <w:top w:type="dxa" w:w="60"/>
              <w:left w:type="dxa" w:w="100"/>
              <w:bottom w:type="dxa" w:w="60"/>
              <w:right w:type="dxa" w:w="100"/>
            </w:tcMar>
          </w:tcPr>
          <w:p>
            <w:r>
              <w:rPr>
                <w:b w:val="false"/>
                <w:bCs w:val="false"/>
                <w:color w:val="1E1E1E"/>
                <w:sz w:val="20"/>
                <w:szCs w:val="20"/>
              </w:rPr>
              <w:t xml:space="preserve">Functional model with a driver script that checks the output</w:t>
            </w:r>
          </w:p>
        </w:tc>
        <w:tc>
          <w:tcPr>
            <w:tcW w:type="dxa" w:w="2808"/>
            <w:tcMar>
              <w:top w:type="dxa" w:w="60"/>
              <w:left w:type="dxa" w:w="100"/>
              <w:bottom w:type="dxa" w:w="60"/>
              <w:right w:type="dxa" w:w="100"/>
            </w:tcMar>
          </w:tcPr>
          <w:p>
            <w:r>
              <w:rPr>
                <w:b w:val="false"/>
                <w:bCs w:val="false"/>
                <w:color w:val="1E1E1E"/>
                <w:sz w:val="20"/>
                <w:szCs w:val="20"/>
              </w:rPr>
              <w:t xml:space="preserve">Output 1824 x 510, range 9.55 to 244.25</w:t>
            </w:r>
          </w:p>
        </w:tc>
      </w:tr>
      <w:tr>
        <w:trPr>
          <w:tblHeader w:val="false"/>
        </w:trPr>
        <w:tc>
          <w:tcPr>
            <w:tcW w:type="dxa" w:w="2808"/>
            <w:tcMar>
              <w:top w:type="dxa" w:w="60"/>
              <w:left w:type="dxa" w:w="100"/>
              <w:bottom w:type="dxa" w:w="60"/>
              <w:right w:type="dxa" w:w="100"/>
            </w:tcMar>
          </w:tcPr>
          <w:p>
            <w:r>
              <w:rPr>
                <w:b w:val="false"/>
                <w:bCs w:val="false"/>
                <w:color w:val="1E1E1E"/>
                <w:sz w:val="20"/>
                <w:szCs w:val="20"/>
              </w:rPr>
              <w:t xml:space="preserve">CUDA source for deployed kernels missing from the repository</w:t>
            </w:r>
          </w:p>
        </w:tc>
        <w:tc>
          <w:tcPr>
            <w:tcW w:type="dxa" w:w="3744"/>
            <w:tcMar>
              <w:top w:type="dxa" w:w="60"/>
              <w:left w:type="dxa" w:w="100"/>
              <w:bottom w:type="dxa" w:w="60"/>
              <w:right w:type="dxa" w:w="100"/>
            </w:tcMar>
          </w:tcPr>
          <w:p>
            <w:r>
              <w:rPr>
                <w:b w:val="false"/>
                <w:bCs w:val="false"/>
                <w:color w:val="1E1E1E"/>
                <w:sz w:val="20"/>
                <w:szCs w:val="20"/>
              </w:rPr>
              <w:t xml:space="preserve">Generated CUDA sources committed; personal path fallbacks replaced with errors naming the environment variable</w:t>
            </w:r>
          </w:p>
        </w:tc>
        <w:tc>
          <w:tcPr>
            <w:tcW w:type="dxa" w:w="2808"/>
            <w:tcMar>
              <w:top w:type="dxa" w:w="60"/>
              <w:left w:type="dxa" w:w="100"/>
              <w:bottom w:type="dxa" w:w="60"/>
              <w:right w:type="dxa" w:w="100"/>
            </w:tcMar>
          </w:tcPr>
          <w:p>
            <w:r>
              <w:rPr>
                <w:b w:val="false"/>
                <w:bCs w:val="false"/>
                <w:color w:val="1E1E1E"/>
                <w:sz w:val="20"/>
                <w:szCs w:val="20"/>
              </w:rPr>
              <w:t xml:space="preserve">Build instructions match the repository</w:t>
            </w:r>
          </w:p>
        </w:tc>
      </w:tr>
      <w:tr>
        <w:trPr>
          <w:tblHeader w:val="false"/>
        </w:trPr>
        <w:tc>
          <w:tcPr>
            <w:tcW w:type="dxa" w:w="2808"/>
            <w:tcMar>
              <w:top w:type="dxa" w:w="60"/>
              <w:left w:type="dxa" w:w="100"/>
              <w:bottom w:type="dxa" w:w="60"/>
              <w:right w:type="dxa" w:w="100"/>
            </w:tcMar>
          </w:tcPr>
          <w:p>
            <w:r>
              <w:rPr>
                <w:b w:val="false"/>
                <w:bCs w:val="false"/>
                <w:color w:val="1E1E1E"/>
                <w:sz w:val="20"/>
                <w:szCs w:val="20"/>
              </w:rPr>
              <w:t xml:space="preserve">Phased Array Toolbox used only for a 1-D beam</w:t>
            </w:r>
          </w:p>
        </w:tc>
        <w:tc>
          <w:tcPr>
            <w:tcW w:type="dxa" w:w="3744"/>
            <w:tcMar>
              <w:top w:type="dxa" w:w="60"/>
              <w:left w:type="dxa" w:w="100"/>
              <w:bottom w:type="dxa" w:w="60"/>
              <w:right w:type="dxa" w:w="100"/>
            </w:tcMar>
          </w:tcPr>
          <w:p>
            <w:r>
              <w:rPr>
                <w:b w:val="false"/>
                <w:bCs w:val="false"/>
                <w:color w:val="1E1E1E"/>
                <w:sz w:val="20"/>
                <w:szCs w:val="20"/>
              </w:rPr>
              <w:t xml:space="preserve">phased.TimeDelayBeamformer swept over 201 angles on real channel data, shown beside the hand-written DAS</w:t>
            </w:r>
          </w:p>
        </w:tc>
        <w:tc>
          <w:tcPr>
            <w:tcW w:type="dxa" w:w="2808"/>
            <w:tcMar>
              <w:top w:type="dxa" w:w="60"/>
              <w:left w:type="dxa" w:w="100"/>
              <w:bottom w:type="dxa" w:w="60"/>
              <w:right w:type="dxa" w:w="100"/>
            </w:tcMar>
          </w:tcPr>
          <w:p>
            <w:r>
              <w:rPr>
                <w:b w:val="false"/>
                <w:bCs w:val="false"/>
                <w:color w:val="1E1E1E"/>
                <w:sz w:val="20"/>
                <w:szCs w:val="20"/>
              </w:rPr>
              <w:t xml:space="preserve">2-D toolbox image in results/figures/Phase5/</w:t>
            </w:r>
          </w:p>
        </w:tc>
      </w:tr>
    </w:tbl>
    <w:p>
      <w:pPr>
        <w:pStyle w:val="Heading1"/>
        <w:spacing w:after="160" w:before="320"/>
      </w:pPr>
      <w:r>
        <w:t xml:space="preserve">3. Dataset and classifier</w:t>
      </w:r>
    </w:p>
    <w:p>
      <w:pPr>
        <w:spacing w:after="160"/>
      </w:pPr>
      <w:r>
        <w:rPr>
          <w:sz w:val="22"/>
          <w:szCs w:val="22"/>
        </w:rPr>
        <w:t xml:space="preserve">The classifier is a MobileNetV2 transfer-learning model. It is trained on a combined dataset of 4,437 images from five sources, with a stratified split of 3,080 training, 721 validation and 636 test images (seed 42). The test partition was saved with the weights, so the evaluation uses exactly the images that were held out from training.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3"/>
        <w:gridCol w:w="1702"/>
        <w:gridCol w:w="1702"/>
        <w:gridCol w:w="1702"/>
        <w:gridCol w:w="1701"/>
      </w:tblGrid>
      <w:tr>
        <w:trPr>
          <w:tblHeader/>
        </w:trPr>
        <w:tc>
          <w:tcPr>
            <w:tcW w:type="dxa" w:w="2553"/>
            <w:shd w:fill="1F2A44" w:color="auto" w:val="clear"/>
            <w:tcMar>
              <w:top w:type="dxa" w:w="60"/>
              <w:left w:type="dxa" w:w="100"/>
              <w:bottom w:type="dxa" w:w="60"/>
              <w:right w:type="dxa" w:w="100"/>
            </w:tcMar>
          </w:tcPr>
          <w:p>
            <w:r>
              <w:rPr>
                <w:b/>
                <w:bCs/>
                <w:color w:val="FFFFFF"/>
                <w:sz w:val="20"/>
                <w:szCs w:val="20"/>
              </w:rPr>
              <w:t xml:space="preserve">Source</w:t>
            </w:r>
          </w:p>
        </w:tc>
        <w:tc>
          <w:tcPr>
            <w:tcW w:type="dxa" w:w="1702"/>
            <w:shd w:fill="1F2A44" w:color="auto" w:val="clear"/>
            <w:tcMar>
              <w:top w:type="dxa" w:w="60"/>
              <w:left w:type="dxa" w:w="100"/>
              <w:bottom w:type="dxa" w:w="60"/>
              <w:right w:type="dxa" w:w="100"/>
            </w:tcMar>
          </w:tcPr>
          <w:p>
            <w:r>
              <w:rPr>
                <w:b/>
                <w:bCs/>
                <w:color w:val="FFFFFF"/>
                <w:sz w:val="20"/>
                <w:szCs w:val="20"/>
              </w:rPr>
              <w:t xml:space="preserve">Images</w:t>
            </w:r>
          </w:p>
        </w:tc>
        <w:tc>
          <w:tcPr>
            <w:tcW w:type="dxa" w:w="1702"/>
            <w:shd w:fill="1F2A44" w:color="auto" w:val="clear"/>
            <w:tcMar>
              <w:top w:type="dxa" w:w="60"/>
              <w:left w:type="dxa" w:w="100"/>
              <w:bottom w:type="dxa" w:w="60"/>
              <w:right w:type="dxa" w:w="100"/>
            </w:tcMar>
          </w:tcPr>
          <w:p>
            <w:r>
              <w:rPr>
                <w:b/>
                <w:bCs/>
                <w:color w:val="FFFFFF"/>
                <w:sz w:val="20"/>
                <w:szCs w:val="20"/>
              </w:rPr>
              <w:t xml:space="preserve">Benign</w:t>
            </w:r>
          </w:p>
        </w:tc>
        <w:tc>
          <w:tcPr>
            <w:tcW w:type="dxa" w:w="1702"/>
            <w:shd w:fill="1F2A44" w:color="auto" w:val="clear"/>
            <w:tcMar>
              <w:top w:type="dxa" w:w="60"/>
              <w:left w:type="dxa" w:w="100"/>
              <w:bottom w:type="dxa" w:w="60"/>
              <w:right w:type="dxa" w:w="100"/>
            </w:tcMar>
          </w:tcPr>
          <w:p>
            <w:r>
              <w:rPr>
                <w:b/>
                <w:bCs/>
                <w:color w:val="FFFFFF"/>
                <w:sz w:val="20"/>
                <w:szCs w:val="20"/>
              </w:rPr>
              <w:t xml:space="preserve">Malignant</w:t>
            </w:r>
          </w:p>
        </w:tc>
        <w:tc>
          <w:tcPr>
            <w:tcW w:type="dxa" w:w="1701"/>
            <w:shd w:fill="1F2A44" w:color="auto" w:val="clear"/>
            <w:tcMar>
              <w:top w:type="dxa" w:w="60"/>
              <w:left w:type="dxa" w:w="100"/>
              <w:bottom w:type="dxa" w:w="60"/>
              <w:right w:type="dxa" w:w="100"/>
            </w:tcMar>
          </w:tcPr>
          <w:p>
            <w:r>
              <w:rPr>
                <w:b/>
                <w:bCs/>
                <w:color w:val="FFFFFF"/>
                <w:sz w:val="20"/>
                <w:szCs w:val="20"/>
              </w:rPr>
              <w:t xml:space="preserve">Normal</w:t>
            </w:r>
          </w:p>
        </w:tc>
      </w:tr>
      <w:tr>
        <w:trPr>
          <w:tblHeader w:val="false"/>
        </w:trPr>
        <w:tc>
          <w:tcPr>
            <w:tcW w:type="dxa" w:w="2553"/>
            <w:tcMar>
              <w:top w:type="dxa" w:w="60"/>
              <w:left w:type="dxa" w:w="100"/>
              <w:bottom w:type="dxa" w:w="60"/>
              <w:right w:type="dxa" w:w="100"/>
            </w:tcMar>
          </w:tcPr>
          <w:p>
            <w:r>
              <w:rPr>
                <w:b w:val="false"/>
                <w:bCs w:val="false"/>
                <w:color w:val="1E1E1E"/>
                <w:sz w:val="20"/>
                <w:szCs w:val="20"/>
              </w:rPr>
              <w:t xml:space="preserve">BUSI</w:t>
            </w:r>
          </w:p>
        </w:tc>
        <w:tc>
          <w:tcPr>
            <w:tcW w:type="dxa" w:w="1702"/>
            <w:tcMar>
              <w:top w:type="dxa" w:w="60"/>
              <w:left w:type="dxa" w:w="100"/>
              <w:bottom w:type="dxa" w:w="60"/>
              <w:right w:type="dxa" w:w="100"/>
            </w:tcMar>
          </w:tcPr>
          <w:p>
            <w:r>
              <w:rPr>
                <w:b w:val="false"/>
                <w:bCs w:val="false"/>
                <w:color w:val="1E1E1E"/>
                <w:sz w:val="20"/>
                <w:szCs w:val="20"/>
              </w:rPr>
              <w:t xml:space="preserve">780</w:t>
            </w:r>
          </w:p>
        </w:tc>
        <w:tc>
          <w:tcPr>
            <w:tcW w:type="dxa" w:w="1702"/>
            <w:tcMar>
              <w:top w:type="dxa" w:w="60"/>
              <w:left w:type="dxa" w:w="100"/>
              <w:bottom w:type="dxa" w:w="60"/>
              <w:right w:type="dxa" w:w="100"/>
            </w:tcMar>
          </w:tcPr>
          <w:p>
            <w:r>
              <w:rPr>
                <w:b w:val="false"/>
                <w:bCs w:val="false"/>
                <w:color w:val="1E1E1E"/>
                <w:sz w:val="20"/>
                <w:szCs w:val="20"/>
              </w:rPr>
              <w:t xml:space="preserve">437</w:t>
            </w:r>
          </w:p>
        </w:tc>
        <w:tc>
          <w:tcPr>
            <w:tcW w:type="dxa" w:w="1702"/>
            <w:tcMar>
              <w:top w:type="dxa" w:w="60"/>
              <w:left w:type="dxa" w:w="100"/>
              <w:bottom w:type="dxa" w:w="60"/>
              <w:right w:type="dxa" w:w="100"/>
            </w:tcMar>
          </w:tcPr>
          <w:p>
            <w:r>
              <w:rPr>
                <w:b w:val="false"/>
                <w:bCs w:val="false"/>
                <w:color w:val="1E1E1E"/>
                <w:sz w:val="20"/>
                <w:szCs w:val="20"/>
              </w:rPr>
              <w:t xml:space="preserve">210</w:t>
            </w:r>
          </w:p>
        </w:tc>
        <w:tc>
          <w:tcPr>
            <w:tcW w:type="dxa" w:w="1701"/>
            <w:tcMar>
              <w:top w:type="dxa" w:w="60"/>
              <w:left w:type="dxa" w:w="100"/>
              <w:bottom w:type="dxa" w:w="60"/>
              <w:right w:type="dxa" w:w="100"/>
            </w:tcMar>
          </w:tcPr>
          <w:p>
            <w:r>
              <w:rPr>
                <w:b w:val="false"/>
                <w:bCs w:val="false"/>
                <w:color w:val="1E1E1E"/>
                <w:sz w:val="20"/>
                <w:szCs w:val="20"/>
              </w:rPr>
              <w:t xml:space="preserve">133</w:t>
            </w:r>
          </w:p>
        </w:tc>
      </w:tr>
      <w:tr>
        <w:trPr>
          <w:tblHeader w:val="false"/>
        </w:trPr>
        <w:tc>
          <w:tcPr>
            <w:tcW w:type="dxa" w:w="2553"/>
            <w:tcMar>
              <w:top w:type="dxa" w:w="60"/>
              <w:left w:type="dxa" w:w="100"/>
              <w:bottom w:type="dxa" w:w="60"/>
              <w:right w:type="dxa" w:w="100"/>
            </w:tcMar>
          </w:tcPr>
          <w:p>
            <w:r>
              <w:rPr>
                <w:b w:val="false"/>
                <w:bCs w:val="false"/>
                <w:color w:val="1E1E1E"/>
                <w:sz w:val="20"/>
                <w:szCs w:val="20"/>
              </w:rPr>
              <w:t xml:space="preserve">BUS-UCLM</w:t>
            </w:r>
          </w:p>
        </w:tc>
        <w:tc>
          <w:tcPr>
            <w:tcW w:type="dxa" w:w="1702"/>
            <w:tcMar>
              <w:top w:type="dxa" w:w="60"/>
              <w:left w:type="dxa" w:w="100"/>
              <w:bottom w:type="dxa" w:w="60"/>
              <w:right w:type="dxa" w:w="100"/>
            </w:tcMar>
          </w:tcPr>
          <w:p>
            <w:r>
              <w:rPr>
                <w:b w:val="false"/>
                <w:bCs w:val="false"/>
                <w:color w:val="1E1E1E"/>
                <w:sz w:val="20"/>
                <w:szCs w:val="20"/>
              </w:rPr>
              <w:t xml:space="preserve">646</w:t>
            </w:r>
          </w:p>
        </w:tc>
        <w:tc>
          <w:tcPr>
            <w:tcW w:type="dxa" w:w="1702"/>
            <w:tcMar>
              <w:top w:type="dxa" w:w="60"/>
              <w:left w:type="dxa" w:w="100"/>
              <w:bottom w:type="dxa" w:w="60"/>
              <w:right w:type="dxa" w:w="100"/>
            </w:tcMar>
          </w:tcPr>
          <w:p>
            <w:r>
              <w:rPr>
                <w:b w:val="false"/>
                <w:bCs w:val="false"/>
                <w:color w:val="1E1E1E"/>
                <w:sz w:val="20"/>
                <w:szCs w:val="20"/>
              </w:rPr>
              <w:t xml:space="preserve">157</w:t>
            </w:r>
          </w:p>
        </w:tc>
        <w:tc>
          <w:tcPr>
            <w:tcW w:type="dxa" w:w="1702"/>
            <w:tcMar>
              <w:top w:type="dxa" w:w="60"/>
              <w:left w:type="dxa" w:w="100"/>
              <w:bottom w:type="dxa" w:w="60"/>
              <w:right w:type="dxa" w:w="100"/>
            </w:tcMar>
          </w:tcPr>
          <w:p>
            <w:r>
              <w:rPr>
                <w:b w:val="false"/>
                <w:bCs w:val="false"/>
                <w:color w:val="1E1E1E"/>
                <w:sz w:val="20"/>
                <w:szCs w:val="20"/>
              </w:rPr>
              <w:t xml:space="preserve">71</w:t>
            </w:r>
          </w:p>
        </w:tc>
        <w:tc>
          <w:tcPr>
            <w:tcW w:type="dxa" w:w="1701"/>
            <w:tcMar>
              <w:top w:type="dxa" w:w="60"/>
              <w:left w:type="dxa" w:w="100"/>
              <w:bottom w:type="dxa" w:w="60"/>
              <w:right w:type="dxa" w:w="100"/>
            </w:tcMar>
          </w:tcPr>
          <w:p>
            <w:r>
              <w:rPr>
                <w:b w:val="false"/>
                <w:bCs w:val="false"/>
                <w:color w:val="1E1E1E"/>
                <w:sz w:val="20"/>
                <w:szCs w:val="20"/>
              </w:rPr>
              <w:t xml:space="preserve">418</w:t>
            </w:r>
          </w:p>
        </w:tc>
      </w:tr>
      <w:tr>
        <w:trPr>
          <w:tblHeader w:val="false"/>
        </w:trPr>
        <w:tc>
          <w:tcPr>
            <w:tcW w:type="dxa" w:w="2553"/>
            <w:tcMar>
              <w:top w:type="dxa" w:w="60"/>
              <w:left w:type="dxa" w:w="100"/>
              <w:bottom w:type="dxa" w:w="60"/>
              <w:right w:type="dxa" w:w="100"/>
            </w:tcMar>
          </w:tcPr>
          <w:p>
            <w:r>
              <w:rPr>
                <w:b w:val="false"/>
                <w:bCs w:val="false"/>
                <w:color w:val="1E1E1E"/>
                <w:sz w:val="20"/>
                <w:szCs w:val="20"/>
              </w:rPr>
              <w:t xml:space="preserve">BUS-BRA</w:t>
            </w:r>
          </w:p>
        </w:tc>
        <w:tc>
          <w:tcPr>
            <w:tcW w:type="dxa" w:w="1702"/>
            <w:tcMar>
              <w:top w:type="dxa" w:w="60"/>
              <w:left w:type="dxa" w:w="100"/>
              <w:bottom w:type="dxa" w:w="60"/>
              <w:right w:type="dxa" w:w="100"/>
            </w:tcMar>
          </w:tcPr>
          <w:p>
            <w:r>
              <w:rPr>
                <w:b w:val="false"/>
                <w:bCs w:val="false"/>
                <w:color w:val="1E1E1E"/>
                <w:sz w:val="20"/>
                <w:szCs w:val="20"/>
              </w:rPr>
              <w:t xml:space="preserve">1,875</w:t>
            </w:r>
          </w:p>
        </w:tc>
        <w:tc>
          <w:tcPr>
            <w:tcW w:type="dxa" w:w="1702"/>
            <w:tcMar>
              <w:top w:type="dxa" w:w="60"/>
              <w:left w:type="dxa" w:w="100"/>
              <w:bottom w:type="dxa" w:w="60"/>
              <w:right w:type="dxa" w:w="100"/>
            </w:tcMar>
          </w:tcPr>
          <w:p>
            <w:r>
              <w:rPr>
                <w:b w:val="false"/>
                <w:bCs w:val="false"/>
                <w:color w:val="1E1E1E"/>
                <w:sz w:val="20"/>
                <w:szCs w:val="20"/>
              </w:rPr>
              <w:t xml:space="preserve">1,268</w:t>
            </w:r>
          </w:p>
        </w:tc>
        <w:tc>
          <w:tcPr>
            <w:tcW w:type="dxa" w:w="1702"/>
            <w:tcMar>
              <w:top w:type="dxa" w:w="60"/>
              <w:left w:type="dxa" w:w="100"/>
              <w:bottom w:type="dxa" w:w="60"/>
              <w:right w:type="dxa" w:w="100"/>
            </w:tcMar>
          </w:tcPr>
          <w:p>
            <w:r>
              <w:rPr>
                <w:b w:val="false"/>
                <w:bCs w:val="false"/>
                <w:color w:val="1E1E1E"/>
                <w:sz w:val="20"/>
                <w:szCs w:val="20"/>
              </w:rPr>
              <w:t xml:space="preserve">607</w:t>
            </w:r>
          </w:p>
        </w:tc>
        <w:tc>
          <w:tcPr>
            <w:tcW w:type="dxa" w:w="1701"/>
            <w:tcMar>
              <w:top w:type="dxa" w:w="60"/>
              <w:left w:type="dxa" w:w="100"/>
              <w:bottom w:type="dxa" w:w="60"/>
              <w:right w:type="dxa" w:w="100"/>
            </w:tcMar>
          </w:tcPr>
          <w:p>
            <w:r>
              <w:rPr>
                <w:b w:val="false"/>
                <w:bCs w:val="false"/>
                <w:color w:val="1E1E1E"/>
                <w:sz w:val="20"/>
                <w:szCs w:val="20"/>
              </w:rPr>
              <w:t xml:space="preserve">0</w:t>
            </w:r>
          </w:p>
        </w:tc>
      </w:tr>
      <w:tr>
        <w:trPr>
          <w:tblHeader w:val="false"/>
        </w:trPr>
        <w:tc>
          <w:tcPr>
            <w:tcW w:type="dxa" w:w="2553"/>
            <w:tcMar>
              <w:top w:type="dxa" w:w="60"/>
              <w:left w:type="dxa" w:w="100"/>
              <w:bottom w:type="dxa" w:w="60"/>
              <w:right w:type="dxa" w:w="100"/>
            </w:tcMar>
          </w:tcPr>
          <w:p>
            <w:r>
              <w:rPr>
                <w:b w:val="false"/>
                <w:bCs w:val="false"/>
                <w:color w:val="1E1E1E"/>
                <w:sz w:val="20"/>
                <w:szCs w:val="20"/>
              </w:rPr>
              <w:t xml:space="preserve">BrEaST</w:t>
            </w:r>
          </w:p>
        </w:tc>
        <w:tc>
          <w:tcPr>
            <w:tcW w:type="dxa" w:w="1702"/>
            <w:tcMar>
              <w:top w:type="dxa" w:w="60"/>
              <w:left w:type="dxa" w:w="100"/>
              <w:bottom w:type="dxa" w:w="60"/>
              <w:right w:type="dxa" w:w="100"/>
            </w:tcMar>
          </w:tcPr>
          <w:p>
            <w:r>
              <w:rPr>
                <w:b w:val="false"/>
                <w:bCs w:val="false"/>
                <w:color w:val="1E1E1E"/>
                <w:sz w:val="20"/>
                <w:szCs w:val="20"/>
              </w:rPr>
              <w:t xml:space="preserve">256</w:t>
            </w:r>
          </w:p>
        </w:tc>
        <w:tc>
          <w:tcPr>
            <w:tcW w:type="dxa" w:w="1702"/>
            <w:tcMar>
              <w:top w:type="dxa" w:w="60"/>
              <w:left w:type="dxa" w:w="100"/>
              <w:bottom w:type="dxa" w:w="60"/>
              <w:right w:type="dxa" w:w="100"/>
            </w:tcMar>
          </w:tcPr>
          <w:p>
            <w:r>
              <w:rPr>
                <w:b w:val="false"/>
                <w:bCs w:val="false"/>
                <w:color w:val="1E1E1E"/>
                <w:sz w:val="20"/>
                <w:szCs w:val="20"/>
              </w:rPr>
              <w:t xml:space="preserve">154</w:t>
            </w:r>
          </w:p>
        </w:tc>
        <w:tc>
          <w:tcPr>
            <w:tcW w:type="dxa" w:w="1702"/>
            <w:tcMar>
              <w:top w:type="dxa" w:w="60"/>
              <w:left w:type="dxa" w:w="100"/>
              <w:bottom w:type="dxa" w:w="60"/>
              <w:right w:type="dxa" w:w="100"/>
            </w:tcMar>
          </w:tcPr>
          <w:p>
            <w:r>
              <w:rPr>
                <w:b w:val="false"/>
                <w:bCs w:val="false"/>
                <w:color w:val="1E1E1E"/>
                <w:sz w:val="20"/>
                <w:szCs w:val="20"/>
              </w:rPr>
              <w:t xml:space="preserve">98</w:t>
            </w:r>
          </w:p>
        </w:tc>
        <w:tc>
          <w:tcPr>
            <w:tcW w:type="dxa" w:w="1701"/>
            <w:tcMar>
              <w:top w:type="dxa" w:w="60"/>
              <w:left w:type="dxa" w:w="100"/>
              <w:bottom w:type="dxa" w:w="60"/>
              <w:right w:type="dxa" w:w="100"/>
            </w:tcMar>
          </w:tcPr>
          <w:p>
            <w:r>
              <w:rPr>
                <w:b w:val="false"/>
                <w:bCs w:val="false"/>
                <w:color w:val="1E1E1E"/>
                <w:sz w:val="20"/>
                <w:szCs w:val="20"/>
              </w:rPr>
              <w:t xml:space="preserve">4</w:t>
            </w:r>
          </w:p>
        </w:tc>
      </w:tr>
      <w:tr>
        <w:trPr>
          <w:tblHeader w:val="false"/>
        </w:trPr>
        <w:tc>
          <w:tcPr>
            <w:tcW w:type="dxa" w:w="2553"/>
            <w:tcMar>
              <w:top w:type="dxa" w:w="60"/>
              <w:left w:type="dxa" w:w="100"/>
              <w:bottom w:type="dxa" w:w="60"/>
              <w:right w:type="dxa" w:w="100"/>
            </w:tcMar>
          </w:tcPr>
          <w:p>
            <w:r>
              <w:rPr>
                <w:b w:val="false"/>
                <w:bCs w:val="false"/>
                <w:color w:val="1E1E1E"/>
                <w:sz w:val="20"/>
                <w:szCs w:val="20"/>
              </w:rPr>
              <w:t xml:space="preserve">OASBUD (PNG export)</w:t>
            </w:r>
          </w:p>
        </w:tc>
        <w:tc>
          <w:tcPr>
            <w:tcW w:type="dxa" w:w="1702"/>
            <w:tcMar>
              <w:top w:type="dxa" w:w="60"/>
              <w:left w:type="dxa" w:w="100"/>
              <w:bottom w:type="dxa" w:w="60"/>
              <w:right w:type="dxa" w:w="100"/>
            </w:tcMar>
          </w:tcPr>
          <w:p>
            <w:r>
              <w:rPr>
                <w:b w:val="false"/>
                <w:bCs w:val="false"/>
                <w:color w:val="1E1E1E"/>
                <w:sz w:val="20"/>
                <w:szCs w:val="20"/>
              </w:rPr>
              <w:t xml:space="preserve">880</w:t>
            </w:r>
          </w:p>
        </w:tc>
        <w:tc>
          <w:tcPr>
            <w:tcW w:type="dxa" w:w="1702"/>
            <w:tcMar>
              <w:top w:type="dxa" w:w="60"/>
              <w:left w:type="dxa" w:w="100"/>
              <w:bottom w:type="dxa" w:w="60"/>
              <w:right w:type="dxa" w:w="100"/>
            </w:tcMar>
          </w:tcPr>
          <w:p>
            <w:r>
              <w:rPr>
                <w:b w:val="false"/>
                <w:bCs w:val="false"/>
                <w:color w:val="1E1E1E"/>
                <w:sz w:val="20"/>
                <w:szCs w:val="20"/>
              </w:rPr>
              <w:t xml:space="preserve">440</w:t>
            </w:r>
          </w:p>
        </w:tc>
        <w:tc>
          <w:tcPr>
            <w:tcW w:type="dxa" w:w="1702"/>
            <w:tcMar>
              <w:top w:type="dxa" w:w="60"/>
              <w:left w:type="dxa" w:w="100"/>
              <w:bottom w:type="dxa" w:w="60"/>
              <w:right w:type="dxa" w:w="100"/>
            </w:tcMar>
          </w:tcPr>
          <w:p>
            <w:r>
              <w:rPr>
                <w:b w:val="false"/>
                <w:bCs w:val="false"/>
                <w:color w:val="1E1E1E"/>
                <w:sz w:val="20"/>
                <w:szCs w:val="20"/>
              </w:rPr>
              <w:t xml:space="preserve">440</w:t>
            </w:r>
          </w:p>
        </w:tc>
        <w:tc>
          <w:tcPr>
            <w:tcW w:type="dxa" w:w="1701"/>
            <w:tcMar>
              <w:top w:type="dxa" w:w="60"/>
              <w:left w:type="dxa" w:w="100"/>
              <w:bottom w:type="dxa" w:w="60"/>
              <w:right w:type="dxa" w:w="100"/>
            </w:tcMar>
          </w:tcPr>
          <w:p>
            <w:r>
              <w:rPr>
                <w:b w:val="false"/>
                <w:bCs w:val="false"/>
                <w:color w:val="1E1E1E"/>
                <w:sz w:val="20"/>
                <w:szCs w:val="20"/>
              </w:rPr>
              <w:t xml:space="preserve">0</w:t>
            </w:r>
          </w:p>
        </w:tc>
      </w:tr>
    </w:tbl>
    <w:p>
      <w:pPr>
        <w:spacing w:after="160"/>
      </w:pPr>
      <w:r>
        <w:rPr>
          <w:sz w:val="22"/>
          <w:szCs w:val="22"/>
        </w:rPr>
        <w:t xml:space="preserve"/>
      </w:r>
    </w:p>
    <w:p>
      <w:pPr>
        <w:pStyle w:val="Heading2"/>
        <w:spacing w:after="120" w:before="240"/>
      </w:pPr>
      <w:r>
        <w:t xml:space="preserve">Held-out results (636 test images)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53"/>
        <w:gridCol w:w="1702"/>
        <w:gridCol w:w="1702"/>
        <w:gridCol w:w="1702"/>
        <w:gridCol w:w="1701"/>
      </w:tblGrid>
      <w:tr>
        <w:trPr>
          <w:tblHeader/>
        </w:trPr>
        <w:tc>
          <w:tcPr>
            <w:tcW w:type="dxa" w:w="2553"/>
            <w:shd w:fill="1F2A44" w:color="auto" w:val="clear"/>
            <w:tcMar>
              <w:top w:type="dxa" w:w="60"/>
              <w:left w:type="dxa" w:w="100"/>
              <w:bottom w:type="dxa" w:w="60"/>
              <w:right w:type="dxa" w:w="100"/>
            </w:tcMar>
          </w:tcPr>
          <w:p>
            <w:r>
              <w:rPr>
                <w:b/>
                <w:bCs/>
                <w:color w:val="FFFFFF"/>
                <w:sz w:val="20"/>
                <w:szCs w:val="20"/>
              </w:rPr>
              <w:t xml:space="preserve">Class</w:t>
            </w:r>
          </w:p>
        </w:tc>
        <w:tc>
          <w:tcPr>
            <w:tcW w:type="dxa" w:w="1702"/>
            <w:shd w:fill="1F2A44" w:color="auto" w:val="clear"/>
            <w:tcMar>
              <w:top w:type="dxa" w:w="60"/>
              <w:left w:type="dxa" w:w="100"/>
              <w:bottom w:type="dxa" w:w="60"/>
              <w:right w:type="dxa" w:w="100"/>
            </w:tcMar>
          </w:tcPr>
          <w:p>
            <w:r>
              <w:rPr>
                <w:b/>
                <w:bCs/>
                <w:color w:val="FFFFFF"/>
                <w:sz w:val="20"/>
                <w:szCs w:val="20"/>
              </w:rPr>
              <w:t xml:space="preserve">Precision</w:t>
            </w:r>
          </w:p>
        </w:tc>
        <w:tc>
          <w:tcPr>
            <w:tcW w:type="dxa" w:w="1702"/>
            <w:shd w:fill="1F2A44" w:color="auto" w:val="clear"/>
            <w:tcMar>
              <w:top w:type="dxa" w:w="60"/>
              <w:left w:type="dxa" w:w="100"/>
              <w:bottom w:type="dxa" w:w="60"/>
              <w:right w:type="dxa" w:w="100"/>
            </w:tcMar>
          </w:tcPr>
          <w:p>
            <w:r>
              <w:rPr>
                <w:b/>
                <w:bCs/>
                <w:color w:val="FFFFFF"/>
                <w:sz w:val="20"/>
                <w:szCs w:val="20"/>
              </w:rPr>
              <w:t xml:space="preserve">Recall</w:t>
            </w:r>
          </w:p>
        </w:tc>
        <w:tc>
          <w:tcPr>
            <w:tcW w:type="dxa" w:w="1702"/>
            <w:shd w:fill="1F2A44" w:color="auto" w:val="clear"/>
            <w:tcMar>
              <w:top w:type="dxa" w:w="60"/>
              <w:left w:type="dxa" w:w="100"/>
              <w:bottom w:type="dxa" w:w="60"/>
              <w:right w:type="dxa" w:w="100"/>
            </w:tcMar>
          </w:tcPr>
          <w:p>
            <w:r>
              <w:rPr>
                <w:b/>
                <w:bCs/>
                <w:color w:val="FFFFFF"/>
                <w:sz w:val="20"/>
                <w:szCs w:val="20"/>
              </w:rPr>
              <w:t xml:space="preserve">F1</w:t>
            </w:r>
          </w:p>
        </w:tc>
        <w:tc>
          <w:tcPr>
            <w:tcW w:type="dxa" w:w="1701"/>
            <w:shd w:fill="1F2A44" w:color="auto" w:val="clear"/>
            <w:tcMar>
              <w:top w:type="dxa" w:w="60"/>
              <w:left w:type="dxa" w:w="100"/>
              <w:bottom w:type="dxa" w:w="60"/>
              <w:right w:type="dxa" w:w="100"/>
            </w:tcMar>
          </w:tcPr>
          <w:p>
            <w:r>
              <w:rPr>
                <w:b/>
                <w:bCs/>
                <w:color w:val="FFFFFF"/>
                <w:sz w:val="20"/>
                <w:szCs w:val="20"/>
              </w:rPr>
              <w:t xml:space="preserve">Support</w:t>
            </w:r>
          </w:p>
        </w:tc>
      </w:tr>
      <w:tr>
        <w:trPr>
          <w:tblHeader w:val="false"/>
        </w:trPr>
        <w:tc>
          <w:tcPr>
            <w:tcW w:type="dxa" w:w="2553"/>
            <w:tcMar>
              <w:top w:type="dxa" w:w="60"/>
              <w:left w:type="dxa" w:w="100"/>
              <w:bottom w:type="dxa" w:w="60"/>
              <w:right w:type="dxa" w:w="100"/>
            </w:tcMar>
          </w:tcPr>
          <w:p>
            <w:r>
              <w:rPr>
                <w:b w:val="false"/>
                <w:bCs w:val="false"/>
                <w:color w:val="1E1E1E"/>
                <w:sz w:val="20"/>
                <w:szCs w:val="20"/>
              </w:rPr>
              <w:t xml:space="preserve">Benign</w:t>
            </w:r>
          </w:p>
        </w:tc>
        <w:tc>
          <w:tcPr>
            <w:tcW w:type="dxa" w:w="1702"/>
            <w:tcMar>
              <w:top w:type="dxa" w:w="60"/>
              <w:left w:type="dxa" w:w="100"/>
              <w:bottom w:type="dxa" w:w="60"/>
              <w:right w:type="dxa" w:w="100"/>
            </w:tcMar>
          </w:tcPr>
          <w:p>
            <w:r>
              <w:rPr>
                <w:b w:val="false"/>
                <w:bCs w:val="false"/>
                <w:color w:val="1E1E1E"/>
                <w:sz w:val="20"/>
                <w:szCs w:val="20"/>
              </w:rPr>
              <w:t xml:space="preserve">84.72%</w:t>
            </w:r>
          </w:p>
        </w:tc>
        <w:tc>
          <w:tcPr>
            <w:tcW w:type="dxa" w:w="1702"/>
            <w:tcMar>
              <w:top w:type="dxa" w:w="60"/>
              <w:left w:type="dxa" w:w="100"/>
              <w:bottom w:type="dxa" w:w="60"/>
              <w:right w:type="dxa" w:w="100"/>
            </w:tcMar>
          </w:tcPr>
          <w:p>
            <w:r>
              <w:rPr>
                <w:b w:val="false"/>
                <w:bCs w:val="false"/>
                <w:color w:val="1E1E1E"/>
                <w:sz w:val="20"/>
                <w:szCs w:val="20"/>
              </w:rPr>
              <w:t xml:space="preserve">84.27%</w:t>
            </w:r>
          </w:p>
        </w:tc>
        <w:tc>
          <w:tcPr>
            <w:tcW w:type="dxa" w:w="1702"/>
            <w:tcMar>
              <w:top w:type="dxa" w:w="60"/>
              <w:left w:type="dxa" w:w="100"/>
              <w:bottom w:type="dxa" w:w="60"/>
              <w:right w:type="dxa" w:w="100"/>
            </w:tcMar>
          </w:tcPr>
          <w:p>
            <w:r>
              <w:rPr>
                <w:b w:val="false"/>
                <w:bCs w:val="false"/>
                <w:color w:val="1E1E1E"/>
                <w:sz w:val="20"/>
                <w:szCs w:val="20"/>
              </w:rPr>
              <w:t xml:space="preserve">0.8449</w:t>
            </w:r>
          </w:p>
        </w:tc>
        <w:tc>
          <w:tcPr>
            <w:tcW w:type="dxa" w:w="1701"/>
            <w:tcMar>
              <w:top w:type="dxa" w:w="60"/>
              <w:left w:type="dxa" w:w="100"/>
              <w:bottom w:type="dxa" w:w="60"/>
              <w:right w:type="dxa" w:w="100"/>
            </w:tcMar>
          </w:tcPr>
          <w:p>
            <w:r>
              <w:rPr>
                <w:b w:val="false"/>
                <w:bCs w:val="false"/>
                <w:color w:val="1E1E1E"/>
                <w:sz w:val="20"/>
                <w:szCs w:val="20"/>
              </w:rPr>
              <w:t xml:space="preserve">375</w:t>
            </w:r>
          </w:p>
        </w:tc>
      </w:tr>
      <w:tr>
        <w:trPr>
          <w:tblHeader w:val="false"/>
        </w:trPr>
        <w:tc>
          <w:tcPr>
            <w:tcW w:type="dxa" w:w="2553"/>
            <w:tcMar>
              <w:top w:type="dxa" w:w="60"/>
              <w:left w:type="dxa" w:w="100"/>
              <w:bottom w:type="dxa" w:w="60"/>
              <w:right w:type="dxa" w:w="100"/>
            </w:tcMar>
          </w:tcPr>
          <w:p>
            <w:r>
              <w:rPr>
                <w:b w:val="false"/>
                <w:bCs w:val="false"/>
                <w:color w:val="1E1E1E"/>
                <w:sz w:val="20"/>
                <w:szCs w:val="20"/>
              </w:rPr>
              <w:t xml:space="preserve">Malignant</w:t>
            </w:r>
          </w:p>
        </w:tc>
        <w:tc>
          <w:tcPr>
            <w:tcW w:type="dxa" w:w="1702"/>
            <w:tcMar>
              <w:top w:type="dxa" w:w="60"/>
              <w:left w:type="dxa" w:w="100"/>
              <w:bottom w:type="dxa" w:w="60"/>
              <w:right w:type="dxa" w:w="100"/>
            </w:tcMar>
          </w:tcPr>
          <w:p>
            <w:r>
              <w:rPr>
                <w:b w:val="false"/>
                <w:bCs w:val="false"/>
                <w:color w:val="1E1E1E"/>
                <w:sz w:val="20"/>
                <w:szCs w:val="20"/>
              </w:rPr>
              <w:t xml:space="preserve">74.65%</w:t>
            </w:r>
          </w:p>
        </w:tc>
        <w:tc>
          <w:tcPr>
            <w:tcW w:type="dxa" w:w="1702"/>
            <w:tcMar>
              <w:top w:type="dxa" w:w="60"/>
              <w:left w:type="dxa" w:w="100"/>
              <w:bottom w:type="dxa" w:w="60"/>
              <w:right w:type="dxa" w:w="100"/>
            </w:tcMar>
          </w:tcPr>
          <w:p>
            <w:r>
              <w:rPr>
                <w:b w:val="false"/>
                <w:bCs w:val="false"/>
                <w:color w:val="1E1E1E"/>
                <w:sz w:val="20"/>
                <w:szCs w:val="20"/>
              </w:rPr>
              <w:t xml:space="preserve">75.00%</w:t>
            </w:r>
          </w:p>
        </w:tc>
        <w:tc>
          <w:tcPr>
            <w:tcW w:type="dxa" w:w="1702"/>
            <w:tcMar>
              <w:top w:type="dxa" w:w="60"/>
              <w:left w:type="dxa" w:w="100"/>
              <w:bottom w:type="dxa" w:w="60"/>
              <w:right w:type="dxa" w:w="100"/>
            </w:tcMar>
          </w:tcPr>
          <w:p>
            <w:r>
              <w:rPr>
                <w:b w:val="false"/>
                <w:bCs w:val="false"/>
                <w:color w:val="1E1E1E"/>
                <w:sz w:val="20"/>
                <w:szCs w:val="20"/>
              </w:rPr>
              <w:t xml:space="preserve">0.7482</w:t>
            </w:r>
          </w:p>
        </w:tc>
        <w:tc>
          <w:tcPr>
            <w:tcW w:type="dxa" w:w="1701"/>
            <w:tcMar>
              <w:top w:type="dxa" w:w="60"/>
              <w:left w:type="dxa" w:w="100"/>
              <w:bottom w:type="dxa" w:w="60"/>
              <w:right w:type="dxa" w:w="100"/>
            </w:tcMar>
          </w:tcPr>
          <w:p>
            <w:r>
              <w:rPr>
                <w:b w:val="false"/>
                <w:bCs w:val="false"/>
                <w:color w:val="1E1E1E"/>
                <w:sz w:val="20"/>
                <w:szCs w:val="20"/>
              </w:rPr>
              <w:t xml:space="preserve">212</w:t>
            </w:r>
          </w:p>
        </w:tc>
      </w:tr>
      <w:tr>
        <w:trPr>
          <w:tblHeader w:val="false"/>
        </w:trPr>
        <w:tc>
          <w:tcPr>
            <w:tcW w:type="dxa" w:w="2553"/>
            <w:tcMar>
              <w:top w:type="dxa" w:w="60"/>
              <w:left w:type="dxa" w:w="100"/>
              <w:bottom w:type="dxa" w:w="60"/>
              <w:right w:type="dxa" w:w="100"/>
            </w:tcMar>
          </w:tcPr>
          <w:p>
            <w:r>
              <w:rPr>
                <w:b w:val="false"/>
                <w:bCs w:val="false"/>
                <w:color w:val="1E1E1E"/>
                <w:sz w:val="20"/>
                <w:szCs w:val="20"/>
              </w:rPr>
              <w:t xml:space="preserve">Normal</w:t>
            </w:r>
          </w:p>
        </w:tc>
        <w:tc>
          <w:tcPr>
            <w:tcW w:type="dxa" w:w="1702"/>
            <w:tcMar>
              <w:top w:type="dxa" w:w="60"/>
              <w:left w:type="dxa" w:w="100"/>
              <w:bottom w:type="dxa" w:w="60"/>
              <w:right w:type="dxa" w:w="100"/>
            </w:tcMar>
          </w:tcPr>
          <w:p>
            <w:r>
              <w:rPr>
                <w:b w:val="false"/>
                <w:bCs w:val="false"/>
                <w:color w:val="1E1E1E"/>
                <w:sz w:val="20"/>
                <w:szCs w:val="20"/>
              </w:rPr>
              <w:t xml:space="preserve">90.00%</w:t>
            </w:r>
          </w:p>
        </w:tc>
        <w:tc>
          <w:tcPr>
            <w:tcW w:type="dxa" w:w="1702"/>
            <w:tcMar>
              <w:top w:type="dxa" w:w="60"/>
              <w:left w:type="dxa" w:w="100"/>
              <w:bottom w:type="dxa" w:w="60"/>
              <w:right w:type="dxa" w:w="100"/>
            </w:tcMar>
          </w:tcPr>
          <w:p>
            <w:r>
              <w:rPr>
                <w:b w:val="false"/>
                <w:bCs w:val="false"/>
                <w:color w:val="1E1E1E"/>
                <w:sz w:val="20"/>
                <w:szCs w:val="20"/>
              </w:rPr>
              <w:t xml:space="preserve">91.84%</w:t>
            </w:r>
          </w:p>
        </w:tc>
        <w:tc>
          <w:tcPr>
            <w:tcW w:type="dxa" w:w="1702"/>
            <w:tcMar>
              <w:top w:type="dxa" w:w="60"/>
              <w:left w:type="dxa" w:w="100"/>
              <w:bottom w:type="dxa" w:w="60"/>
              <w:right w:type="dxa" w:w="100"/>
            </w:tcMar>
          </w:tcPr>
          <w:p>
            <w:r>
              <w:rPr>
                <w:b w:val="false"/>
                <w:bCs w:val="false"/>
                <w:color w:val="1E1E1E"/>
                <w:sz w:val="20"/>
                <w:szCs w:val="20"/>
              </w:rPr>
              <w:t xml:space="preserve">0.9091</w:t>
            </w:r>
          </w:p>
        </w:tc>
        <w:tc>
          <w:tcPr>
            <w:tcW w:type="dxa" w:w="1701"/>
            <w:tcMar>
              <w:top w:type="dxa" w:w="60"/>
              <w:left w:type="dxa" w:w="100"/>
              <w:bottom w:type="dxa" w:w="60"/>
              <w:right w:type="dxa" w:w="100"/>
            </w:tcMar>
          </w:tcPr>
          <w:p>
            <w:r>
              <w:rPr>
                <w:b w:val="false"/>
                <w:bCs w:val="false"/>
                <w:color w:val="1E1E1E"/>
                <w:sz w:val="20"/>
                <w:szCs w:val="20"/>
              </w:rPr>
              <w:t xml:space="preserve">49</w:t>
            </w:r>
          </w:p>
        </w:tc>
      </w:tr>
    </w:tbl>
    <w:p>
      <w:pPr>
        <w:spacing w:after="160"/>
      </w:pPr>
      <w:r>
        <w:rPr>
          <w:sz w:val="22"/>
          <w:szCs w:val="22"/>
        </w:rPr>
        <w:t xml:space="preserve"/>
      </w:r>
    </w:p>
    <w:p>
      <w:pPr>
        <w:spacing w:after="160"/>
      </w:pPr>
      <w:r>
        <w:rPr>
          <w:sz w:val="22"/>
          <w:szCs w:val="22"/>
        </w:rPr>
        <w:t xml:space="preserve">Overall accuracy is 81.76% (520 of 636). Malignant vs rest: AUC-ROC 0.9105, AUC-PR 0.8154. Single-image MATLAB inference latency is recorded in results/cnn_eval.md and varies between runs.</w:t>
      </w:r>
    </w:p>
    <w:p>
      <w:pPr>
        <w:pStyle w:val="Heading1"/>
        <w:spacing w:after="160" w:before="320"/>
      </w:pPr>
      <w:r>
        <w:t xml:space="preserve">4. Pipeline 1: OASBUD classification</w:t>
      </w:r>
    </w:p>
    <w:p>
      <w:pPr>
        <w:spacing w:after="160"/>
      </w:pPr>
      <w:r>
        <w:rPr>
          <w:sz w:val="22"/>
          <w:szCs w:val="22"/>
        </w:rPr>
        <w:t xml:space="preserve">The pipeline runs DataSourceOp, then BeamformingOp (per-column Hilbert envelope, gamma 0.3 power-law compression, GPU Coder CUDA through ctypes), then EnhancementOp (uint8 scaling, bilateral filter, resize to 224 x 224, RGB), then InferenceOp (ONNX MobileNetV2 on CUDAExecutionProvider), then OutputOp. It is run under the GreedyScheduler, so stages execute sequentially.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5616"/>
      </w:tblGrid>
      <w:tr>
        <w:trPr>
          <w:tblHeader/>
        </w:trPr>
        <w:tc>
          <w:tcPr>
            <w:tcW w:type="dxa" w:w="3744"/>
            <w:shd w:fill="1F2A44" w:color="auto" w:val="clear"/>
            <w:tcMar>
              <w:top w:type="dxa" w:w="60"/>
              <w:left w:type="dxa" w:w="100"/>
              <w:bottom w:type="dxa" w:w="60"/>
              <w:right w:type="dxa" w:w="100"/>
            </w:tcMar>
          </w:tcPr>
          <w:p>
            <w:r>
              <w:rPr>
                <w:b/>
                <w:bCs/>
                <w:color w:val="FFFFFF"/>
                <w:sz w:val="20"/>
                <w:szCs w:val="20"/>
              </w:rPr>
              <w:t xml:space="preserve">Result (60 held-out patients)</w:t>
            </w:r>
          </w:p>
        </w:tc>
        <w:tc>
          <w:tcPr>
            <w:tcW w:type="dxa" w:w="5616"/>
            <w:shd w:fill="1F2A44" w:color="auto" w:val="clear"/>
            <w:tcMar>
              <w:top w:type="dxa" w:w="60"/>
              <w:left w:type="dxa" w:w="100"/>
              <w:bottom w:type="dxa" w:w="60"/>
              <w:right w:type="dxa" w:w="100"/>
            </w:tcMar>
          </w:tcPr>
          <w:p>
            <w:r>
              <w:rPr>
                <w:b/>
                <w:bCs/>
                <w:color w:val="FFFFFF"/>
                <w:sz w:val="20"/>
                <w:szCs w:val="20"/>
              </w:rPr>
              <w:t xml:space="preserve">Value</w:t>
            </w:r>
          </w:p>
        </w:tc>
      </w:tr>
      <w:tr>
        <w:trPr>
          <w:tblHeader w:val="false"/>
        </w:trPr>
        <w:tc>
          <w:tcPr>
            <w:tcW w:type="dxa" w:w="3744"/>
            <w:tcMar>
              <w:top w:type="dxa" w:w="60"/>
              <w:left w:type="dxa" w:w="100"/>
              <w:bottom w:type="dxa" w:w="60"/>
              <w:right w:type="dxa" w:w="100"/>
            </w:tcMar>
          </w:tcPr>
          <w:p>
            <w:r>
              <w:rPr>
                <w:b w:val="false"/>
                <w:bCs w:val="false"/>
                <w:color w:val="1E1E1E"/>
                <w:sz w:val="20"/>
                <w:szCs w:val="20"/>
              </w:rPr>
              <w:t xml:space="preserve">Pipeline accuracy</w:t>
            </w:r>
          </w:p>
        </w:tc>
        <w:tc>
          <w:tcPr>
            <w:tcW w:type="dxa" w:w="5616"/>
            <w:tcMar>
              <w:top w:type="dxa" w:w="60"/>
              <w:left w:type="dxa" w:w="100"/>
              <w:bottom w:type="dxa" w:w="60"/>
              <w:right w:type="dxa" w:w="100"/>
            </w:tcMar>
          </w:tcPr>
          <w:p>
            <w:r>
              <w:rPr>
                <w:b w:val="false"/>
                <w:bCs w:val="false"/>
                <w:color w:val="1E1E1E"/>
                <w:sz w:val="20"/>
                <w:szCs w:val="20"/>
              </w:rPr>
              <w:t xml:space="preserve">55.0% (33 of 60), identical on CUDA and scipy backends</w:t>
            </w:r>
          </w:p>
        </w:tc>
      </w:tr>
      <w:tr>
        <w:trPr>
          <w:tblHeader w:val="false"/>
        </w:trPr>
        <w:tc>
          <w:tcPr>
            <w:tcW w:type="dxa" w:w="3744"/>
            <w:tcMar>
              <w:top w:type="dxa" w:w="60"/>
              <w:left w:type="dxa" w:w="100"/>
              <w:bottom w:type="dxa" w:w="60"/>
              <w:right w:type="dxa" w:w="100"/>
            </w:tcMar>
          </w:tcPr>
          <w:p>
            <w:r>
              <w:rPr>
                <w:b w:val="false"/>
                <w:bCs w:val="false"/>
                <w:color w:val="1E1E1E"/>
                <w:sz w:val="20"/>
                <w:szCs w:val="20"/>
              </w:rPr>
              <w:t xml:space="preserve">Malignant recall</w:t>
            </w:r>
          </w:p>
        </w:tc>
        <w:tc>
          <w:tcPr>
            <w:tcW w:type="dxa" w:w="5616"/>
            <w:tcMar>
              <w:top w:type="dxa" w:w="60"/>
              <w:left w:type="dxa" w:w="100"/>
              <w:bottom w:type="dxa" w:w="60"/>
              <w:right w:type="dxa" w:w="100"/>
            </w:tcMar>
          </w:tcPr>
          <w:p>
            <w:r>
              <w:rPr>
                <w:b w:val="false"/>
                <w:bCs w:val="false"/>
                <w:color w:val="1E1E1E"/>
                <w:sz w:val="20"/>
                <w:szCs w:val="20"/>
              </w:rPr>
              <w:t xml:space="preserve">84.4% (27 of 32)</w:t>
            </w:r>
          </w:p>
        </w:tc>
      </w:tr>
      <w:tr>
        <w:trPr>
          <w:tblHeader w:val="false"/>
        </w:trPr>
        <w:tc>
          <w:tcPr>
            <w:tcW w:type="dxa" w:w="3744"/>
            <w:tcMar>
              <w:top w:type="dxa" w:w="60"/>
              <w:left w:type="dxa" w:w="100"/>
              <w:bottom w:type="dxa" w:w="60"/>
              <w:right w:type="dxa" w:w="100"/>
            </w:tcMar>
          </w:tcPr>
          <w:p>
            <w:r>
              <w:rPr>
                <w:b w:val="false"/>
                <w:bCs w:val="false"/>
                <w:color w:val="1E1E1E"/>
                <w:sz w:val="20"/>
                <w:szCs w:val="20"/>
              </w:rPr>
              <w:t xml:space="preserve">Benign recall</w:t>
            </w:r>
          </w:p>
        </w:tc>
        <w:tc>
          <w:tcPr>
            <w:tcW w:type="dxa" w:w="5616"/>
            <w:tcMar>
              <w:top w:type="dxa" w:w="60"/>
              <w:left w:type="dxa" w:w="100"/>
              <w:bottom w:type="dxa" w:w="60"/>
              <w:right w:type="dxa" w:w="100"/>
            </w:tcMar>
          </w:tcPr>
          <w:p>
            <w:r>
              <w:rPr>
                <w:b w:val="false"/>
                <w:bCs w:val="false"/>
                <w:color w:val="1E1E1E"/>
                <w:sz w:val="20"/>
                <w:szCs w:val="20"/>
              </w:rPr>
              <w:t xml:space="preserve">21.4% (6 of 28)</w:t>
            </w:r>
          </w:p>
        </w:tc>
      </w:tr>
      <w:tr>
        <w:trPr>
          <w:tblHeader w:val="false"/>
        </w:trPr>
        <w:tc>
          <w:tcPr>
            <w:tcW w:type="dxa" w:w="3744"/>
            <w:tcMar>
              <w:top w:type="dxa" w:w="60"/>
              <w:left w:type="dxa" w:w="100"/>
              <w:bottom w:type="dxa" w:w="60"/>
              <w:right w:type="dxa" w:w="100"/>
            </w:tcMar>
          </w:tcPr>
          <w:p>
            <w:r>
              <w:rPr>
                <w:b w:val="false"/>
                <w:bCs w:val="false"/>
                <w:color w:val="1E1E1E"/>
                <w:sz w:val="20"/>
                <w:szCs w:val="20"/>
              </w:rPr>
              <w:t xml:space="preserve">Predictions</w:t>
            </w:r>
          </w:p>
        </w:tc>
        <w:tc>
          <w:tcPr>
            <w:tcW w:type="dxa" w:w="5616"/>
            <w:tcMar>
              <w:top w:type="dxa" w:w="60"/>
              <w:left w:type="dxa" w:w="100"/>
              <w:bottom w:type="dxa" w:w="60"/>
              <w:right w:type="dxa" w:w="100"/>
            </w:tcMar>
          </w:tcPr>
          <w:p>
            <w:r>
              <w:rPr>
                <w:b w:val="false"/>
                <w:bCs w:val="false"/>
                <w:color w:val="1E1E1E"/>
                <w:sz w:val="20"/>
                <w:szCs w:val="20"/>
              </w:rPr>
              <w:t xml:space="preserve">49 of 60 called malignant</w:t>
            </w:r>
          </w:p>
        </w:tc>
      </w:tr>
      <w:tr>
        <w:trPr>
          <w:tblHeader w:val="false"/>
        </w:trPr>
        <w:tc>
          <w:tcPr>
            <w:tcW w:type="dxa" w:w="3744"/>
            <w:tcMar>
              <w:top w:type="dxa" w:w="60"/>
              <w:left w:type="dxa" w:w="100"/>
              <w:bottom w:type="dxa" w:w="60"/>
              <w:right w:type="dxa" w:w="100"/>
            </w:tcMar>
          </w:tcPr>
          <w:p>
            <w:r>
              <w:rPr>
                <w:b w:val="false"/>
                <w:bCs w:val="false"/>
                <w:color w:val="1E1E1E"/>
                <w:sz w:val="20"/>
                <w:szCs w:val="20"/>
              </w:rPr>
              <w:t xml:space="preserve">CUDA vs scipy beamforming</w:t>
            </w:r>
          </w:p>
        </w:tc>
        <w:tc>
          <w:tcPr>
            <w:tcW w:type="dxa" w:w="5616"/>
            <w:tcMar>
              <w:top w:type="dxa" w:w="60"/>
              <w:left w:type="dxa" w:w="100"/>
              <w:bottom w:type="dxa" w:w="60"/>
              <w:right w:type="dxa" w:w="100"/>
            </w:tcMar>
          </w:tcPr>
          <w:p>
            <w:r>
              <w:rPr>
                <w:b w:val="false"/>
                <w:bCs w:val="false"/>
                <w:color w:val="1E1E1E"/>
                <w:sz w:val="20"/>
                <w:szCs w:val="20"/>
              </w:rPr>
              <w:t xml:space="preserve">Largest difference 7.64e-13 across 100 patients</w:t>
            </w:r>
          </w:p>
        </w:tc>
      </w:tr>
      <w:tr>
        <w:trPr>
          <w:tblHeader w:val="false"/>
        </w:trPr>
        <w:tc>
          <w:tcPr>
            <w:tcW w:type="dxa" w:w="3744"/>
            <w:tcMar>
              <w:top w:type="dxa" w:w="60"/>
              <w:left w:type="dxa" w:w="100"/>
              <w:bottom w:type="dxa" w:w="60"/>
              <w:right w:type="dxa" w:w="100"/>
            </w:tcMar>
          </w:tcPr>
          <w:p>
            <w:r>
              <w:rPr>
                <w:b w:val="false"/>
                <w:bCs w:val="false"/>
                <w:color w:val="1E1E1E"/>
                <w:sz w:val="20"/>
                <w:szCs w:val="20"/>
              </w:rPr>
              <w:t xml:space="preserve">Throughput, CUDA (committed log)</w:t>
            </w:r>
          </w:p>
        </w:tc>
        <w:tc>
          <w:tcPr>
            <w:tcW w:type="dxa" w:w="5616"/>
            <w:tcMar>
              <w:top w:type="dxa" w:w="60"/>
              <w:left w:type="dxa" w:w="100"/>
              <w:bottom w:type="dxa" w:w="60"/>
              <w:right w:type="dxa" w:w="100"/>
            </w:tcMar>
          </w:tcPr>
          <w:p>
            <w:r>
              <w:rPr>
                <w:b w:val="false"/>
                <w:bCs w:val="false"/>
                <w:color w:val="1E1E1E"/>
                <w:sz w:val="20"/>
                <w:szCs w:val="20"/>
              </w:rPr>
              <w:t xml:space="preserve">35.6 fps mean, 21.8 fps 95th percentile</w:t>
            </w:r>
          </w:p>
        </w:tc>
      </w:tr>
      <w:tr>
        <w:trPr>
          <w:tblHeader w:val="false"/>
        </w:trPr>
        <w:tc>
          <w:tcPr>
            <w:tcW w:type="dxa" w:w="3744"/>
            <w:tcMar>
              <w:top w:type="dxa" w:w="60"/>
              <w:left w:type="dxa" w:w="100"/>
              <w:bottom w:type="dxa" w:w="60"/>
              <w:right w:type="dxa" w:w="100"/>
            </w:tcMar>
          </w:tcPr>
          <w:p>
            <w:r>
              <w:rPr>
                <w:b w:val="false"/>
                <w:bCs w:val="false"/>
                <w:color w:val="1E1E1E"/>
                <w:sz w:val="20"/>
                <w:szCs w:val="20"/>
              </w:rPr>
              <w:t xml:space="preserve">Throughput, scipy (committed log)</w:t>
            </w:r>
          </w:p>
        </w:tc>
        <w:tc>
          <w:tcPr>
            <w:tcW w:type="dxa" w:w="5616"/>
            <w:tcMar>
              <w:top w:type="dxa" w:w="60"/>
              <w:left w:type="dxa" w:w="100"/>
              <w:bottom w:type="dxa" w:w="60"/>
              <w:right w:type="dxa" w:w="100"/>
            </w:tcMar>
          </w:tcPr>
          <w:p>
            <w:r>
              <w:rPr>
                <w:b w:val="false"/>
                <w:bCs w:val="false"/>
                <w:color w:val="1E1E1E"/>
                <w:sz w:val="20"/>
                <w:szCs w:val="20"/>
              </w:rPr>
              <w:t xml:space="preserve">26.9 fps mean</w:t>
            </w:r>
          </w:p>
        </w:tc>
      </w:tr>
    </w:tbl>
    <w:p>
      <w:pPr>
        <w:spacing w:after="160"/>
      </w:pPr>
      <w:r>
        <w:rPr>
          <w:sz w:val="22"/>
          <w:szCs w:val="22"/>
        </w:rPr>
        <w:t xml:space="preserve"/>
      </w:r>
    </w:p>
    <w:p>
      <w:pPr>
        <w:spacing w:after="160"/>
      </w:pPr>
      <w:r>
        <w:rPr>
          <w:sz w:val="22"/>
          <w:szCs w:val="22"/>
        </w:rPr>
        <w:t xml:space="preserve">The low benign recall is most likely a domain gap. The classifier was trained on clinical scanner images, while OASBUD is a single plane-wave acquisition with arc artefacts. The model therefore defaults toward malignant on unfamiliar input. Closing this gap needs training data that resembles OASBUD, and it is listed as an open item.</w:t>
      </w:r>
    </w:p>
    <w:p>
      <w:pPr>
        <w:pStyle w:val="Heading1"/>
        <w:spacing w:after="160" w:before="320"/>
      </w:pPr>
      <w:r>
        <w:t xml:space="preserve">5. Pipeline 2: plane-wave beamforming</w:t>
      </w:r>
    </w:p>
    <w:p>
      <w:pPr>
        <w:spacing w:after="160"/>
      </w:pPr>
      <w:r>
        <w:rPr>
          <w:sz w:val="22"/>
          <w:szCs w:val="22"/>
        </w:rPr>
        <w:t xml:space="preserve">HoloscanPlaneWave runs delay-and-sum on genuine per-element channel data from the CIRS040GSE phantom, using a GPU Coder kernel. It has no classification stage, because the phantom has no benign or malignant labels, so none of its results support a diagnostic claim.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808"/>
        <w:gridCol w:w="2808"/>
      </w:tblGrid>
      <w:tr>
        <w:trPr>
          <w:tblHeader/>
        </w:trPr>
        <w:tc>
          <w:tcPr>
            <w:tcW w:type="dxa" w:w="3744"/>
            <w:shd w:fill="1F2A44" w:color="auto" w:val="clear"/>
            <w:tcMar>
              <w:top w:type="dxa" w:w="60"/>
              <w:left w:type="dxa" w:w="100"/>
              <w:bottom w:type="dxa" w:w="60"/>
              <w:right w:type="dxa" w:w="100"/>
            </w:tcMar>
          </w:tcPr>
          <w:p>
            <w:r>
              <w:rPr>
                <w:b/>
                <w:bCs/>
                <w:color w:val="FFFFFF"/>
                <w:sz w:val="20"/>
                <w:szCs w:val="20"/>
              </w:rPr>
              <w:t xml:space="preserve">Measure</w:t>
            </w:r>
          </w:p>
        </w:tc>
        <w:tc>
          <w:tcPr>
            <w:tcW w:type="dxa" w:w="2808"/>
            <w:shd w:fill="1F2A44" w:color="auto" w:val="clear"/>
            <w:tcMar>
              <w:top w:type="dxa" w:w="60"/>
              <w:left w:type="dxa" w:w="100"/>
              <w:bottom w:type="dxa" w:w="60"/>
              <w:right w:type="dxa" w:w="100"/>
            </w:tcMar>
          </w:tcPr>
          <w:p>
            <w:r>
              <w:rPr>
                <w:b/>
                <w:bCs/>
                <w:color w:val="FFFFFF"/>
                <w:sz w:val="20"/>
                <w:szCs w:val="20"/>
              </w:rPr>
              <w:t xml:space="preserve">Committed log</w:t>
            </w:r>
          </w:p>
        </w:tc>
        <w:tc>
          <w:tcPr>
            <w:tcW w:type="dxa" w:w="2808"/>
            <w:shd w:fill="1F2A44" w:color="auto" w:val="clear"/>
            <w:tcMar>
              <w:top w:type="dxa" w:w="60"/>
              <w:left w:type="dxa" w:w="100"/>
              <w:bottom w:type="dxa" w:w="60"/>
              <w:right w:type="dxa" w:w="100"/>
            </w:tcMar>
          </w:tcPr>
          <w:p>
            <w:r>
              <w:rPr>
                <w:b/>
                <w:bCs/>
                <w:color w:val="FFFFFF"/>
                <w:sz w:val="20"/>
                <w:szCs w:val="20"/>
              </w:rPr>
              <w:t xml:space="preserve">Re-run, 28 Oct 2026</w:t>
            </w:r>
          </w:p>
        </w:tc>
      </w:tr>
      <w:tr>
        <w:trPr>
          <w:tblHeader w:val="false"/>
        </w:trPr>
        <w:tc>
          <w:tcPr>
            <w:tcW w:type="dxa" w:w="3744"/>
            <w:tcMar>
              <w:top w:type="dxa" w:w="60"/>
              <w:left w:type="dxa" w:w="100"/>
              <w:bottom w:type="dxa" w:w="60"/>
              <w:right w:type="dxa" w:w="100"/>
            </w:tcMar>
          </w:tcPr>
          <w:p>
            <w:r>
              <w:rPr>
                <w:b w:val="false"/>
                <w:bCs w:val="false"/>
                <w:color w:val="1E1E1E"/>
                <w:sz w:val="20"/>
                <w:szCs w:val="20"/>
              </w:rPr>
              <w:t xml:space="preserve">CUDA vs numpy reference</w:t>
            </w:r>
          </w:p>
        </w:tc>
        <w:tc>
          <w:tcPr>
            <w:tcW w:type="dxa" w:w="2808"/>
            <w:tcMar>
              <w:top w:type="dxa" w:w="60"/>
              <w:left w:type="dxa" w:w="100"/>
              <w:bottom w:type="dxa" w:w="60"/>
              <w:right w:type="dxa" w:w="100"/>
            </w:tcMar>
          </w:tcPr>
          <w:p>
            <w:r>
              <w:rPr>
                <w:b w:val="false"/>
                <w:bCs w:val="false"/>
                <w:color w:val="1E1E1E"/>
                <w:sz w:val="20"/>
                <w:szCs w:val="20"/>
              </w:rPr>
              <w:t xml:space="preserve">0.00e+00 (5 frames)</w:t>
            </w:r>
          </w:p>
        </w:tc>
        <w:tc>
          <w:tcPr>
            <w:tcW w:type="dxa" w:w="2808"/>
            <w:tcMar>
              <w:top w:type="dxa" w:w="60"/>
              <w:left w:type="dxa" w:w="100"/>
              <w:bottom w:type="dxa" w:w="60"/>
              <w:right w:type="dxa" w:w="100"/>
            </w:tcMar>
          </w:tcPr>
          <w:p>
            <w:r>
              <w:rPr>
                <w:b w:val="false"/>
                <w:bCs w:val="false"/>
                <w:color w:val="1E1E1E"/>
                <w:sz w:val="20"/>
                <w:szCs w:val="20"/>
              </w:rPr>
              <w:t xml:space="preserve">0.00e+00</w:t>
            </w:r>
          </w:p>
        </w:tc>
      </w:tr>
      <w:tr>
        <w:trPr>
          <w:tblHeader w:val="false"/>
        </w:trPr>
        <w:tc>
          <w:tcPr>
            <w:tcW w:type="dxa" w:w="3744"/>
            <w:tcMar>
              <w:top w:type="dxa" w:w="60"/>
              <w:left w:type="dxa" w:w="100"/>
              <w:bottom w:type="dxa" w:w="60"/>
              <w:right w:type="dxa" w:w="100"/>
            </w:tcMar>
          </w:tcPr>
          <w:p>
            <w:r>
              <w:rPr>
                <w:b w:val="false"/>
                <w:bCs w:val="false"/>
                <w:color w:val="1E1E1E"/>
                <w:sz w:val="20"/>
                <w:szCs w:val="20"/>
              </w:rPr>
              <w:t xml:space="preserve">Data load</w:t>
            </w:r>
          </w:p>
        </w:tc>
        <w:tc>
          <w:tcPr>
            <w:tcW w:type="dxa" w:w="2808"/>
            <w:tcMar>
              <w:top w:type="dxa" w:w="60"/>
              <w:left w:type="dxa" w:w="100"/>
              <w:bottom w:type="dxa" w:w="60"/>
              <w:right w:type="dxa" w:w="100"/>
            </w:tcMar>
          </w:tcPr>
          <w:p>
            <w:r>
              <w:rPr>
                <w:b w:val="false"/>
                <w:bCs w:val="false"/>
                <w:color w:val="1E1E1E"/>
                <w:sz w:val="20"/>
                <w:szCs w:val="20"/>
              </w:rPr>
              <w:t xml:space="preserve">387.74 ms (93% of frame)</w:t>
            </w:r>
          </w:p>
        </w:tc>
        <w:tc>
          <w:tcPr>
            <w:tcW w:type="dxa" w:w="2808"/>
            <w:tcMar>
              <w:top w:type="dxa" w:w="60"/>
              <w:left w:type="dxa" w:w="100"/>
              <w:bottom w:type="dxa" w:w="60"/>
              <w:right w:type="dxa" w:w="100"/>
            </w:tcMar>
          </w:tcPr>
          <w:p>
            <w:r>
              <w:rPr>
                <w:b w:val="false"/>
                <w:bCs w:val="false"/>
                <w:color w:val="1E1E1E"/>
                <w:sz w:val="20"/>
                <w:szCs w:val="20"/>
              </w:rPr>
              <w:t xml:space="preserve">478.88 ms (93%)</w:t>
            </w:r>
          </w:p>
        </w:tc>
      </w:tr>
      <w:tr>
        <w:trPr>
          <w:tblHeader w:val="false"/>
        </w:trPr>
        <w:tc>
          <w:tcPr>
            <w:tcW w:type="dxa" w:w="3744"/>
            <w:tcMar>
              <w:top w:type="dxa" w:w="60"/>
              <w:left w:type="dxa" w:w="100"/>
              <w:bottom w:type="dxa" w:w="60"/>
              <w:right w:type="dxa" w:w="100"/>
            </w:tcMar>
          </w:tcPr>
          <w:p>
            <w:r>
              <w:rPr>
                <w:b w:val="false"/>
                <w:bCs w:val="false"/>
                <w:color w:val="1E1E1E"/>
                <w:sz w:val="20"/>
                <w:szCs w:val="20"/>
              </w:rPr>
              <w:t xml:space="preserve">Beamforming</w:t>
            </w:r>
          </w:p>
        </w:tc>
        <w:tc>
          <w:tcPr>
            <w:tcW w:type="dxa" w:w="2808"/>
            <w:tcMar>
              <w:top w:type="dxa" w:w="60"/>
              <w:left w:type="dxa" w:w="100"/>
              <w:bottom w:type="dxa" w:w="60"/>
              <w:right w:type="dxa" w:w="100"/>
            </w:tcMar>
          </w:tcPr>
          <w:p>
            <w:r>
              <w:rPr>
                <w:b w:val="false"/>
                <w:bCs w:val="false"/>
                <w:color w:val="1E1E1E"/>
                <w:sz w:val="20"/>
                <w:szCs w:val="20"/>
              </w:rPr>
              <w:t xml:space="preserve">8.44 ms (2%)</w:t>
            </w:r>
          </w:p>
        </w:tc>
        <w:tc>
          <w:tcPr>
            <w:tcW w:type="dxa" w:w="2808"/>
            <w:tcMar>
              <w:top w:type="dxa" w:w="60"/>
              <w:left w:type="dxa" w:w="100"/>
              <w:bottom w:type="dxa" w:w="60"/>
              <w:right w:type="dxa" w:w="100"/>
            </w:tcMar>
          </w:tcPr>
          <w:p>
            <w:r>
              <w:rPr>
                <w:b w:val="false"/>
                <w:bCs w:val="false"/>
                <w:color w:val="1E1E1E"/>
                <w:sz w:val="20"/>
                <w:szCs w:val="20"/>
              </w:rPr>
              <w:t xml:space="preserve">8.34 ms (1.6%)</w:t>
            </w:r>
          </w:p>
        </w:tc>
      </w:tr>
      <w:tr>
        <w:trPr>
          <w:tblHeader w:val="false"/>
        </w:trPr>
        <w:tc>
          <w:tcPr>
            <w:tcW w:type="dxa" w:w="3744"/>
            <w:tcMar>
              <w:top w:type="dxa" w:w="60"/>
              <w:left w:type="dxa" w:w="100"/>
              <w:bottom w:type="dxa" w:w="60"/>
              <w:right w:type="dxa" w:w="100"/>
            </w:tcMar>
          </w:tcPr>
          <w:p>
            <w:r>
              <w:rPr>
                <w:b w:val="false"/>
                <w:bCs w:val="false"/>
                <w:color w:val="1E1E1E"/>
                <w:sz w:val="20"/>
                <w:szCs w:val="20"/>
              </w:rPr>
              <w:t xml:space="preserve">Total frame</w:t>
            </w:r>
          </w:p>
        </w:tc>
        <w:tc>
          <w:tcPr>
            <w:tcW w:type="dxa" w:w="2808"/>
            <w:tcMar>
              <w:top w:type="dxa" w:w="60"/>
              <w:left w:type="dxa" w:w="100"/>
              <w:bottom w:type="dxa" w:w="60"/>
              <w:right w:type="dxa" w:w="100"/>
            </w:tcMar>
          </w:tcPr>
          <w:p>
            <w:r>
              <w:rPr>
                <w:b w:val="false"/>
                <w:bCs w:val="false"/>
                <w:color w:val="1E1E1E"/>
                <w:sz w:val="20"/>
                <w:szCs w:val="20"/>
              </w:rPr>
              <w:t xml:space="preserve">461.27 ms</w:t>
            </w:r>
          </w:p>
        </w:tc>
        <w:tc>
          <w:tcPr>
            <w:tcW w:type="dxa" w:w="2808"/>
            <w:tcMar>
              <w:top w:type="dxa" w:w="60"/>
              <w:left w:type="dxa" w:w="100"/>
              <w:bottom w:type="dxa" w:w="60"/>
              <w:right w:type="dxa" w:w="100"/>
            </w:tcMar>
          </w:tcPr>
          <w:p>
            <w:r>
              <w:rPr>
                <w:b w:val="false"/>
                <w:bCs w:val="false"/>
                <w:color w:val="1E1E1E"/>
                <w:sz w:val="20"/>
                <w:szCs w:val="20"/>
              </w:rPr>
              <w:t xml:space="preserve">515.37 ms</w:t>
            </w:r>
          </w:p>
        </w:tc>
      </w:tr>
      <w:tr>
        <w:trPr>
          <w:tblHeader w:val="false"/>
        </w:trPr>
        <w:tc>
          <w:tcPr>
            <w:tcW w:type="dxa" w:w="3744"/>
            <w:tcMar>
              <w:top w:type="dxa" w:w="60"/>
              <w:left w:type="dxa" w:w="100"/>
              <w:bottom w:type="dxa" w:w="60"/>
              <w:right w:type="dxa" w:w="100"/>
            </w:tcMar>
          </w:tcPr>
          <w:p>
            <w:r>
              <w:rPr>
                <w:b w:val="false"/>
                <w:bCs w:val="false"/>
                <w:color w:val="1E1E1E"/>
                <w:sz w:val="20"/>
                <w:szCs w:val="20"/>
              </w:rPr>
              <w:t xml:space="preserve">Throughput</w:t>
            </w:r>
          </w:p>
        </w:tc>
        <w:tc>
          <w:tcPr>
            <w:tcW w:type="dxa" w:w="2808"/>
            <w:tcMar>
              <w:top w:type="dxa" w:w="60"/>
              <w:left w:type="dxa" w:w="100"/>
              <w:bottom w:type="dxa" w:w="60"/>
              <w:right w:type="dxa" w:w="100"/>
            </w:tcMar>
          </w:tcPr>
          <w:p>
            <w:r>
              <w:rPr>
                <w:b w:val="false"/>
                <w:bCs w:val="false"/>
                <w:color w:val="1E1E1E"/>
                <w:sz w:val="20"/>
                <w:szCs w:val="20"/>
              </w:rPr>
              <w:t xml:space="preserve">2.2 fps</w:t>
            </w:r>
          </w:p>
        </w:tc>
        <w:tc>
          <w:tcPr>
            <w:tcW w:type="dxa" w:w="2808"/>
            <w:tcMar>
              <w:top w:type="dxa" w:w="60"/>
              <w:left w:type="dxa" w:w="100"/>
              <w:bottom w:type="dxa" w:w="60"/>
              <w:right w:type="dxa" w:w="100"/>
            </w:tcMar>
          </w:tcPr>
          <w:p>
            <w:r>
              <w:rPr>
                <w:b w:val="false"/>
                <w:bCs w:val="false"/>
                <w:color w:val="1E1E1E"/>
                <w:sz w:val="20"/>
                <w:szCs w:val="20"/>
              </w:rPr>
              <w:t xml:space="preserve">1.9 fps</w:t>
            </w:r>
          </w:p>
        </w:tc>
      </w:tr>
    </w:tbl>
    <w:p>
      <w:pPr>
        <w:spacing w:after="160"/>
      </w:pPr>
      <w:r>
        <w:rPr>
          <w:sz w:val="22"/>
          <w:szCs w:val="22"/>
        </w:rPr>
        <w:t xml:space="preserve"/>
      </w:r>
    </w:p>
    <w:p>
      <w:pPr>
        <w:spacing w:after="160"/>
      </w:pPr>
      <w:r>
        <w:rPr>
          <w:sz w:val="22"/>
          <w:szCs w:val="22"/>
        </w:rPr>
        <w:t xml:space="preserve">The CUDA speedup on beamforming is real, but data loading dominates the frame. Optimising that path is an identified next step and has not been attempted.</w:t>
      </w:r>
    </w:p>
    <w:p>
      <w:pPr>
        <w:pStyle w:val="Heading1"/>
        <w:spacing w:after="160" w:before="320"/>
      </w:pPr>
      <w:r>
        <w:t xml:space="preserve">6. Enhancement filter selection</w:t>
      </w:r>
    </w:p>
    <w:p>
      <w:pPr>
        <w:spacing w:after="160"/>
      </w:pPr>
      <w:r>
        <w:rPr>
          <w:sz w:val="22"/>
          <w:szCs w:val="22"/>
        </w:rPr>
        <w:t xml:space="preserve">The earlier comparison scored filters with PSNR and SSIM against the unfiltered noisy image, which rewards doing nothing, so it could not rank denoisers. Filters are now ranked on real OASBUD data (hold-out patient 43mw, fixed lesion and background regions) and on a synthetic phantom with known regions and imnoise speckle at variance 0.05.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80"/>
        <w:gridCol w:w="1170"/>
        <w:gridCol w:w="1170"/>
        <w:gridCol w:w="1260"/>
        <w:gridCol w:w="1440"/>
        <w:gridCol w:w="1260"/>
        <w:gridCol w:w="1080"/>
      </w:tblGrid>
      <w:tr>
        <w:trPr>
          <w:tblHeader/>
        </w:trPr>
        <w:tc>
          <w:tcPr>
            <w:tcW w:type="dxa" w:w="1980"/>
            <w:shd w:fill="1F2A44" w:color="auto" w:val="clear"/>
            <w:tcMar>
              <w:top w:type="dxa" w:w="60"/>
              <w:left w:type="dxa" w:w="100"/>
              <w:bottom w:type="dxa" w:w="60"/>
              <w:right w:type="dxa" w:w="100"/>
            </w:tcMar>
          </w:tcPr>
          <w:p>
            <w:r>
              <w:rPr>
                <w:b/>
                <w:bCs/>
                <w:color w:val="FFFFFF"/>
                <w:sz w:val="20"/>
                <w:szCs w:val="20"/>
              </w:rPr>
              <w:t xml:space="preserve">Filter</w:t>
            </w:r>
          </w:p>
        </w:tc>
        <w:tc>
          <w:tcPr>
            <w:tcW w:type="dxa" w:w="1170"/>
            <w:shd w:fill="1F2A44" w:color="auto" w:val="clear"/>
            <w:tcMar>
              <w:top w:type="dxa" w:w="60"/>
              <w:left w:type="dxa" w:w="100"/>
              <w:bottom w:type="dxa" w:w="60"/>
              <w:right w:type="dxa" w:w="100"/>
            </w:tcMar>
          </w:tcPr>
          <w:p>
            <w:r>
              <w:rPr>
                <w:b/>
                <w:bCs/>
                <w:color w:val="FFFFFF"/>
                <w:sz w:val="20"/>
                <w:szCs w:val="20"/>
              </w:rPr>
              <w:t xml:space="preserve">Real CNR</w:t>
            </w:r>
          </w:p>
        </w:tc>
        <w:tc>
          <w:tcPr>
            <w:tcW w:type="dxa" w:w="1170"/>
            <w:shd w:fill="1F2A44" w:color="auto" w:val="clear"/>
            <w:tcMar>
              <w:top w:type="dxa" w:w="60"/>
              <w:left w:type="dxa" w:w="100"/>
              <w:bottom w:type="dxa" w:w="60"/>
              <w:right w:type="dxa" w:w="100"/>
            </w:tcMar>
          </w:tcPr>
          <w:p>
            <w:r>
              <w:rPr>
                <w:b/>
                <w:bCs/>
                <w:color w:val="FFFFFF"/>
                <w:sz w:val="20"/>
                <w:szCs w:val="20"/>
              </w:rPr>
              <w:t xml:space="preserve">Real gCNR</w:t>
            </w:r>
          </w:p>
        </w:tc>
        <w:tc>
          <w:tcPr>
            <w:tcW w:type="dxa" w:w="1260"/>
            <w:shd w:fill="1F2A44" w:color="auto" w:val="clear"/>
            <w:tcMar>
              <w:top w:type="dxa" w:w="60"/>
              <w:left w:type="dxa" w:w="100"/>
              <w:bottom w:type="dxa" w:w="60"/>
              <w:right w:type="dxa" w:w="100"/>
            </w:tcMar>
          </w:tcPr>
          <w:p>
            <w:r>
              <w:rPr>
                <w:b/>
                <w:bCs/>
                <w:color w:val="FFFFFF"/>
                <w:sz w:val="20"/>
                <w:szCs w:val="20"/>
              </w:rPr>
              <w:t xml:space="preserve">Speckle SNR</w:t>
            </w:r>
          </w:p>
        </w:tc>
        <w:tc>
          <w:tcPr>
            <w:tcW w:type="dxa" w:w="1440"/>
            <w:shd w:fill="1F2A44" w:color="auto" w:val="clear"/>
            <w:tcMar>
              <w:top w:type="dxa" w:w="60"/>
              <w:left w:type="dxa" w:w="100"/>
              <w:bottom w:type="dxa" w:w="60"/>
              <w:right w:type="dxa" w:w="100"/>
            </w:tcMar>
          </w:tcPr>
          <w:p>
            <w:r>
              <w:rPr>
                <w:b/>
                <w:bCs/>
                <w:color w:val="FFFFFF"/>
                <w:sz w:val="20"/>
                <w:szCs w:val="20"/>
              </w:rPr>
              <w:t xml:space="preserve">Phantom PSNR (dB)</w:t>
            </w:r>
          </w:p>
        </w:tc>
        <w:tc>
          <w:tcPr>
            <w:tcW w:type="dxa" w:w="1260"/>
            <w:shd w:fill="1F2A44" w:color="auto" w:val="clear"/>
            <w:tcMar>
              <w:top w:type="dxa" w:w="60"/>
              <w:left w:type="dxa" w:w="100"/>
              <w:bottom w:type="dxa" w:w="60"/>
              <w:right w:type="dxa" w:w="100"/>
            </w:tcMar>
          </w:tcPr>
          <w:p>
            <w:r>
              <w:rPr>
                <w:b/>
                <w:bCs/>
                <w:color w:val="FFFFFF"/>
                <w:sz w:val="20"/>
                <w:szCs w:val="20"/>
              </w:rPr>
              <w:t xml:space="preserve">Phantom SSIM</w:t>
            </w:r>
          </w:p>
        </w:tc>
        <w:tc>
          <w:tcPr>
            <w:tcW w:type="dxa" w:w="1080"/>
            <w:shd w:fill="1F2A44" w:color="auto" w:val="clear"/>
            <w:tcMar>
              <w:top w:type="dxa" w:w="60"/>
              <w:left w:type="dxa" w:w="100"/>
              <w:bottom w:type="dxa" w:w="60"/>
              <w:right w:type="dxa" w:w="100"/>
            </w:tcMar>
          </w:tcPr>
          <w:p>
            <w:r>
              <w:rPr>
                <w:b/>
                <w:bCs/>
                <w:color w:val="FFFFFF"/>
                <w:sz w:val="20"/>
                <w:szCs w:val="20"/>
              </w:rPr>
              <w:t xml:space="preserve">Mean rank</w:t>
            </w:r>
          </w:p>
        </w:tc>
      </w:tr>
      <w:tr>
        <w:trPr>
          <w:tblHeader w:val="false"/>
        </w:trPr>
        <w:tc>
          <w:tcPr>
            <w:tcW w:type="dxa" w:w="1980"/>
            <w:tcMar>
              <w:top w:type="dxa" w:w="60"/>
              <w:left w:type="dxa" w:w="100"/>
              <w:bottom w:type="dxa" w:w="60"/>
              <w:right w:type="dxa" w:w="100"/>
            </w:tcMar>
          </w:tcPr>
          <w:p>
            <w:r>
              <w:rPr>
                <w:b w:val="false"/>
                <w:bCs w:val="false"/>
                <w:color w:val="1E1E1E"/>
                <w:sz w:val="20"/>
                <w:szCs w:val="20"/>
              </w:rPr>
              <w:t xml:space="preserve">None</w:t>
            </w:r>
          </w:p>
        </w:tc>
        <w:tc>
          <w:tcPr>
            <w:tcW w:type="dxa" w:w="1170"/>
            <w:tcMar>
              <w:top w:type="dxa" w:w="60"/>
              <w:left w:type="dxa" w:w="100"/>
              <w:bottom w:type="dxa" w:w="60"/>
              <w:right w:type="dxa" w:w="100"/>
            </w:tcMar>
          </w:tcPr>
          <w:p>
            <w:r>
              <w:rPr>
                <w:b w:val="false"/>
                <w:bCs w:val="false"/>
                <w:color w:val="1E1E1E"/>
                <w:sz w:val="20"/>
                <w:szCs w:val="20"/>
              </w:rPr>
              <w:t xml:space="preserve">2.0463</w:t>
            </w:r>
          </w:p>
        </w:tc>
        <w:tc>
          <w:tcPr>
            <w:tcW w:type="dxa" w:w="1170"/>
            <w:tcMar>
              <w:top w:type="dxa" w:w="60"/>
              <w:left w:type="dxa" w:w="100"/>
              <w:bottom w:type="dxa" w:w="60"/>
              <w:right w:type="dxa" w:w="100"/>
            </w:tcMar>
          </w:tcPr>
          <w:p>
            <w:r>
              <w:rPr>
                <w:b w:val="false"/>
                <w:bCs w:val="false"/>
                <w:color w:val="1E1E1E"/>
                <w:sz w:val="20"/>
                <w:szCs w:val="20"/>
              </w:rPr>
              <w:t xml:space="preserve">0.8969</w:t>
            </w:r>
          </w:p>
        </w:tc>
        <w:tc>
          <w:tcPr>
            <w:tcW w:type="dxa" w:w="1260"/>
            <w:tcMar>
              <w:top w:type="dxa" w:w="60"/>
              <w:left w:type="dxa" w:w="100"/>
              <w:bottom w:type="dxa" w:w="60"/>
              <w:right w:type="dxa" w:w="100"/>
            </w:tcMar>
          </w:tcPr>
          <w:p>
            <w:r>
              <w:rPr>
                <w:b w:val="false"/>
                <w:bCs w:val="false"/>
                <w:color w:val="1E1E1E"/>
                <w:sz w:val="20"/>
                <w:szCs w:val="20"/>
              </w:rPr>
              <w:t xml:space="preserve">4.5276</w:t>
            </w:r>
          </w:p>
        </w:tc>
        <w:tc>
          <w:tcPr>
            <w:tcW w:type="dxa" w:w="1440"/>
            <w:tcMar>
              <w:top w:type="dxa" w:w="60"/>
              <w:left w:type="dxa" w:w="100"/>
              <w:bottom w:type="dxa" w:w="60"/>
              <w:right w:type="dxa" w:w="100"/>
            </w:tcMar>
          </w:tcPr>
          <w:p>
            <w:r>
              <w:rPr>
                <w:b w:val="false"/>
                <w:bCs w:val="false"/>
                <w:color w:val="1E1E1E"/>
                <w:sz w:val="20"/>
                <w:szCs w:val="20"/>
              </w:rPr>
              <w:t xml:space="preserve">19.18</w:t>
            </w:r>
          </w:p>
        </w:tc>
        <w:tc>
          <w:tcPr>
            <w:tcW w:type="dxa" w:w="1260"/>
            <w:tcMar>
              <w:top w:type="dxa" w:w="60"/>
              <w:left w:type="dxa" w:w="100"/>
              <w:bottom w:type="dxa" w:w="60"/>
              <w:right w:type="dxa" w:w="100"/>
            </w:tcMar>
          </w:tcPr>
          <w:p>
            <w:r>
              <w:rPr>
                <w:b w:val="false"/>
                <w:bCs w:val="false"/>
                <w:color w:val="1E1E1E"/>
                <w:sz w:val="20"/>
                <w:szCs w:val="20"/>
              </w:rPr>
              <w:t xml:space="preserve">0.1118</w:t>
            </w:r>
          </w:p>
        </w:tc>
        <w:tc>
          <w:tcPr>
            <w:tcW w:type="dxa" w:w="1080"/>
            <w:tcMar>
              <w:top w:type="dxa" w:w="60"/>
              <w:left w:type="dxa" w:w="100"/>
              <w:bottom w:type="dxa" w:w="60"/>
              <w:right w:type="dxa" w:w="100"/>
            </w:tcMar>
          </w:tcPr>
          <w:p>
            <w:r>
              <w:rPr>
                <w:b w:val="false"/>
                <w:bCs w:val="false"/>
                <w:color w:val="1E1E1E"/>
                <w:sz w:val="20"/>
                <w:szCs w:val="20"/>
              </w:rPr>
              <w:t xml:space="preserve">-</w:t>
            </w:r>
          </w:p>
        </w:tc>
      </w:tr>
      <w:tr>
        <w:trPr>
          <w:tblHeader w:val="false"/>
        </w:trPr>
        <w:tc>
          <w:tcPr>
            <w:tcW w:type="dxa" w:w="1980"/>
            <w:tcMar>
              <w:top w:type="dxa" w:w="60"/>
              <w:left w:type="dxa" w:w="100"/>
              <w:bottom w:type="dxa" w:w="60"/>
              <w:right w:type="dxa" w:w="100"/>
            </w:tcMar>
          </w:tcPr>
          <w:p>
            <w:r>
              <w:rPr>
                <w:b w:val="false"/>
                <w:bCs w:val="false"/>
                <w:color w:val="1E1E1E"/>
                <w:sz w:val="20"/>
                <w:szCs w:val="20"/>
              </w:rPr>
              <w:t xml:space="preserve">Median 3x3</w:t>
            </w:r>
          </w:p>
        </w:tc>
        <w:tc>
          <w:tcPr>
            <w:tcW w:type="dxa" w:w="1170"/>
            <w:tcMar>
              <w:top w:type="dxa" w:w="60"/>
              <w:left w:type="dxa" w:w="100"/>
              <w:bottom w:type="dxa" w:w="60"/>
              <w:right w:type="dxa" w:w="100"/>
            </w:tcMar>
          </w:tcPr>
          <w:p>
            <w:r>
              <w:rPr>
                <w:b w:val="false"/>
                <w:bCs w:val="false"/>
                <w:color w:val="1E1E1E"/>
                <w:sz w:val="20"/>
                <w:szCs w:val="20"/>
              </w:rPr>
              <w:t xml:space="preserve">2.2169</w:t>
            </w:r>
          </w:p>
        </w:tc>
        <w:tc>
          <w:tcPr>
            <w:tcW w:type="dxa" w:w="1170"/>
            <w:tcMar>
              <w:top w:type="dxa" w:w="60"/>
              <w:left w:type="dxa" w:w="100"/>
              <w:bottom w:type="dxa" w:w="60"/>
              <w:right w:type="dxa" w:w="100"/>
            </w:tcMar>
          </w:tcPr>
          <w:p>
            <w:r>
              <w:rPr>
                <w:b w:val="false"/>
                <w:bCs w:val="false"/>
                <w:color w:val="1E1E1E"/>
                <w:sz w:val="20"/>
                <w:szCs w:val="20"/>
              </w:rPr>
              <w:t xml:space="preserve">0.9234</w:t>
            </w:r>
          </w:p>
        </w:tc>
        <w:tc>
          <w:tcPr>
            <w:tcW w:type="dxa" w:w="1260"/>
            <w:tcMar>
              <w:top w:type="dxa" w:w="60"/>
              <w:left w:type="dxa" w:w="100"/>
              <w:bottom w:type="dxa" w:w="60"/>
              <w:right w:type="dxa" w:w="100"/>
            </w:tcMar>
          </w:tcPr>
          <w:p>
            <w:r>
              <w:rPr>
                <w:b w:val="false"/>
                <w:bCs w:val="false"/>
                <w:color w:val="1E1E1E"/>
                <w:sz w:val="20"/>
                <w:szCs w:val="20"/>
              </w:rPr>
              <w:t xml:space="preserve">4.8795</w:t>
            </w:r>
          </w:p>
        </w:tc>
        <w:tc>
          <w:tcPr>
            <w:tcW w:type="dxa" w:w="1440"/>
            <w:tcMar>
              <w:top w:type="dxa" w:w="60"/>
              <w:left w:type="dxa" w:w="100"/>
              <w:bottom w:type="dxa" w:w="60"/>
              <w:right w:type="dxa" w:w="100"/>
            </w:tcMar>
          </w:tcPr>
          <w:p>
            <w:r>
              <w:rPr>
                <w:b w:val="false"/>
                <w:bCs w:val="false"/>
                <w:color w:val="1E1E1E"/>
                <w:sz w:val="20"/>
                <w:szCs w:val="20"/>
              </w:rPr>
              <w:t xml:space="preserve">24.60</w:t>
            </w:r>
          </w:p>
        </w:tc>
        <w:tc>
          <w:tcPr>
            <w:tcW w:type="dxa" w:w="1260"/>
            <w:tcMar>
              <w:top w:type="dxa" w:w="60"/>
              <w:left w:type="dxa" w:w="100"/>
              <w:bottom w:type="dxa" w:w="60"/>
              <w:right w:type="dxa" w:w="100"/>
            </w:tcMar>
          </w:tcPr>
          <w:p>
            <w:r>
              <w:rPr>
                <w:b w:val="false"/>
                <w:bCs w:val="false"/>
                <w:color w:val="1E1E1E"/>
                <w:sz w:val="20"/>
                <w:szCs w:val="20"/>
              </w:rPr>
              <w:t xml:space="preserve">0.3190</w:t>
            </w:r>
          </w:p>
        </w:tc>
        <w:tc>
          <w:tcPr>
            <w:tcW w:type="dxa" w:w="1080"/>
            <w:tcMar>
              <w:top w:type="dxa" w:w="60"/>
              <w:left w:type="dxa" w:w="100"/>
              <w:bottom w:type="dxa" w:w="60"/>
              <w:right w:type="dxa" w:w="100"/>
            </w:tcMar>
          </w:tcPr>
          <w:p>
            <w:r>
              <w:rPr>
                <w:b w:val="false"/>
                <w:bCs w:val="false"/>
                <w:color w:val="1E1E1E"/>
                <w:sz w:val="20"/>
                <w:szCs w:val="20"/>
              </w:rPr>
              <w:t xml:space="preserve">2.71</w:t>
            </w:r>
          </w:p>
        </w:tc>
      </w:tr>
      <w:tr>
        <w:trPr>
          <w:tblHeader w:val="false"/>
        </w:trPr>
        <w:tc>
          <w:tcPr>
            <w:tcW w:type="dxa" w:w="1980"/>
            <w:tcMar>
              <w:top w:type="dxa" w:w="60"/>
              <w:left w:type="dxa" w:w="100"/>
              <w:bottom w:type="dxa" w:w="60"/>
              <w:right w:type="dxa" w:w="100"/>
            </w:tcMar>
          </w:tcPr>
          <w:p>
            <w:r>
              <w:rPr>
                <w:b w:val="false"/>
                <w:bCs w:val="false"/>
                <w:color w:val="1E1E1E"/>
                <w:sz w:val="20"/>
                <w:szCs w:val="20"/>
              </w:rPr>
              <w:t xml:space="preserve">Wiener 5x5</w:t>
            </w:r>
          </w:p>
        </w:tc>
        <w:tc>
          <w:tcPr>
            <w:tcW w:type="dxa" w:w="1170"/>
            <w:tcMar>
              <w:top w:type="dxa" w:w="60"/>
              <w:left w:type="dxa" w:w="100"/>
              <w:bottom w:type="dxa" w:w="60"/>
              <w:right w:type="dxa" w:w="100"/>
            </w:tcMar>
          </w:tcPr>
          <w:p>
            <w:r>
              <w:rPr>
                <w:b w:val="false"/>
                <w:bCs w:val="false"/>
                <w:color w:val="1E1E1E"/>
                <w:sz w:val="20"/>
                <w:szCs w:val="20"/>
              </w:rPr>
              <w:t xml:space="preserve">2.3059</w:t>
            </w:r>
          </w:p>
        </w:tc>
        <w:tc>
          <w:tcPr>
            <w:tcW w:type="dxa" w:w="1170"/>
            <w:tcMar>
              <w:top w:type="dxa" w:w="60"/>
              <w:left w:type="dxa" w:w="100"/>
              <w:bottom w:type="dxa" w:w="60"/>
              <w:right w:type="dxa" w:w="100"/>
            </w:tcMar>
          </w:tcPr>
          <w:p>
            <w:r>
              <w:rPr>
                <w:b w:val="false"/>
                <w:bCs w:val="false"/>
                <w:color w:val="1E1E1E"/>
                <w:sz w:val="20"/>
                <w:szCs w:val="20"/>
              </w:rPr>
              <w:t xml:space="preserve">0.9334</w:t>
            </w:r>
          </w:p>
        </w:tc>
        <w:tc>
          <w:tcPr>
            <w:tcW w:type="dxa" w:w="1260"/>
            <w:tcMar>
              <w:top w:type="dxa" w:w="60"/>
              <w:left w:type="dxa" w:w="100"/>
              <w:bottom w:type="dxa" w:w="60"/>
              <w:right w:type="dxa" w:w="100"/>
            </w:tcMar>
          </w:tcPr>
          <w:p>
            <w:r>
              <w:rPr>
                <w:b w:val="false"/>
                <w:bCs w:val="false"/>
                <w:color w:val="1E1E1E"/>
                <w:sz w:val="20"/>
                <w:szCs w:val="20"/>
              </w:rPr>
              <w:t xml:space="preserve">5.0515</w:t>
            </w:r>
          </w:p>
        </w:tc>
        <w:tc>
          <w:tcPr>
            <w:tcW w:type="dxa" w:w="1440"/>
            <w:tcMar>
              <w:top w:type="dxa" w:w="60"/>
              <w:left w:type="dxa" w:w="100"/>
              <w:bottom w:type="dxa" w:w="60"/>
              <w:right w:type="dxa" w:w="100"/>
            </w:tcMar>
          </w:tcPr>
          <w:p>
            <w:r>
              <w:rPr>
                <w:b w:val="false"/>
                <w:bCs w:val="false"/>
                <w:color w:val="1E1E1E"/>
                <w:sz w:val="20"/>
                <w:szCs w:val="20"/>
              </w:rPr>
              <w:t xml:space="preserve">29.97</w:t>
            </w:r>
          </w:p>
        </w:tc>
        <w:tc>
          <w:tcPr>
            <w:tcW w:type="dxa" w:w="1260"/>
            <w:tcMar>
              <w:top w:type="dxa" w:w="60"/>
              <w:left w:type="dxa" w:w="100"/>
              <w:bottom w:type="dxa" w:w="60"/>
              <w:right w:type="dxa" w:w="100"/>
            </w:tcMar>
          </w:tcPr>
          <w:p>
            <w:r>
              <w:rPr>
                <w:b w:val="false"/>
                <w:bCs w:val="false"/>
                <w:color w:val="1E1E1E"/>
                <w:sz w:val="20"/>
                <w:szCs w:val="20"/>
              </w:rPr>
              <w:t xml:space="preserve">0.7120</w:t>
            </w:r>
          </w:p>
        </w:tc>
        <w:tc>
          <w:tcPr>
            <w:tcW w:type="dxa" w:w="1080"/>
            <w:tcMar>
              <w:top w:type="dxa" w:w="60"/>
              <w:left w:type="dxa" w:w="100"/>
              <w:bottom w:type="dxa" w:w="60"/>
              <w:right w:type="dxa" w:w="100"/>
            </w:tcMar>
          </w:tcPr>
          <w:p>
            <w:r>
              <w:rPr>
                <w:b w:val="false"/>
                <w:bCs w:val="false"/>
                <w:color w:val="1E1E1E"/>
                <w:sz w:val="20"/>
                <w:szCs w:val="20"/>
              </w:rPr>
              <w:t xml:space="preserve">2.14</w:t>
            </w:r>
          </w:p>
        </w:tc>
      </w:tr>
      <w:tr>
        <w:trPr>
          <w:tblHeader w:val="false"/>
        </w:trPr>
        <w:tc>
          <w:tcPr>
            <w:tcW w:type="dxa" w:w="1980"/>
            <w:tcMar>
              <w:top w:type="dxa" w:w="60"/>
              <w:left w:type="dxa" w:w="100"/>
              <w:bottom w:type="dxa" w:w="60"/>
              <w:right w:type="dxa" w:w="100"/>
            </w:tcMar>
          </w:tcPr>
          <w:p>
            <w:r>
              <w:rPr>
                <w:b w:val="false"/>
                <w:bCs w:val="false"/>
                <w:color w:val="1E1E1E"/>
                <w:sz w:val="20"/>
                <w:szCs w:val="20"/>
              </w:rPr>
              <w:t xml:space="preserve">Bilateral (selected)</w:t>
            </w:r>
          </w:p>
        </w:tc>
        <w:tc>
          <w:tcPr>
            <w:tcW w:type="dxa" w:w="1170"/>
            <w:tcMar>
              <w:top w:type="dxa" w:w="60"/>
              <w:left w:type="dxa" w:w="100"/>
              <w:bottom w:type="dxa" w:w="60"/>
              <w:right w:type="dxa" w:w="100"/>
            </w:tcMar>
          </w:tcPr>
          <w:p>
            <w:r>
              <w:rPr>
                <w:b w:val="false"/>
                <w:bCs w:val="false"/>
                <w:color w:val="1E1E1E"/>
                <w:sz w:val="20"/>
                <w:szCs w:val="20"/>
              </w:rPr>
              <w:t xml:space="preserve">2.5376</w:t>
            </w:r>
          </w:p>
        </w:tc>
        <w:tc>
          <w:tcPr>
            <w:tcW w:type="dxa" w:w="1170"/>
            <w:tcMar>
              <w:top w:type="dxa" w:w="60"/>
              <w:left w:type="dxa" w:w="100"/>
              <w:bottom w:type="dxa" w:w="60"/>
              <w:right w:type="dxa" w:w="100"/>
            </w:tcMar>
          </w:tcPr>
          <w:p>
            <w:r>
              <w:rPr>
                <w:b w:val="false"/>
                <w:bCs w:val="false"/>
                <w:color w:val="1E1E1E"/>
                <w:sz w:val="20"/>
                <w:szCs w:val="20"/>
              </w:rPr>
              <w:t xml:space="preserve">0.9579</w:t>
            </w:r>
          </w:p>
        </w:tc>
        <w:tc>
          <w:tcPr>
            <w:tcW w:type="dxa" w:w="1260"/>
            <w:tcMar>
              <w:top w:type="dxa" w:w="60"/>
              <w:left w:type="dxa" w:w="100"/>
              <w:bottom w:type="dxa" w:w="60"/>
              <w:right w:type="dxa" w:w="100"/>
            </w:tcMar>
          </w:tcPr>
          <w:p>
            <w:r>
              <w:rPr>
                <w:b w:val="false"/>
                <w:bCs w:val="false"/>
                <w:color w:val="1E1E1E"/>
                <w:sz w:val="20"/>
                <w:szCs w:val="20"/>
              </w:rPr>
              <w:t xml:space="preserve">5.4701</w:t>
            </w:r>
          </w:p>
        </w:tc>
        <w:tc>
          <w:tcPr>
            <w:tcW w:type="dxa" w:w="1440"/>
            <w:tcMar>
              <w:top w:type="dxa" w:w="60"/>
              <w:left w:type="dxa" w:w="100"/>
              <w:bottom w:type="dxa" w:w="60"/>
              <w:right w:type="dxa" w:w="100"/>
            </w:tcMar>
          </w:tcPr>
          <w:p>
            <w:r>
              <w:rPr>
                <w:b w:val="false"/>
                <w:bCs w:val="false"/>
                <w:color w:val="1E1E1E"/>
                <w:sz w:val="20"/>
                <w:szCs w:val="20"/>
              </w:rPr>
              <w:t xml:space="preserve">31.66</w:t>
            </w:r>
          </w:p>
        </w:tc>
        <w:tc>
          <w:tcPr>
            <w:tcW w:type="dxa" w:w="1260"/>
            <w:tcMar>
              <w:top w:type="dxa" w:w="60"/>
              <w:left w:type="dxa" w:w="100"/>
              <w:bottom w:type="dxa" w:w="60"/>
              <w:right w:type="dxa" w:w="100"/>
            </w:tcMar>
          </w:tcPr>
          <w:p>
            <w:r>
              <w:rPr>
                <w:b w:val="false"/>
                <w:bCs w:val="false"/>
                <w:color w:val="1E1E1E"/>
                <w:sz w:val="20"/>
                <w:szCs w:val="20"/>
              </w:rPr>
              <w:t xml:space="preserve">0.7470</w:t>
            </w:r>
          </w:p>
        </w:tc>
        <w:tc>
          <w:tcPr>
            <w:tcW w:type="dxa" w:w="1080"/>
            <w:tcMar>
              <w:top w:type="dxa" w:w="60"/>
              <w:left w:type="dxa" w:w="100"/>
              <w:bottom w:type="dxa" w:w="60"/>
              <w:right w:type="dxa" w:w="100"/>
            </w:tcMar>
          </w:tcPr>
          <w:p>
            <w:r>
              <w:rPr>
                <w:b w:val="false"/>
                <w:bCs w:val="false"/>
                <w:color w:val="1E1E1E"/>
                <w:sz w:val="20"/>
                <w:szCs w:val="20"/>
              </w:rPr>
              <w:t xml:space="preserve">1.14</w:t>
            </w:r>
          </w:p>
        </w:tc>
      </w:tr>
    </w:tbl>
    <w:p>
      <w:pPr>
        <w:spacing w:after="160"/>
      </w:pPr>
      <w:r>
        <w:rPr>
          <w:sz w:val="22"/>
          <w:szCs w:val="22"/>
        </w:rPr>
        <w:t xml:space="preserve"/>
      </w:r>
    </w:p>
    <w:p>
      <w:pPr>
        <w:spacing w:after="160"/>
      </w:pPr>
      <w:r>
        <w:rPr>
          <w:sz w:val="22"/>
          <w:szCs w:val="22"/>
        </w:rPr>
        <w:t xml:space="preserve">Bilateral is deployed in both Holoscan pipelines, in Section 9 of the MATLAB evaluation and in the Simulink model. Median keeps the most edge gradient, and at the highest phantom noise level (variance 0.10) Wiener scores above bilateral. Both results are reported in results/enhancement_eval.md.</w:t>
      </w:r>
    </w:p>
    <w:p>
      <w:pPr>
        <w:pStyle w:val="Heading1"/>
        <w:spacing w:after="160" w:before="320"/>
      </w:pPr>
      <w:r>
        <w:t xml:space="preserve">7. Simulink model</w:t>
      </w:r>
    </w:p>
    <w:p>
      <w:pPr>
        <w:spacing w:after="160"/>
      </w:pPr>
      <w:r>
        <w:rPr>
          <w:sz w:val="22"/>
          <w:szCs w:val="22"/>
        </w:rPr>
        <w:t xml:space="preserve">Simulink/UltrasoundEnhancementSubsystem.slx is a functional model. A From Workspace block feeds an OASBUD RF matrix through an EnvelopeDetection block (Hilbert envelope, 60 dB log compression, normalised to 0 to 1) and an Enhancement block (the bilateral filter, scaled to 0 to 255), into a To Workspace block. Run it with Simulink/run_enhancement_subsystem.m, which builds the input as [nSamples nElements nTime], calls sim, and checks that the output is finite, the expected size and not all zero. On the first bundled sample patient the output is 1824 x 510 with values from 9.55 to 244.25.</w:t>
      </w:r>
    </w:p>
    <w:p>
      <w:pPr>
        <w:pStyle w:val="Heading1"/>
        <w:spacing w:after="160" w:before="320"/>
      </w:pPr>
      <w:r>
        <w:t xml:space="preserve">8. Reproducing the results</w:t>
      </w:r>
    </w:p>
    <w:p>
      <w:pPr>
        <w:spacing w:after="160"/>
      </w:pPr>
      <w:r>
        <w:rPr>
          <w:sz w:val="22"/>
          <w:szCs w:val="22"/>
        </w:rPr>
        <w:t xml:space="preserve">The full command list, with environment variables and expected printed output, is in the Reproduce section of the README. In outline: export the OASBUD PNG training set, train and save the split, evaluate the classifier on the held-out partition, run the enhancement comparison, run the Holoscan benchmarks in WSL2, and run the Simulink driver. Accuracy and verification figures are deterministic for a given model and reproduced exactly on the owner's machine on 28 October 2026. Timings depend on the machine and are recorded in results/logs/rerun_2026-10-28/.</w:t>
      </w:r>
    </w:p>
    <w:p>
      <w:pPr>
        <w:pStyle w:val="Heading1"/>
        <w:spacing w:after="160" w:before="320"/>
      </w:pPr>
      <w:r>
        <w:t xml:space="preserve">9. Limitations and open items</w:t>
      </w:r>
    </w:p>
    <w:p>
      <w:pPr>
        <w:spacing w:after="160"/>
      </w:pPr>
      <w:r>
        <w:rPr>
          <w:sz w:val="22"/>
          <w:szCs w:val="22"/>
        </w:rPr>
        <w:t xml:space="preserve">No clinical validation has been done. The classifier result comes from one OASBUD hold-out set with a known domain gap, and benign recall on that set is low. Pipeline 2 has no labels. Frame rates and latencies vary between runs. The committed demo video was recorded before the review changes and is being re-recorded. The CNN was not retrained for this version; the committed weights and split are the ones evaluated. A retrain may differ slightly because of GPU nondeterminism.</w:t>
      </w:r>
    </w:p>
    <w:p>
      <w:pPr>
        <w:pStyle w:val="Heading1"/>
        <w:spacing w:after="160" w:before="320"/>
      </w:pPr>
      <w:r>
        <w:t xml:space="preserve">10. Re-run record, 28 October 2026</w:t>
      </w:r>
    </w:p>
    <w:p>
      <w:pPr>
        <w:spacing w:after="160"/>
      </w:pPr>
      <w:r>
        <w:rPr>
          <w:sz w:val="22"/>
          <w:szCs w:val="22"/>
        </w:rPr>
        <w:t xml:space="preserve">Every accuracy and verification figure in the README was reproduced on the owner's machine: classifier held-out accuracy and AUC values (from the saved split), OASBUD hold-out pipeline accuracy on both backends, CUDA verification, Pipeline 2 verification, the enhancement ranking, the FK multi-angle CNR improvement (63.4%), the Simulink output range, and the bundled-sample smoke test (50.0%, 5 of 10). Raw outputs are in results/logs/rerun_2026-10-28/.</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270"/>
        <w:sz w:val="18"/>
        <w:szCs w:val="18"/>
      </w:rPr>
      <w:t xml:space="preserve">Project 259, version 2.0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2A44"/>
      <w:sz w:val="30"/>
      <w:szCs w:val="30"/>
    </w:rPr>
  </w:style>
  <w:style w:type="paragraph" w:styleId="Heading2">
    <w:name w:val="Heading 2"/>
    <w:basedOn w:val="Normal"/>
    <w:next w:val="Normal"/>
    <w:qFormat/>
    <w:pPr>
      <w:spacing w:after="120" w:before="240"/>
      <w:outlineLvl w:val="1"/>
    </w:pPr>
    <w:rPr>
      <w:rFonts w:ascii="Calibri" w:cs="Calibri" w:eastAsia="Calibri" w:hAnsi="Calibri"/>
      <w:b/>
      <w:bCs/>
      <w:color w:val="1C7C7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2026-10-28T15:00:43.904Z</dcterms:created>
  <dcterms:modified xsi:type="dcterms:W3CDTF">2026-10-28T15:00:43.911Z</dcterms:modified>
</cp:coreProperties>
</file>

<file path=docProps/custom.xml><?xml version="1.0" encoding="utf-8"?>
<Properties xmlns="http://schemas.openxmlformats.org/officeDocument/2006/custom-properties" xmlns:vt="http://schemas.openxmlformats.org/officeDocument/2006/docPropsVTypes"/>
</file>