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AI-Powered Legal Assistance Platform Using a Domain-Specific Small Language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Multi-Domain Citizen Legal Guidance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Name: </w:t>
      </w:r>
      <w:r w:rsidDel="00000000" w:rsidR="00000000" w:rsidRPr="00000000">
        <w:rPr>
          <w:sz w:val="28"/>
          <w:szCs w:val="28"/>
          <w:rtl w:val="0"/>
        </w:rPr>
        <w:t xml:space="preserve">MR DEFENDERS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Members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ROHITH M</w:t>
        <w:br w:type="textWrapping"/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SARAN V</w:t>
        <w:br w:type="textWrapping"/>
        <w:t xml:space="preserve">                               PUZHAL MAN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 S</w:t>
        <w:br w:type="textWrapping"/>
        <w:tab/>
        <w:tab/>
        <w:t xml:space="preserve">      SANJAY RATHINAM MARIMUTHU NITHYA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Introduction</w:t>
      </w:r>
    </w:p>
    <w:p w:rsidR="00000000" w:rsidDel="00000000" w:rsidP="00000000" w:rsidRDefault="00000000" w:rsidRPr="00000000" w14:paraId="00000019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Purpose</w:t>
      </w:r>
    </w:p>
    <w:p w:rsidR="00000000" w:rsidDel="00000000" w:rsidP="00000000" w:rsidRDefault="00000000" w:rsidRPr="00000000" w14:paraId="0000001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document specifies the functional and non-functional requirements for a citizen-facing legal assistance platform. The platform is built around a domain-specific Small Language Model (SLM) that runs entirely on local infrastructure, using retrieval-augmented generation (RAG) over a curated legal corpus and a fine-tuned local model.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ackathon problem statement "AI Development — Legal Assistance using Domain-Specific SLMs."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Document Scope</w:t>
      </w:r>
    </w:p>
    <w:p w:rsidR="00000000" w:rsidDel="00000000" w:rsidP="00000000" w:rsidRDefault="00000000" w:rsidRPr="00000000" w14:paraId="0000001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SRS covers a system that answers citizen legal questions and provides step-by-step procedural guidance across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domains: consumer </w:t>
      </w:r>
      <w:r w:rsidDel="00000000" w:rsidR="00000000" w:rsidRPr="00000000">
        <w:rPr>
          <w:rtl w:val="0"/>
        </w:rPr>
        <w:t xml:space="preserve">complaints filing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basic criminal procedure (FIR process and bail basics), family law basics (marriage registration and dowry law)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1.3 Intended Audience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Hackathon evaluators and judges assessing technical scope and feasibility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Development team members responsible for data, modeling, and UI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Future maintainers extending the system beyond the hackathon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 Definitions, Acronyms, and Abbreviations</w:t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800"/>
        <w:tblGridChange w:id="0">
          <w:tblGrid>
            <w:gridCol w:w="2000"/>
            <w:gridCol w:w="78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 Language Model — a compact, locally-runnable language model (typically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B–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 parameters).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Retrieval-Augmented Generation — grounding model output in retrieved source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LoRA / QLoRA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Low-Rank Adaptation — an efficient fine-tuning technique requiring a fraction of full model VRAM.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First Information Report — the document recording information about a cognizable criminal offence.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Functional Requirement / Non-Functional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 database indexing text by semantic embedding for similarity 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1.5 References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Consumer Protection Act, 2019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Right to Information Act, 2005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Bharatiya Nagarik Suraksha Sanhita, 2023 (and predecessor Code of Criminal Procedure, 1973, for reference material)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Dowry Prohibition Act, 1961; relevant provisions of the Bharatiya Nyaya Sanhita, 2023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Hindu Marriage Act, 1955 / Special Marriage Act, 1954 (marriage registration provisions)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State-level Rent Control Acts (jurisdiction-dependent)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 Code portal (indiacode.nic.in) as primary source of statutory text</w:t>
      </w:r>
    </w:p>
    <w:p w:rsidR="00000000" w:rsidDel="00000000" w:rsidP="00000000" w:rsidRDefault="00000000" w:rsidRPr="00000000" w14:paraId="00000037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Overall Description</w:t>
      </w:r>
    </w:p>
    <w:p w:rsidR="00000000" w:rsidDel="00000000" w:rsidP="00000000" w:rsidRDefault="00000000" w:rsidRPr="00000000" w14:paraId="00000038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Product Perspective</w:t>
      </w:r>
    </w:p>
    <w:p w:rsidR="00000000" w:rsidDel="00000000" w:rsidP="00000000" w:rsidRDefault="00000000" w:rsidRPr="00000000" w14:paraId="0000003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is a standalone, self-contained application. It consists of a local inference server hosting a fine-tuned, quantized SLM; a local vector store built from a curated multi-domain legal corpus; and a web-based chat interface. It is designed to run fully offline after initial setup, making it suitable for demonstration in low-connectivity environments and aligned with a rural/citizen-access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Product Functions (Summary)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Accept a citizen's legal question in natural language (text, optionally voice)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Classify the question into one of</w:t>
      </w:r>
      <w:r w:rsidDel="00000000" w:rsidR="00000000" w:rsidRPr="00000000">
        <w:rPr>
          <w:rtl w:val="0"/>
        </w:rPr>
        <w:t xml:space="preserve"> three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supported legal domains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Retrieve the most relevant legal provisions from a local, curated corpus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Generate a grounded, cited answer using a fine-tuned local SLM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Provide step-by-step procedural guidance (documents, authority, timeline, fees)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Flag low-confidence answers and escalate to "consult a professional"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User Classes and Characteristics</w:t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00"/>
        <w:tblGridChange w:id="0">
          <w:tblGrid>
            <w:gridCol w:w="2600"/>
            <w:gridCol w:w="72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General citizen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Little to no legal background; needs plain-language answers and clear next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NGO / legal-aid worker (secondary)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Uses the system to triage citizen queries quickly and point them to the right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/ maintainer (tertiary)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Extends the corpus, retrains adapters, or adds new domains after the hackathon.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Operating Environment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Local machine with a CUDA-capable GPU (6GB VRAM class, e.g. RTX 4050, sufficient for a quantized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 model)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Windows 11 or Linux host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Modern web browser for the chat interface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 internet connectivity required at runtime after initial model and corpus setup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 calls to third-party hosted LLM APIs (OpenAI, Anthropic, Google, etc.) — all inference is local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Model and vector store must fit within available GPU memory on demo hardware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Corpus limited to publicly available statutory text and case summaries within the hackathon timeline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System must not present itself as a substitute for a licensed legal professional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Assumptions and Dependencies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open-weight SLM (e.g. Phi-3.5-mini, Llama-3.2-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B, Gemma-2-2B) is available under a license permitting fine-tuning and local redistribution for the demo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sufficient set of instruction-tuning examples (target: 200–500 pairs) can be curated or synthesized and verified within the timeline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Demo hardware provides a CUDA GPU with at least 6GB VRAM</w:t>
      </w:r>
    </w:p>
    <w:p w:rsidR="00000000" w:rsidDel="00000000" w:rsidP="00000000" w:rsidRDefault="00000000" w:rsidRPr="00000000" w14:paraId="0000005B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System Features (Functional Requirements)</w:t>
      </w:r>
    </w:p>
    <w:p w:rsidR="00000000" w:rsidDel="00000000" w:rsidP="00000000" w:rsidRDefault="00000000" w:rsidRPr="00000000" w14:paraId="0000005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Requirements are grouped by legal domain and by cross-cutting pipeline capability. Each requirement carries a unique ID and a priority (High / Medium / Low) reflecting hackathon MVP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Query Intake &amp; Classification</w:t>
      </w:r>
    </w:p>
    <w:tbl>
      <w:tblPr>
        <w:tblStyle w:val="Table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accept a natural-language legal query via a text input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optionally accept spoken queries and convert them to text using a local speech-to-text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classify each query into one of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three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supported legal domains, or flag it as out of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route a classified query to the corresponding domain-specific retrieval index.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Consumer Complaints</w:t>
      </w:r>
    </w:p>
    <w:tbl>
      <w:tblPr>
        <w:tblStyle w:val="Table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answer questions on consumer rights under the Consumer Protection Act, 2019, including defective goods, deficient services, and e-commerce complaints.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provide step-by-step guidance for filing a complaint with a District Consumer Forum or the National Consumer Helpline.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cite the specific Act and section supporting each substantive claim in a consumer-complaint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Criminal Procedure Basics (FIR, Bail)</w:t>
      </w:r>
    </w:p>
    <w:tbl>
      <w:tblPr>
        <w:tblStyle w:val="Table5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explain the FIR filing process, including the Zero FIR provision and remedies if police refuse to register a complaint.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explain general concepts of bailable vs. non-bailable offences and anticipatory bail, as background information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display a mandatory disclaimer directing the user to a criminal lawyer for any case-specific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Family Law Basics</w:t>
      </w:r>
    </w:p>
    <w:tbl>
      <w:tblPr>
        <w:tblStyle w:val="Table6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explain the marriage registration process and required documents under the applicable marriage law.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explain protections under the Dowry Prohibition Act, 1961 and related penal provisions, and where to report violations.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For queries indicating domestic violence or immediate personal risk, the system shall prioritize directing the user to a women's helpline or legal aid service over generated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3.5 Retrieval-Augmented Answer Generation</w:t>
      </w:r>
    </w:p>
    <w:tbl>
      <w:tblPr>
        <w:tblStyle w:val="Table7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retrieve the top-k most relevant passages from the domain-specific vector store for every 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generate the final answer using the fine-tuned local SLM, conditioned on the retrieved passages.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not present any Act, section number, or case citation that is not present in the retrieved corpus.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3.6 Step-by-Step Procedural Guidance</w:t>
      </w:r>
    </w:p>
    <w:tbl>
      <w:tblPr>
        <w:tblStyle w:val="Table8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present multi-step guidance as a numbered checklist covering required documents, the responsible office or authority, applicable timeline, and fees.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allow the user to ask a follow-up question about any individual step without losing the original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3.7 Citations &amp; Confidence</w:t>
      </w:r>
    </w:p>
    <w:tbl>
      <w:tblPr>
        <w:tblStyle w:val="Table9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display the source Act and Section for every substantive claim in its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display a confidence indicator with each answer; below a defined threshold, it shall recommend professional consultation instead of a direct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3.8 Disclaimer &amp; Escalation</w:t>
      </w:r>
    </w:p>
    <w:tbl>
      <w:tblPr>
        <w:tblStyle w:val="Table10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200"/>
        <w:gridCol w:w="1500"/>
        <w:tblGridChange w:id="0">
          <w:tblGrid>
            <w:gridCol w:w="1100"/>
            <w:gridCol w:w="7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display a persistent disclaimer stating that it does not replace professional legal advice.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detect high-stakes queries (e.g. active court case, arrest in progress) and prioritize escalation guidance over generated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Non-Functional Requirements</w:t>
      </w:r>
    </w:p>
    <w:tbl>
      <w:tblPr>
        <w:tblStyle w:val="Table1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800"/>
        <w:tblGridChange w:id="0">
          <w:tblGrid>
            <w:gridCol w:w="1200"/>
            <w:gridCol w:w="18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End-to-end response latency shall not exceed 10 seconds on the target demo hardware (6GB-class GPU).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query content shall be transmitted to any external server or third-party API at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User queries shall not be persisted beyond the active session unless the user explicitly opts in to logging.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degrade gracefully to an 'unable to answer confidently' message rather than fabricate an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Procedural guidance shall be written at an accessible reading level suitable for a non-legal audience.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run on both Windows and Linux with a documented local setup procedure.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ingestion, embedding, retrieval, and generation stages shall be modular so new legal domains can be added without redesigning the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architecture shall support adding new Acts or domains by extending the corpus and retraining/re-indexing, without code-level changes to the core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Offline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system shall be fully functional without an internet connection after initial setup and model download.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Data Requirements</w:t>
      </w:r>
    </w:p>
    <w:p w:rsidR="00000000" w:rsidDel="00000000" w:rsidP="00000000" w:rsidRDefault="00000000" w:rsidRPr="00000000" w14:paraId="000000EC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Legal Corpus Schema</w:t>
      </w:r>
    </w:p>
    <w:p w:rsidR="00000000" w:rsidDel="00000000" w:rsidP="00000000" w:rsidRDefault="00000000" w:rsidRPr="00000000" w14:paraId="000000E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Each entry in the source corpus shall carry the following fields: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00"/>
        <w:tblGridChange w:id="0">
          <w:tblGrid>
            <w:gridCol w:w="2200"/>
            <w:gridCol w:w="76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One of: consumer, criminal, 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Full name of the statute (e.g. "Consumer Protection Act, 2019")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Section or clause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section_text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Verbatim statutory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Central or state-specific, with state name if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Reference link (e.g. India Code entry) for traceability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Fine-Tuning Dataset Schema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instruction — the user-style legal question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context — retrieved passage(s) used to ground the answer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response — the target answer, written in the desired tone and structure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cited_sections — list of Act/Section references the response must include</w:t>
      </w:r>
    </w:p>
    <w:p w:rsidR="00000000" w:rsidDel="00000000" w:rsidP="00000000" w:rsidRDefault="00000000" w:rsidRPr="00000000" w14:paraId="0000010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Vector Store Schema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embedding_id — unique identifier for the chunk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chunk_text — the chunked passage used for retrieval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metadata — domain, act_name, section_number for filtering and citation</w:t>
      </w:r>
    </w:p>
    <w:p w:rsidR="00000000" w:rsidDel="00000000" w:rsidP="00000000" w:rsidRDefault="00000000" w:rsidRPr="00000000" w14:paraId="00000105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System Architecture Overview</w:t>
      </w:r>
    </w:p>
    <w:p w:rsidR="00000000" w:rsidDel="00000000" w:rsidP="00000000" w:rsidRDefault="00000000" w:rsidRPr="00000000" w14:paraId="0000010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follows a linear pipeline: the legal corpus is preprocessed and chunked along section boundaries; chunks are embedded and indexed in a local vector store; at query time, the classified query is used to retrieve the top-k relevant passages; the fine-tuned local SLM generates an answer conditioned on those passages; the answer is returned with citations, a confidence indicator, and — where applicable — a step-by-step procedural checklist. No stage in this pipeline depends on an external network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64008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00800" cy="410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Phase-by-Phase Technical Workflow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itfeh14mgi4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Phase 1: Ingestion &amp; Vector Indexing (Preparation Phase)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Corpus Extraction &amp; Chunking: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 statutory legal documents (Consumer Protection Act, BNSS, Dowry Prohibition Act, etc.) are parsed into text chunks aligned with section boundaries.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Metadata Tagging: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Each chunk is tagged with its corresponding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consumer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criminal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act_name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section_number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Local Embedding Generation: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local embedding model vectorizes the chunks and persists them into a local vector store (e.g., ChromaDB) for offline similarity search.</w:t>
      </w:r>
    </w:p>
    <w:p w:rsidR="00000000" w:rsidDel="00000000" w:rsidP="00000000" w:rsidRDefault="00000000" w:rsidRPr="00000000" w14:paraId="00000111">
      <w:pPr>
        <w:pStyle w:val="Heading3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2o36lixhlcvd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Phase 2: Model Fine-Tuning (Setup Phase)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Dataset Curation: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dataset of 200–500 instruction-context-response pairs grounded in statutory text is prepared.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QLoRA Adaptation: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 open-weights small language model (4B–7B parameters, e.g., Llama-3.2 / Phi-3.5) is fine-tuned locally using QLoRA to output structured, cited legal responses without exceeding GPU memory constraints.</w:t>
      </w:r>
    </w:p>
    <w:p w:rsidR="00000000" w:rsidDel="00000000" w:rsidP="00000000" w:rsidRDefault="00000000" w:rsidRPr="00000000" w14:paraId="00000114">
      <w:pPr>
        <w:pStyle w:val="Heading3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q0epdm9tgwxw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Phase 3: Real-Time Query Processing &amp; Routing (Runtime Phase)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Input Handling: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 chat interface receives the user query via text or optional local speech-to-text conversion.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Safety &amp; Crisis Check: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High-risk queries (e.g., active domestic violence or active arrest) trigger immediate escalation to helpline contacts, bypassing generation.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Domain Classification: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General queries are classified into one of the 3 legal domains and routed to the corresponding metadata filter in the vector store.</w:t>
      </w:r>
    </w:p>
    <w:p w:rsidR="00000000" w:rsidDel="00000000" w:rsidP="00000000" w:rsidRDefault="00000000" w:rsidRPr="00000000" w14:paraId="00000118">
      <w:pPr>
        <w:pStyle w:val="Heading3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ktjz3eg91ez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Phase 4: Retrieval-Augmented Generation &amp; Post-Processing (Output Phase)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Context Retrieval: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 top-k relevant legal chunks are retrieved from the local vector database using semantic similarity matching.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SLM Generation: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 fine-tuned local SLM generates a response strictly conditioned on the retrieved context, adhering to strict anti-hallucination guardrails.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Formatted Response Delivery: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 final output is rendered with a plain-language summary, a step-by-step procedural checklist, source citations (Act and Section), a confidence score, and a mandatory legal disclaimer.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SRS — AI Legal Assistance Platform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95959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