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B2545"/>
          <w:sz w:val="50"/>
        </w:rPr>
        <w:t>NYAYA SAHAYAK</w:t>
      </w:r>
    </w:p>
    <w:p>
      <w:r>
        <w:rPr>
          <w:color w:val="506174"/>
          <w:sz w:val="28"/>
        </w:rPr>
        <w:t>Architecture &amp; AI Design | Day 1, Phase 2</w:t>
      </w:r>
    </w:p>
    <w:p>
      <w:r>
        <w:t>A local, offline-first legal guidance MVP for consumer complaints, criminal procedure basics, and family-law basics.</w:t>
      </w:r>
    </w:p>
    <w:tbl>
      <w:tblPr>
        <w:tblStyle w:val="TableGrid"/>
        <w:tblW w:type="auto" w:w="0"/>
        <w:tblLayout w:type="fixed"/>
        <w:tblLook w:firstColumn="1" w:firstRow="1" w:lastColumn="0" w:lastRow="0" w:noHBand="0" w:noVBand="1" w:val="04A0"/>
      </w:tblPr>
      <w:tblGrid>
        <w:gridCol w:w="4680"/>
        <w:gridCol w:w="4680"/>
      </w:tblGrid>
      <w:tr>
        <w:tc>
          <w:tcPr>
            <w:tcW w:type="dxa" w:w="2700"/>
            <w:tcMar>
              <w:top w:w="80" w:type="dxa"/>
              <w:start w:w="120" w:type="dxa"/>
              <w:bottom w:w="80" w:type="dxa"/>
              <w:end w:w="120" w:type="dxa"/>
            </w:tcMar>
            <w:vAlign w:val="center"/>
            <w:shd w:fill="E8EEF5"/>
          </w:tcPr>
          <w:p>
            <w:r>
              <w:rPr>
                <w:b/>
                <w:color w:val="0B2545"/>
              </w:rPr>
              <w:t>Decision</w:t>
            </w:r>
          </w:p>
        </w:tc>
        <w:tc>
          <w:tcPr>
            <w:tcW w:type="dxa" w:w="6660"/>
            <w:tcMar>
              <w:top w:w="80" w:type="dxa"/>
              <w:start w:w="120" w:type="dxa"/>
              <w:bottom w:w="80" w:type="dxa"/>
              <w:end w:w="120" w:type="dxa"/>
            </w:tcMar>
            <w:vAlign w:val="center"/>
            <w:shd w:fill="E8EEF5"/>
          </w:tcPr>
          <w:p>
            <w:r>
              <w:rPr>
                <w:b/>
                <w:color w:val="0B2545"/>
              </w:rPr>
              <w:t>Selected approach</w:t>
            </w:r>
          </w:p>
        </w:tc>
      </w:tr>
      <w:tr>
        <w:tc>
          <w:tcPr>
            <w:tcW w:type="dxa" w:w="4680"/>
          </w:tcPr>
          <w:p>
            <w:r>
              <w:t>Runtime</w:t>
            </w:r>
          </w:p>
        </w:tc>
        <w:tc>
          <w:tcPr>
            <w:tcW w:type="dxa" w:w="4680"/>
          </w:tcPr>
          <w:p>
            <w:r>
              <w:t>React + FastAPI on localhost; no hosted LLM/API calls</w:t>
            </w:r>
          </w:p>
        </w:tc>
      </w:tr>
      <w:tr>
        <w:tc>
          <w:tcPr>
            <w:tcW w:type="dxa" w:w="4680"/>
          </w:tcPr>
          <w:p>
            <w:r>
              <w:t>Generation</w:t>
            </w:r>
          </w:p>
        </w:tc>
        <w:tc>
          <w:tcPr>
            <w:tcW w:type="dxa" w:w="4680"/>
          </w:tcPr>
          <w:p>
            <w:r>
              <w:t>Qwen3-4B-Instruct-2507; Q4 GGUF at runtime; optional QLoRA adapter</w:t>
            </w:r>
          </w:p>
        </w:tc>
      </w:tr>
      <w:tr>
        <w:tc>
          <w:tcPr>
            <w:tcW w:type="dxa" w:w="4680"/>
          </w:tcPr>
          <w:p>
            <w:r>
              <w:t>Retrieval</w:t>
            </w:r>
          </w:p>
        </w:tc>
        <w:tc>
          <w:tcPr>
            <w:tcW w:type="dxa" w:w="4680"/>
          </w:tcPr>
          <w:p>
            <w:r>
              <w:t>ChromaDB with sentence-transformers/all-MiniLM-L6-v2 embeddings</w:t>
            </w:r>
          </w:p>
        </w:tc>
      </w:tr>
      <w:tr>
        <w:tc>
          <w:tcPr>
            <w:tcW w:type="dxa" w:w="4680"/>
          </w:tcPr>
          <w:p>
            <w:r>
              <w:t>Privacy</w:t>
            </w:r>
          </w:p>
        </w:tc>
        <w:tc>
          <w:tcPr>
            <w:tcW w:type="dxa" w:w="4680"/>
          </w:tcPr>
          <w:p>
            <w:r>
              <w:t>Anonymous, in-memory session only; no persistent chat history</w:t>
            </w:r>
          </w:p>
        </w:tc>
      </w:tr>
      <w:tr>
        <w:tc>
          <w:tcPr>
            <w:tcW w:type="dxa" w:w="4680"/>
          </w:tcPr>
          <w:p>
            <w:r>
              <w:t>Safety</w:t>
            </w:r>
          </w:p>
        </w:tc>
        <w:tc>
          <w:tcPr>
            <w:tcW w:type="dxa" w:w="4680"/>
          </w:tcPr>
          <w:p>
            <w:r>
              <w:t>Risk routing before retrieval or generation; citations restricted to retrieved records</w:t>
            </w:r>
          </w:p>
        </w:tc>
      </w:tr>
    </w:tbl>
    <w:p/>
    <w:p>
      <w:pPr>
        <w:pStyle w:val="Heading1"/>
      </w:pPr>
      <w:r>
        <w:t>1. Product Objective and Guardrails</w:t>
      </w:r>
    </w:p>
    <w:p>
      <w:r>
        <w:t>The system gives plain-language, source-grounded legal information. It is not a substitute for a licensed legal professional. The MVP must refuse unsupported claims, avoid case-specific strategy, and direct emergencies to human support.</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r>
              <w:rPr>
                <w:b/>
                <w:color w:val="0B2545"/>
              </w:rPr>
              <w:t>Supported</w:t>
            </w:r>
          </w:p>
        </w:tc>
        <w:tc>
          <w:tcPr>
            <w:tcW w:type="dxa" w:w="4680"/>
            <w:tcMar>
              <w:top w:w="80" w:type="dxa"/>
              <w:start w:w="120" w:type="dxa"/>
              <w:bottom w:w="80" w:type="dxa"/>
              <w:end w:w="120" w:type="dxa"/>
            </w:tcMar>
            <w:vAlign w:val="center"/>
            <w:shd w:fill="E8EEF5"/>
          </w:tcPr>
          <w:p>
            <w:r>
              <w:rPr>
                <w:b/>
                <w:color w:val="0B2545"/>
              </w:rPr>
              <w:t>Out of scope / escalation</w:t>
            </w:r>
          </w:p>
        </w:tc>
      </w:tr>
      <w:tr>
        <w:tc>
          <w:tcPr>
            <w:tcW w:type="dxa" w:w="4680"/>
          </w:tcPr>
          <w:p>
            <w:r>
              <w:t>Consumer complaints; FIR and bail background; marriage registration and dowry-law basics.</w:t>
            </w:r>
          </w:p>
        </w:tc>
        <w:tc>
          <w:tcPr>
            <w:tcW w:type="dxa" w:w="4680"/>
          </w:tcPr>
          <w:p>
            <w:r>
              <w:t>Immediate danger, domestic violence now, arrest in progress, active court-case strategy, and unrelated legal topics.</w:t>
            </w:r>
          </w:p>
        </w:tc>
      </w:tr>
    </w:tbl>
    <w:p/>
    <w:p>
      <w:pPr>
        <w:pStyle w:val="Heading2"/>
      </w:pPr>
      <w:r>
        <w:t>High-Level Local Architecture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40" w:line="264" w:lineRule="auto"/>
              <w:jc w:val="center"/>
            </w:pPr>
            <w:r>
              <w:rPr>
                <w:b/>
              </w:rPr>
              <w:t>Citizen browser</w:t>
              <w:br/>
            </w:r>
            <w:r>
              <w:t>React + TypeScript</w:t>
            </w:r>
            <w:r>
              <w:t xml:space="preserve">  →</w:t>
            </w:r>
          </w:p>
        </w:tc>
        <w:tc>
          <w:tcPr>
            <w:tcW w:type="dxa" w:w="1872"/>
            <w:tcMar>
              <w:top w:w="80" w:type="dxa"/>
              <w:start w:w="120" w:type="dxa"/>
              <w:bottom w:w="80" w:type="dxa"/>
              <w:end w:w="120" w:type="dxa"/>
            </w:tcMar>
            <w:vAlign w:val="center"/>
            <w:shd w:fill="DFF2EE"/>
          </w:tcPr>
          <w:p>
            <w:pPr>
              <w:spacing w:after="40" w:line="264" w:lineRule="auto"/>
              <w:jc w:val="center"/>
            </w:pPr>
            <w:r>
              <w:rPr>
                <w:b/>
              </w:rPr>
              <w:t>Local API</w:t>
              <w:br/>
            </w:r>
            <w:r>
              <w:t>FastAPI safety + routing</w:t>
            </w:r>
            <w:r>
              <w:t xml:space="preserve">  →</w:t>
            </w:r>
          </w:p>
        </w:tc>
        <w:tc>
          <w:tcPr>
            <w:tcW w:type="dxa" w:w="1872"/>
            <w:tcMar>
              <w:top w:w="80" w:type="dxa"/>
              <w:start w:w="120" w:type="dxa"/>
              <w:bottom w:w="80" w:type="dxa"/>
              <w:end w:w="120" w:type="dxa"/>
            </w:tcMar>
            <w:vAlign w:val="center"/>
            <w:shd w:fill="E8EEF5"/>
          </w:tcPr>
          <w:p>
            <w:pPr>
              <w:spacing w:after="40" w:line="264" w:lineRule="auto"/>
              <w:jc w:val="center"/>
            </w:pPr>
            <w:r>
              <w:rPr>
                <w:b/>
              </w:rPr>
              <w:t>RAG services</w:t>
              <w:br/>
            </w:r>
            <w:r>
              <w:t>MiniLM + ChromaDB</w:t>
            </w:r>
            <w:r>
              <w:t xml:space="preserve">  →</w:t>
            </w:r>
          </w:p>
        </w:tc>
        <w:tc>
          <w:tcPr>
            <w:tcW w:type="dxa" w:w="1872"/>
            <w:tcMar>
              <w:top w:w="80" w:type="dxa"/>
              <w:start w:w="120" w:type="dxa"/>
              <w:bottom w:w="80" w:type="dxa"/>
              <w:end w:w="120" w:type="dxa"/>
            </w:tcMar>
            <w:vAlign w:val="center"/>
            <w:shd w:fill="DFF2EE"/>
          </w:tcPr>
          <w:p>
            <w:pPr>
              <w:spacing w:after="40" w:line="264" w:lineRule="auto"/>
              <w:jc w:val="center"/>
            </w:pPr>
            <w:r>
              <w:rPr>
                <w:b/>
              </w:rPr>
              <w:t>Local SLM</w:t>
              <w:br/>
            </w:r>
            <w:r>
              <w:t>Qwen3 4B Q4</w:t>
            </w:r>
            <w:r>
              <w:t xml:space="preserve">  →</w:t>
            </w:r>
          </w:p>
        </w:tc>
        <w:tc>
          <w:tcPr>
            <w:tcW w:type="dxa" w:w="1872"/>
            <w:tcMar>
              <w:top w:w="80" w:type="dxa"/>
              <w:start w:w="120" w:type="dxa"/>
              <w:bottom w:w="80" w:type="dxa"/>
              <w:end w:w="120" w:type="dxa"/>
            </w:tcMar>
            <w:vAlign w:val="center"/>
            <w:shd w:fill="E8EEF5"/>
          </w:tcPr>
          <w:p>
            <w:pPr>
              <w:spacing w:after="40" w:line="264" w:lineRule="auto"/>
              <w:jc w:val="center"/>
            </w:pPr>
            <w:r>
              <w:rPr>
                <w:b/>
              </w:rPr>
              <w:t>Rendered answer</w:t>
              <w:br/>
            </w:r>
            <w:r>
              <w:t>sources + confidence</w:t>
            </w:r>
          </w:p>
        </w:tc>
      </w:tr>
    </w:tbl>
    <w:p>
      <w:pPr>
        <w:pStyle w:val="Caption"/>
      </w:pPr>
      <w:r>
        <w:t>Figure: High-Level Local Architecture. All runtime components operate on the local device after setup.</w:t>
      </w:r>
    </w:p>
    <w:p>
      <w:pPr>
        <w:pStyle w:val="Heading1"/>
      </w:pPr>
      <w:r>
        <w:t>2. Offline Deployment and Data Flow</w:t>
      </w:r>
    </w:p>
    <w:p>
      <w:r>
        <w:t>Setup may download model weights and public statutory materials. After weights and corpus are present locally, the web UI communicates only with the FastAPI service over localhost. The backend reads the local vector database and local GGUF model; user questions are never transmitted to an external service.</w:t>
      </w:r>
    </w:p>
    <w:p>
      <w:pPr>
        <w:pStyle w:val="Heading2"/>
      </w:pPr>
      <w:r>
        <w:t>Corpus Ingestion Pipeline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40" w:line="264" w:lineRule="auto"/>
              <w:jc w:val="center"/>
            </w:pPr>
            <w:r>
              <w:rPr>
                <w:b/>
              </w:rPr>
              <w:t>Official text</w:t>
              <w:br/>
            </w:r>
            <w:r>
              <w:t>India Code / official source</w:t>
            </w:r>
            <w:r>
              <w:t xml:space="preserve">  →</w:t>
            </w:r>
          </w:p>
        </w:tc>
        <w:tc>
          <w:tcPr>
            <w:tcW w:type="dxa" w:w="1872"/>
            <w:tcMar>
              <w:top w:w="80" w:type="dxa"/>
              <w:start w:w="120" w:type="dxa"/>
              <w:bottom w:w="80" w:type="dxa"/>
              <w:end w:w="120" w:type="dxa"/>
            </w:tcMar>
            <w:vAlign w:val="center"/>
            <w:shd w:fill="DFF2EE"/>
          </w:tcPr>
          <w:p>
            <w:pPr>
              <w:spacing w:after="40" w:line="264" w:lineRule="auto"/>
              <w:jc w:val="center"/>
            </w:pPr>
            <w:r>
              <w:rPr>
                <w:b/>
              </w:rPr>
              <w:t>Validate</w:t>
              <w:br/>
            </w:r>
            <w:r>
              <w:t>metadata + section boundary</w:t>
            </w:r>
            <w:r>
              <w:t xml:space="preserve">  →</w:t>
            </w:r>
          </w:p>
        </w:tc>
        <w:tc>
          <w:tcPr>
            <w:tcW w:type="dxa" w:w="1872"/>
            <w:tcMar>
              <w:top w:w="80" w:type="dxa"/>
              <w:start w:w="120" w:type="dxa"/>
              <w:bottom w:w="80" w:type="dxa"/>
              <w:end w:w="120" w:type="dxa"/>
            </w:tcMar>
            <w:vAlign w:val="center"/>
            <w:shd w:fill="E8EEF5"/>
          </w:tcPr>
          <w:p>
            <w:pPr>
              <w:spacing w:after="40" w:line="264" w:lineRule="auto"/>
              <w:jc w:val="center"/>
            </w:pPr>
            <w:r>
              <w:rPr>
                <w:b/>
              </w:rPr>
              <w:t>Chunk</w:t>
              <w:br/>
            </w:r>
            <w:r>
              <w:t>section-aligned passages</w:t>
            </w:r>
            <w:r>
              <w:t xml:space="preserve">  →</w:t>
            </w:r>
          </w:p>
        </w:tc>
        <w:tc>
          <w:tcPr>
            <w:tcW w:type="dxa" w:w="1872"/>
            <w:tcMar>
              <w:top w:w="80" w:type="dxa"/>
              <w:start w:w="120" w:type="dxa"/>
              <w:bottom w:w="80" w:type="dxa"/>
              <w:end w:w="120" w:type="dxa"/>
            </w:tcMar>
            <w:vAlign w:val="center"/>
            <w:shd w:fill="DFF2EE"/>
          </w:tcPr>
          <w:p>
            <w:pPr>
              <w:spacing w:after="40" w:line="264" w:lineRule="auto"/>
              <w:jc w:val="center"/>
            </w:pPr>
            <w:r>
              <w:rPr>
                <w:b/>
              </w:rPr>
              <w:t>Embed</w:t>
              <w:br/>
            </w:r>
            <w:r>
              <w:t>all-MiniLM-L6-v2</w:t>
            </w:r>
            <w:r>
              <w:t xml:space="preserve">  →</w:t>
            </w:r>
          </w:p>
        </w:tc>
        <w:tc>
          <w:tcPr>
            <w:tcW w:type="dxa" w:w="1872"/>
            <w:tcMar>
              <w:top w:w="80" w:type="dxa"/>
              <w:start w:w="120" w:type="dxa"/>
              <w:bottom w:w="80" w:type="dxa"/>
              <w:end w:w="120" w:type="dxa"/>
            </w:tcMar>
            <w:vAlign w:val="center"/>
            <w:shd w:fill="E8EEF5"/>
          </w:tcPr>
          <w:p>
            <w:pPr>
              <w:spacing w:after="40" w:line="264" w:lineRule="auto"/>
              <w:jc w:val="center"/>
            </w:pPr>
            <w:r>
              <w:rPr>
                <w:b/>
              </w:rPr>
              <w:t>Persist</w:t>
              <w:br/>
            </w:r>
            <w:r>
              <w:t>Chroma local index</w:t>
            </w:r>
          </w:p>
        </w:tc>
      </w:tr>
    </w:tbl>
    <w:p>
      <w:pPr>
        <w:pStyle w:val="Caption"/>
      </w:pPr>
      <w:r>
        <w:t>Figure: Corpus Ingestion Pipeline. All runtime components operate on the local device after setup.</w:t>
      </w:r>
    </w:p>
    <w:p>
      <w:pPr>
        <w:pStyle w:val="Heading1"/>
      </w:pPr>
      <w:r>
        <w:t>3. Runtime AI and Safety Pipeline</w:t>
      </w:r>
    </w:p>
    <w:p>
      <w:pPr>
        <w:pStyle w:val="Heading2"/>
      </w:pPr>
      <w:r>
        <w:t>Query Processing Pipeline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E8EEF5"/>
          </w:tcPr>
          <w:p>
            <w:pPr>
              <w:spacing w:after="40" w:line="264" w:lineRule="auto"/>
              <w:jc w:val="center"/>
            </w:pPr>
            <w:r>
              <w:rPr>
                <w:b/>
              </w:rPr>
              <w:t>Text query</w:t>
              <w:br/>
            </w:r>
            <w:r>
              <w:t>anonymous session</w:t>
            </w:r>
            <w:r>
              <w:t xml:space="preserve">  →</w:t>
            </w:r>
          </w:p>
        </w:tc>
        <w:tc>
          <w:tcPr>
            <w:tcW w:type="dxa" w:w="1560"/>
            <w:tcMar>
              <w:top w:w="80" w:type="dxa"/>
              <w:start w:w="120" w:type="dxa"/>
              <w:bottom w:w="80" w:type="dxa"/>
              <w:end w:w="120" w:type="dxa"/>
            </w:tcMar>
            <w:vAlign w:val="center"/>
            <w:shd w:fill="FBE9E9"/>
          </w:tcPr>
          <w:p>
            <w:pPr>
              <w:spacing w:after="40" w:line="264" w:lineRule="auto"/>
              <w:jc w:val="center"/>
            </w:pPr>
            <w:r>
              <w:rPr>
                <w:b/>
              </w:rPr>
              <w:t>Safety gate</w:t>
              <w:br/>
            </w:r>
            <w:r>
              <w:t>crisis / active-case check</w:t>
            </w:r>
            <w:r>
              <w:t xml:space="preserve">  →</w:t>
            </w:r>
          </w:p>
        </w:tc>
        <w:tc>
          <w:tcPr>
            <w:tcW w:type="dxa" w:w="1560"/>
            <w:tcMar>
              <w:top w:w="80" w:type="dxa"/>
              <w:start w:w="120" w:type="dxa"/>
              <w:bottom w:w="80" w:type="dxa"/>
              <w:end w:w="120" w:type="dxa"/>
            </w:tcMar>
            <w:vAlign w:val="center"/>
            <w:shd w:fill="DFF2EE"/>
          </w:tcPr>
          <w:p>
            <w:pPr>
              <w:spacing w:after="40" w:line="264" w:lineRule="auto"/>
              <w:jc w:val="center"/>
            </w:pPr>
            <w:r>
              <w:rPr>
                <w:b/>
              </w:rPr>
              <w:t>Classify</w:t>
              <w:br/>
            </w:r>
            <w:r>
              <w:t>consumer / criminal / family</w:t>
            </w:r>
            <w:r>
              <w:t xml:space="preserve">  →</w:t>
            </w:r>
          </w:p>
        </w:tc>
        <w:tc>
          <w:tcPr>
            <w:tcW w:type="dxa" w:w="1560"/>
            <w:tcMar>
              <w:top w:w="80" w:type="dxa"/>
              <w:start w:w="120" w:type="dxa"/>
              <w:bottom w:w="80" w:type="dxa"/>
              <w:end w:w="120" w:type="dxa"/>
            </w:tcMar>
            <w:vAlign w:val="center"/>
            <w:shd w:fill="E8EEF5"/>
          </w:tcPr>
          <w:p>
            <w:pPr>
              <w:spacing w:after="40" w:line="264" w:lineRule="auto"/>
              <w:jc w:val="center"/>
            </w:pPr>
            <w:r>
              <w:rPr>
                <w:b/>
              </w:rPr>
              <w:t>Retrieve</w:t>
              <w:br/>
            </w:r>
            <w:r>
              <w:t>domain-filtered top-k</w:t>
            </w:r>
            <w:r>
              <w:t xml:space="preserve">  →</w:t>
            </w:r>
          </w:p>
        </w:tc>
        <w:tc>
          <w:tcPr>
            <w:tcW w:type="dxa" w:w="1560"/>
            <w:tcMar>
              <w:top w:w="80" w:type="dxa"/>
              <w:start w:w="120" w:type="dxa"/>
              <w:bottom w:w="80" w:type="dxa"/>
              <w:end w:w="120" w:type="dxa"/>
            </w:tcMar>
            <w:vAlign w:val="center"/>
            <w:shd w:fill="DFF2EE"/>
          </w:tcPr>
          <w:p>
            <w:pPr>
              <w:spacing w:after="40" w:line="264" w:lineRule="auto"/>
              <w:jc w:val="center"/>
            </w:pPr>
            <w:r>
              <w:rPr>
                <w:b/>
              </w:rPr>
              <w:t>Generate + validate</w:t>
              <w:br/>
            </w:r>
            <w:r>
              <w:t>local Qwen; citation check</w:t>
            </w:r>
            <w:r>
              <w:t xml:space="preserve">  →</w:t>
            </w:r>
          </w:p>
        </w:tc>
        <w:tc>
          <w:tcPr>
            <w:tcW w:type="dxa" w:w="1560"/>
            <w:tcMar>
              <w:top w:w="80" w:type="dxa"/>
              <w:start w:w="120" w:type="dxa"/>
              <w:bottom w:w="80" w:type="dxa"/>
              <w:end w:w="120" w:type="dxa"/>
            </w:tcMar>
            <w:vAlign w:val="center"/>
            <w:shd w:fill="E8EEF5"/>
          </w:tcPr>
          <w:p>
            <w:pPr>
              <w:spacing w:after="40" w:line="264" w:lineRule="auto"/>
              <w:jc w:val="center"/>
            </w:pPr>
            <w:r>
              <w:rPr>
                <w:b/>
              </w:rPr>
              <w:t>Deliver</w:t>
              <w:br/>
            </w:r>
            <w:r>
              <w:t>answer / steps / confidence</w:t>
            </w:r>
          </w:p>
        </w:tc>
      </w:tr>
    </w:tbl>
    <w:p>
      <w:pPr>
        <w:pStyle w:val="Caption"/>
      </w:pPr>
      <w:r>
        <w:t>Figure: Query Processing Pipeline. All runtime components operate on the local device after setup.</w:t>
      </w:r>
    </w:p>
    <w:p>
      <w:r>
        <w:t>Safety is deterministic and precedes all model work. An immediate-risk or active-case trigger returns escalation guidance directly. For ordinary queries, the classifier selects one of three domains; only that domain's passages are retrieved. The generator is instructed to use only supplied context. Post-processing rejects citations absent from retrieved metadata. Low retrieval confidence returns a professional-consultation message instead of an answer.</w:t>
      </w:r>
    </w:p>
    <w:p>
      <w:pPr>
        <w:pStyle w:val="Heading1"/>
      </w:pPr>
      <w:r>
        <w:t>4. Retrieval, Generation, and Confidence Controls</w:t>
      </w:r>
    </w:p>
    <w:tbl>
      <w:tblPr>
        <w:tblStyle w:val="TableGrid"/>
        <w:tblW w:type="auto" w:w="0"/>
        <w:tblLayout w:type="fixed"/>
        <w:tblLook w:firstColumn="1" w:firstRow="1" w:lastColumn="0" w:lastRow="0" w:noHBand="0" w:noVBand="1" w:val="04A0"/>
      </w:tblPr>
      <w:tblGrid>
        <w:gridCol w:w="4680"/>
        <w:gridCol w:w="4680"/>
      </w:tblGrid>
      <w:tr>
        <w:tc>
          <w:tcPr>
            <w:tcW w:type="dxa" w:w="2700"/>
            <w:tcMar>
              <w:top w:w="80" w:type="dxa"/>
              <w:start w:w="120" w:type="dxa"/>
              <w:bottom w:w="80" w:type="dxa"/>
              <w:end w:w="120" w:type="dxa"/>
            </w:tcMar>
            <w:vAlign w:val="center"/>
            <w:shd w:fill="E8EEF5"/>
          </w:tcPr>
          <w:p>
            <w:r>
              <w:rPr>
                <w:b/>
                <w:color w:val="0B2545"/>
              </w:rPr>
              <w:t>Control</w:t>
            </w:r>
          </w:p>
        </w:tc>
        <w:tc>
          <w:tcPr>
            <w:tcW w:type="dxa" w:w="6660"/>
            <w:tcMar>
              <w:top w:w="80" w:type="dxa"/>
              <w:start w:w="120" w:type="dxa"/>
              <w:bottom w:w="80" w:type="dxa"/>
              <w:end w:w="120" w:type="dxa"/>
            </w:tcMar>
            <w:vAlign w:val="center"/>
            <w:shd w:fill="E8EEF5"/>
          </w:tcPr>
          <w:p>
            <w:r>
              <w:rPr>
                <w:b/>
                <w:color w:val="0B2545"/>
              </w:rPr>
              <w:t>Implementation rule</w:t>
            </w:r>
          </w:p>
        </w:tc>
      </w:tr>
      <w:tr>
        <w:tc>
          <w:tcPr>
            <w:tcW w:type="dxa" w:w="4680"/>
          </w:tcPr>
          <w:p>
            <w:r>
              <w:t>Grounding</w:t>
            </w:r>
          </w:p>
        </w:tc>
        <w:tc>
          <w:tcPr>
            <w:tcW w:type="dxa" w:w="4680"/>
          </w:tcPr>
          <w:p>
            <w:r>
              <w:t>Use only top-k retrieved records passed to the prompt; never invent an Act, section, or case citation.</w:t>
            </w:r>
          </w:p>
        </w:tc>
      </w:tr>
      <w:tr>
        <w:tc>
          <w:tcPr>
            <w:tcW w:type="dxa" w:w="4680"/>
          </w:tcPr>
          <w:p>
            <w:r>
              <w:t>Citation validation</w:t>
            </w:r>
          </w:p>
        </w:tc>
        <w:tc>
          <w:tcPr>
            <w:tcW w:type="dxa" w:w="4680"/>
          </w:tcPr>
          <w:p>
            <w:r>
              <w:t>Each displayed citation must map to one retrieved record ID, Act name, section number, and source URL.</w:t>
            </w:r>
          </w:p>
        </w:tc>
      </w:tr>
      <w:tr>
        <w:tc>
          <w:tcPr>
            <w:tcW w:type="dxa" w:w="4680"/>
          </w:tcPr>
          <w:p>
            <w:r>
              <w:t>Confidence</w:t>
            </w:r>
          </w:p>
        </w:tc>
        <w:tc>
          <w:tcPr>
            <w:tcW w:type="dxa" w:w="4680"/>
          </w:tcPr>
          <w:p>
            <w:r>
              <w:t>Use the best retrieval score; below 0.40, return low-confidence escalation rather than legal guidance.</w:t>
            </w:r>
          </w:p>
        </w:tc>
      </w:tr>
      <w:tr>
        <w:tc>
          <w:tcPr>
            <w:tcW w:type="dxa" w:w="4680"/>
          </w:tcPr>
          <w:p>
            <w:r>
              <w:t>Safe first run</w:t>
            </w:r>
          </w:p>
        </w:tc>
        <w:tc>
          <w:tcPr>
            <w:tcW w:type="dxa" w:w="4680"/>
          </w:tcPr>
          <w:p>
            <w:r>
              <w:t>If the local Qwen GGUF is not yet present, return a clearly labelled retrieval-safe fallback; never simulate model output.</w:t>
            </w:r>
          </w:p>
        </w:tc>
      </w:tr>
      <w:tr>
        <w:tc>
          <w:tcPr>
            <w:tcW w:type="dxa" w:w="4680"/>
          </w:tcPr>
          <w:p>
            <w:r>
              <w:t>Follow-up</w:t>
            </w:r>
          </w:p>
        </w:tc>
        <w:tc>
          <w:tcPr>
            <w:tcW w:type="dxa" w:w="4680"/>
          </w:tcPr>
          <w:p>
            <w:r>
              <w:t>Client sends the same transient session ID; no history is written to disk.</w:t>
            </w:r>
          </w:p>
        </w:tc>
      </w:tr>
    </w:tbl>
    <w:p/>
    <w:p>
      <w:pPr>
        <w:pStyle w:val="Heading1"/>
      </w:pPr>
      <w:r>
        <w:t>5. Data and Vector Store Design</w:t>
      </w:r>
    </w:p>
    <w:tbl>
      <w:tblPr>
        <w:tblStyle w:val="TableGrid"/>
        <w:tblW w:type="auto" w:w="0"/>
        <w:tblLayout w:type="fixed"/>
        <w:tblLook w:firstColumn="1" w:firstRow="1" w:lastColumn="0" w:lastRow="0" w:noHBand="0" w:noVBand="1" w:val="04A0"/>
      </w:tblPr>
      <w:tblGrid>
        <w:gridCol w:w="3120"/>
        <w:gridCol w:w="3120"/>
        <w:gridCol w:w="3120"/>
      </w:tblGrid>
      <w:tr>
        <w:tc>
          <w:tcPr>
            <w:tcW w:type="dxa" w:w="1850"/>
            <w:tcMar>
              <w:top w:w="80" w:type="dxa"/>
              <w:start w:w="120" w:type="dxa"/>
              <w:bottom w:w="80" w:type="dxa"/>
              <w:end w:w="120" w:type="dxa"/>
            </w:tcMar>
            <w:vAlign w:val="center"/>
            <w:shd w:fill="E8EEF5"/>
          </w:tcPr>
          <w:p>
            <w:r>
              <w:rPr>
                <w:b/>
                <w:color w:val="0B2545"/>
              </w:rPr>
              <w:t>Entity</w:t>
            </w:r>
          </w:p>
        </w:tc>
        <w:tc>
          <w:tcPr>
            <w:tcW w:type="dxa" w:w="4300"/>
            <w:tcMar>
              <w:top w:w="80" w:type="dxa"/>
              <w:start w:w="120" w:type="dxa"/>
              <w:bottom w:w="80" w:type="dxa"/>
              <w:end w:w="120" w:type="dxa"/>
            </w:tcMar>
            <w:vAlign w:val="center"/>
            <w:shd w:fill="E8EEF5"/>
          </w:tcPr>
          <w:p>
            <w:r>
              <w:rPr>
                <w:b/>
                <w:color w:val="0B2545"/>
              </w:rPr>
              <w:t>Fields</w:t>
            </w:r>
          </w:p>
        </w:tc>
        <w:tc>
          <w:tcPr>
            <w:tcW w:type="dxa" w:w="3210"/>
            <w:tcMar>
              <w:top w:w="80" w:type="dxa"/>
              <w:start w:w="120" w:type="dxa"/>
              <w:bottom w:w="80" w:type="dxa"/>
              <w:end w:w="120" w:type="dxa"/>
            </w:tcMar>
            <w:vAlign w:val="center"/>
            <w:shd w:fill="E8EEF5"/>
          </w:tcPr>
          <w:p>
            <w:r>
              <w:rPr>
                <w:b/>
                <w:color w:val="0B2545"/>
              </w:rPr>
              <w:t>Purpose</w:t>
            </w:r>
          </w:p>
        </w:tc>
      </w:tr>
      <w:tr>
        <w:tc>
          <w:tcPr>
            <w:tcW w:type="dxa" w:w="3120"/>
          </w:tcPr>
          <w:p>
            <w:r>
              <w:t>SourceRecord</w:t>
            </w:r>
          </w:p>
        </w:tc>
        <w:tc>
          <w:tcPr>
            <w:tcW w:type="dxa" w:w="3120"/>
          </w:tcPr>
          <w:p>
            <w:r>
              <w:t>id, domain, act_name, section_number, section_text, jurisdiction, source_url</w:t>
            </w:r>
          </w:p>
        </w:tc>
        <w:tc>
          <w:tcPr>
            <w:tcW w:type="dxa" w:w="3120"/>
          </w:tcPr>
          <w:p>
            <w:r>
              <w:t>Auditable statutory source unit.</w:t>
            </w:r>
          </w:p>
        </w:tc>
      </w:tr>
      <w:tr>
        <w:tc>
          <w:tcPr>
            <w:tcW w:type="dxa" w:w="3120"/>
          </w:tcPr>
          <w:p>
            <w:r>
              <w:t>Chroma document</w:t>
            </w:r>
          </w:p>
        </w:tc>
        <w:tc>
          <w:tcPr>
            <w:tcW w:type="dxa" w:w="3120"/>
          </w:tcPr>
          <w:p>
            <w:r>
              <w:t>embedding_id, chunk_text, domain, act_name, section_number, source_url</w:t>
            </w:r>
          </w:p>
        </w:tc>
        <w:tc>
          <w:tcPr>
            <w:tcW w:type="dxa" w:w="3120"/>
          </w:tcPr>
          <w:p>
            <w:r>
              <w:t>Local semantic retrieval with domain filtering.</w:t>
            </w:r>
          </w:p>
        </w:tc>
      </w:tr>
      <w:tr>
        <w:tc>
          <w:tcPr>
            <w:tcW w:type="dxa" w:w="3120"/>
          </w:tcPr>
          <w:p>
            <w:r>
              <w:t>Instruction example</w:t>
            </w:r>
          </w:p>
        </w:tc>
        <w:tc>
          <w:tcPr>
            <w:tcW w:type="dxa" w:w="3120"/>
          </w:tcPr>
          <w:p>
            <w:r>
              <w:t>instruction, context, response, cited_sections</w:t>
            </w:r>
          </w:p>
        </w:tc>
        <w:tc>
          <w:tcPr>
            <w:tcW w:type="dxa" w:w="3120"/>
          </w:tcPr>
          <w:p>
            <w:r>
              <w:t>Future QLoRA training data, validated against corpus.</w:t>
            </w:r>
          </w:p>
        </w:tc>
      </w:tr>
      <w:tr>
        <w:tc>
          <w:tcPr>
            <w:tcW w:type="dxa" w:w="3120"/>
          </w:tcPr>
          <w:p>
            <w:r>
              <w:t>Transient session</w:t>
            </w:r>
          </w:p>
        </w:tc>
        <w:tc>
          <w:tcPr>
            <w:tcW w:type="dxa" w:w="3120"/>
          </w:tcPr>
          <w:p>
            <w:r>
              <w:t>browser-held session ID and current turn context</w:t>
            </w:r>
          </w:p>
        </w:tc>
        <w:tc>
          <w:tcPr>
            <w:tcW w:type="dxa" w:w="3120"/>
          </w:tcPr>
          <w:p>
            <w:r>
              <w:t>Follow-up UX without persistent personal data.</w:t>
            </w:r>
          </w:p>
        </w:tc>
      </w:tr>
    </w:tbl>
    <w:p/>
    <w:p>
      <w:pPr>
        <w:pStyle w:val="Heading1"/>
      </w:pPr>
      <w:r>
        <w:t>6. API Contract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00"/>
            <w:tcMar>
              <w:top w:w="80" w:type="dxa"/>
              <w:start w:w="120" w:type="dxa"/>
              <w:bottom w:w="80" w:type="dxa"/>
              <w:end w:w="120" w:type="dxa"/>
            </w:tcMar>
            <w:vAlign w:val="center"/>
            <w:shd w:fill="E8EEF5"/>
          </w:tcPr>
          <w:p>
            <w:r>
              <w:rPr>
                <w:b/>
                <w:color w:val="0B2545"/>
              </w:rPr>
              <w:t>Endpoint</w:t>
            </w:r>
          </w:p>
        </w:tc>
        <w:tc>
          <w:tcPr>
            <w:tcW w:type="dxa" w:w="1050"/>
            <w:tcMar>
              <w:top w:w="80" w:type="dxa"/>
              <w:start w:w="120" w:type="dxa"/>
              <w:bottom w:w="80" w:type="dxa"/>
              <w:end w:w="120" w:type="dxa"/>
            </w:tcMar>
            <w:vAlign w:val="center"/>
            <w:shd w:fill="E8EEF5"/>
          </w:tcPr>
          <w:p>
            <w:r>
              <w:rPr>
                <w:b/>
                <w:color w:val="0B2545"/>
              </w:rPr>
              <w:t>Method</w:t>
            </w:r>
          </w:p>
        </w:tc>
        <w:tc>
          <w:tcPr>
            <w:tcW w:type="dxa" w:w="3400"/>
            <w:tcMar>
              <w:top w:w="80" w:type="dxa"/>
              <w:start w:w="120" w:type="dxa"/>
              <w:bottom w:w="80" w:type="dxa"/>
              <w:end w:w="120" w:type="dxa"/>
            </w:tcMar>
            <w:vAlign w:val="center"/>
            <w:shd w:fill="E8EEF5"/>
          </w:tcPr>
          <w:p>
            <w:r>
              <w:rPr>
                <w:b/>
                <w:color w:val="0B2545"/>
              </w:rPr>
              <w:t>Responsibility</w:t>
            </w:r>
          </w:p>
        </w:tc>
        <w:tc>
          <w:tcPr>
            <w:tcW w:type="dxa" w:w="2810"/>
            <w:tcMar>
              <w:top w:w="80" w:type="dxa"/>
              <w:start w:w="120" w:type="dxa"/>
              <w:bottom w:w="80" w:type="dxa"/>
              <w:end w:w="120" w:type="dxa"/>
            </w:tcMar>
            <w:vAlign w:val="center"/>
            <w:shd w:fill="E8EEF5"/>
          </w:tcPr>
          <w:p>
            <w:r>
              <w:rPr>
                <w:b/>
                <w:color w:val="0B2545"/>
              </w:rPr>
              <w:t>Response</w:t>
            </w:r>
          </w:p>
        </w:tc>
      </w:tr>
      <w:tr>
        <w:tc>
          <w:tcPr>
            <w:tcW w:type="dxa" w:w="2340"/>
          </w:tcPr>
          <w:p>
            <w:r>
              <w:t>/api/v1/health</w:t>
            </w:r>
          </w:p>
        </w:tc>
        <w:tc>
          <w:tcPr>
            <w:tcW w:type="dxa" w:w="2340"/>
          </w:tcPr>
          <w:p>
            <w:r>
              <w:t>GET</w:t>
            </w:r>
          </w:p>
        </w:tc>
        <w:tc>
          <w:tcPr>
            <w:tcW w:type="dxa" w:w="2340"/>
          </w:tcPr>
          <w:p>
            <w:r>
              <w:t>Local readiness check</w:t>
            </w:r>
          </w:p>
        </w:tc>
        <w:tc>
          <w:tcPr>
            <w:tcW w:type="dxa" w:w="2340"/>
          </w:tcPr>
          <w:p>
            <w:r>
              <w:t>Model/index availability and corpus count.</w:t>
            </w:r>
          </w:p>
        </w:tc>
      </w:tr>
      <w:tr>
        <w:tc>
          <w:tcPr>
            <w:tcW w:type="dxa" w:w="2340"/>
          </w:tcPr>
          <w:p>
            <w:r>
              <w:t>/api/v1/chat</w:t>
            </w:r>
          </w:p>
        </w:tc>
        <w:tc>
          <w:tcPr>
            <w:tcW w:type="dxa" w:w="2340"/>
          </w:tcPr>
          <w:p>
            <w:r>
              <w:t>POST</w:t>
            </w:r>
          </w:p>
        </w:tc>
        <w:tc>
          <w:tcPr>
            <w:tcW w:type="dxa" w:w="2340"/>
          </w:tcPr>
          <w:p>
            <w:r>
              <w:t>Safety route, classify, retrieve, generate/validate</w:t>
            </w:r>
          </w:p>
        </w:tc>
        <w:tc>
          <w:tcPr>
            <w:tcW w:type="dxa" w:w="2340"/>
          </w:tcPr>
          <w:p>
            <w:r>
              <w:t>Answer, steps, citations, confidence, disclaimer.</w:t>
            </w:r>
          </w:p>
        </w:tc>
      </w:tr>
      <w:tr>
        <w:tc>
          <w:tcPr>
            <w:tcW w:type="dxa" w:w="2340"/>
          </w:tcPr>
          <w:p>
            <w:r>
              <w:t>/api/v1/corpus/reindex</w:t>
            </w:r>
          </w:p>
        </w:tc>
        <w:tc>
          <w:tcPr>
            <w:tcW w:type="dxa" w:w="2340"/>
          </w:tcPr>
          <w:p>
            <w:r>
              <w:t>POST</w:t>
            </w:r>
          </w:p>
        </w:tc>
        <w:tc>
          <w:tcPr>
            <w:tcW w:type="dxa" w:w="2340"/>
          </w:tcPr>
          <w:p>
            <w:r>
              <w:t>Maintenance-only local rebuild</w:t>
            </w:r>
          </w:p>
        </w:tc>
        <w:tc>
          <w:tcPr>
            <w:tcW w:type="dxa" w:w="2340"/>
          </w:tcPr>
          <w:p>
            <w:r>
              <w:t>Indexed record count.</w:t>
            </w:r>
          </w:p>
        </w:tc>
      </w:tr>
      <w:tr>
        <w:tc>
          <w:tcPr>
            <w:tcW w:type="dxa" w:w="2340"/>
          </w:tcPr>
          <w:p>
            <w:r>
              <w:t>/api/v1/sources/{id}</w:t>
            </w:r>
          </w:p>
        </w:tc>
        <w:tc>
          <w:tcPr>
            <w:tcW w:type="dxa" w:w="2340"/>
          </w:tcPr>
          <w:p>
            <w:r>
              <w:t>GET</w:t>
            </w:r>
          </w:p>
        </w:tc>
        <w:tc>
          <w:tcPr>
            <w:tcW w:type="dxa" w:w="2340"/>
          </w:tcPr>
          <w:p>
            <w:r>
              <w:t>Resolve a citation shown in UI</w:t>
            </w:r>
          </w:p>
        </w:tc>
        <w:tc>
          <w:tcPr>
            <w:tcW w:type="dxa" w:w="2340"/>
          </w:tcPr>
          <w:p>
            <w:r>
              <w:t>Full local source record.</w:t>
            </w:r>
          </w:p>
        </w:tc>
      </w:tr>
    </w:tbl>
    <w:p/>
    <w:p>
      <w:pPr>
        <w:pStyle w:val="Heading1"/>
      </w:pPr>
      <w:r>
        <w:t>7. Technology and Model Selection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1600"/>
            <w:tcMar>
              <w:top w:w="80" w:type="dxa"/>
              <w:start w:w="120" w:type="dxa"/>
              <w:bottom w:w="80" w:type="dxa"/>
              <w:end w:w="120" w:type="dxa"/>
            </w:tcMar>
            <w:vAlign w:val="center"/>
            <w:shd w:fill="E8EEF5"/>
          </w:tcPr>
          <w:p>
            <w:r>
              <w:rPr>
                <w:b/>
                <w:color w:val="0B2545"/>
              </w:rPr>
              <w:t>Layer</w:t>
            </w:r>
          </w:p>
        </w:tc>
        <w:tc>
          <w:tcPr>
            <w:tcW w:type="dxa" w:w="2900"/>
            <w:tcMar>
              <w:top w:w="80" w:type="dxa"/>
              <w:start w:w="120" w:type="dxa"/>
              <w:bottom w:w="80" w:type="dxa"/>
              <w:end w:w="120" w:type="dxa"/>
            </w:tcMar>
            <w:vAlign w:val="center"/>
            <w:shd w:fill="E8EEF5"/>
          </w:tcPr>
          <w:p>
            <w:r>
              <w:rPr>
                <w:b/>
                <w:color w:val="0B2545"/>
              </w:rPr>
              <w:t>Choice</w:t>
            </w:r>
          </w:p>
        </w:tc>
        <w:tc>
          <w:tcPr>
            <w:tcW w:type="dxa" w:w="4860"/>
            <w:tcMar>
              <w:top w:w="80" w:type="dxa"/>
              <w:start w:w="120" w:type="dxa"/>
              <w:bottom w:w="80" w:type="dxa"/>
              <w:end w:w="120" w:type="dxa"/>
            </w:tcMar>
            <w:vAlign w:val="center"/>
            <w:shd w:fill="E8EEF5"/>
          </w:tcPr>
          <w:p>
            <w:r>
              <w:rPr>
                <w:b/>
                <w:color w:val="0B2545"/>
              </w:rPr>
              <w:t>Why it fits the MVP</w:t>
            </w:r>
          </w:p>
        </w:tc>
      </w:tr>
      <w:tr>
        <w:tc>
          <w:tcPr>
            <w:tcW w:type="dxa" w:w="3120"/>
          </w:tcPr>
          <w:p>
            <w:r>
              <w:t>Frontend</w:t>
            </w:r>
          </w:p>
        </w:tc>
        <w:tc>
          <w:tcPr>
            <w:tcW w:type="dxa" w:w="3120"/>
          </w:tcPr>
          <w:p>
            <w:r>
              <w:t>React, TypeScript, Vite</w:t>
            </w:r>
          </w:p>
        </w:tc>
        <w:tc>
          <w:tcPr>
            <w:tcW w:type="dxa" w:w="3120"/>
          </w:tcPr>
          <w:p>
            <w:r>
              <w:t>Fast citizen-facing chat interface with strong local development ergonomics.</w:t>
            </w:r>
          </w:p>
        </w:tc>
      </w:tr>
      <w:tr>
        <w:tc>
          <w:tcPr>
            <w:tcW w:type="dxa" w:w="3120"/>
          </w:tcPr>
          <w:p>
            <w:r>
              <w:t>Backend</w:t>
            </w:r>
          </w:p>
        </w:tc>
        <w:tc>
          <w:tcPr>
            <w:tcW w:type="dxa" w:w="3120"/>
          </w:tcPr>
          <w:p>
            <w:r>
              <w:t>FastAPI, Pydantic</w:t>
            </w:r>
          </w:p>
        </w:tc>
        <w:tc>
          <w:tcPr>
            <w:tcW w:type="dxa" w:w="3120"/>
          </w:tcPr>
          <w:p>
            <w:r>
              <w:t>Typed local REST API and testable safety/retrieval modules.</w:t>
            </w:r>
          </w:p>
        </w:tc>
      </w:tr>
      <w:tr>
        <w:tc>
          <w:tcPr>
            <w:tcW w:type="dxa" w:w="3120"/>
          </w:tcPr>
          <w:p>
            <w:r>
              <w:t>Embeddings</w:t>
            </w:r>
          </w:p>
        </w:tc>
        <w:tc>
          <w:tcPr>
            <w:tcW w:type="dxa" w:w="3120"/>
          </w:tcPr>
          <w:p>
            <w:r>
              <w:t>sentence-transformers/all-MiniLM-L6-v2</w:t>
            </w:r>
          </w:p>
        </w:tc>
        <w:tc>
          <w:tcPr>
            <w:tcW w:type="dxa" w:w="3120"/>
          </w:tcPr>
          <w:p>
            <w:r>
              <w:t>Small, fast English embedding model suitable for local search.</w:t>
            </w:r>
          </w:p>
        </w:tc>
      </w:tr>
      <w:tr>
        <w:tc>
          <w:tcPr>
            <w:tcW w:type="dxa" w:w="3120"/>
          </w:tcPr>
          <w:p>
            <w:r>
              <w:t>Generator</w:t>
            </w:r>
          </w:p>
        </w:tc>
        <w:tc>
          <w:tcPr>
            <w:tcW w:type="dxa" w:w="3120"/>
          </w:tcPr>
          <w:p>
            <w:r>
              <w:t>Qwen/Qwen3-4B-Instruct-2507</w:t>
            </w:r>
          </w:p>
        </w:tc>
        <w:tc>
          <w:tcPr>
            <w:tcW w:type="dxa" w:w="3120"/>
          </w:tcPr>
          <w:p>
            <w:r>
              <w:t>Non-gated Apache-2.0 4B instruct model; viable for QLoRA and Q4 local inference.</w:t>
            </w:r>
          </w:p>
        </w:tc>
      </w:tr>
      <w:tr>
        <w:tc>
          <w:tcPr>
            <w:tcW w:type="dxa" w:w="3120"/>
          </w:tcPr>
          <w:p>
            <w:r>
              <w:t>Vector store</w:t>
            </w:r>
          </w:p>
        </w:tc>
        <w:tc>
          <w:tcPr>
            <w:tcW w:type="dxa" w:w="3120"/>
          </w:tcPr>
          <w:p>
            <w:r>
              <w:t>ChromaDB</w:t>
            </w:r>
          </w:p>
        </w:tc>
        <w:tc>
          <w:tcPr>
            <w:tcW w:type="dxa" w:w="3120"/>
          </w:tcPr>
          <w:p>
            <w:r>
              <w:t>Persistent local metadata and vector search.</w:t>
            </w:r>
          </w:p>
        </w:tc>
      </w:tr>
      <w:tr>
        <w:tc>
          <w:tcPr>
            <w:tcW w:type="dxa" w:w="3120"/>
          </w:tcPr>
          <w:p>
            <w:r>
              <w:t>Fine-tuning</w:t>
            </w:r>
          </w:p>
        </w:tc>
        <w:tc>
          <w:tcPr>
            <w:tcW w:type="dxa" w:w="3120"/>
          </w:tcPr>
          <w:p>
            <w:r>
              <w:t>QLoRA + PEFT, optional</w:t>
            </w:r>
          </w:p>
        </w:tc>
        <w:tc>
          <w:tcPr>
            <w:tcW w:type="dxa" w:w="3120"/>
          </w:tcPr>
          <w:p>
            <w:r>
              <w:t>Adapter training after RAG baseline passes tests; avoids risking the core demo.</w:t>
            </w:r>
          </w:p>
        </w:tc>
      </w:tr>
    </w:tbl>
    <w:p/>
    <w:p>
      <w:pPr>
        <w:pStyle w:val="Heading1"/>
      </w:pPr>
      <w:r>
        <w:t>8. Dataset Selection and Provenance</w:t>
      </w:r>
    </w:p>
    <w:p>
      <w:r>
        <w:t>The curated MVP corpus starts with official statutory material: Consumer Protection Act, 2019; BNSS, 2023; Dowry Prohibition Act, 1961; relevant national marriage-law material. Every record retains its source URL. State-dependent requirements are labelled as such and prompt users to confirm the state rather than presenting a universal procedure.</w:t>
      </w:r>
    </w:p>
    <w:p>
      <w:r>
        <w:t>Fine-tuning data is not treated as authority. Each instruction/context/response example must cite only statutes that appear verbatim in its context. The training adapter is accepted only after source-citation and unsafe-query evaluation passes.</w:t>
      </w:r>
    </w:p>
    <w:p>
      <w:pPr>
        <w:pStyle w:val="Heading1"/>
      </w:pPr>
      <w:r>
        <w:t>9. Failure Modes and Demo Acceptance</w:t>
      </w:r>
    </w:p>
    <w:tbl>
      <w:tblPr>
        <w:tblStyle w:val="TableGrid"/>
        <w:tblW w:type="auto" w:w="0"/>
        <w:tblLayout w:type="fixed"/>
        <w:tblLook w:firstColumn="1" w:firstRow="1" w:lastColumn="0" w:lastRow="0" w:noHBand="0" w:noVBand="1" w:val="04A0"/>
      </w:tblPr>
      <w:tblGrid>
        <w:gridCol w:w="4680"/>
        <w:gridCol w:w="4680"/>
      </w:tblGrid>
      <w:tr>
        <w:tc>
          <w:tcPr>
            <w:tcW w:type="dxa" w:w="3300"/>
            <w:tcMar>
              <w:top w:w="80" w:type="dxa"/>
              <w:start w:w="120" w:type="dxa"/>
              <w:bottom w:w="80" w:type="dxa"/>
              <w:end w:w="120" w:type="dxa"/>
            </w:tcMar>
            <w:vAlign w:val="center"/>
            <w:shd w:fill="E8EEF5"/>
          </w:tcPr>
          <w:p>
            <w:r>
              <w:rPr>
                <w:b/>
                <w:color w:val="0B2545"/>
              </w:rPr>
              <w:t>Scenario</w:t>
            </w:r>
          </w:p>
        </w:tc>
        <w:tc>
          <w:tcPr>
            <w:tcW w:type="dxa" w:w="6060"/>
            <w:tcMar>
              <w:top w:w="80" w:type="dxa"/>
              <w:start w:w="120" w:type="dxa"/>
              <w:bottom w:w="80" w:type="dxa"/>
              <w:end w:w="120" w:type="dxa"/>
            </w:tcMar>
            <w:vAlign w:val="center"/>
            <w:shd w:fill="E8EEF5"/>
          </w:tcPr>
          <w:p>
            <w:r>
              <w:rPr>
                <w:b/>
                <w:color w:val="0B2545"/>
              </w:rPr>
              <w:t>Expected safe result</w:t>
            </w:r>
          </w:p>
        </w:tc>
      </w:tr>
      <w:tr>
        <w:tc>
          <w:tcPr>
            <w:tcW w:type="dxa" w:w="4680"/>
          </w:tcPr>
          <w:p>
            <w:r>
              <w:t>No local model file</w:t>
            </w:r>
          </w:p>
        </w:tc>
        <w:tc>
          <w:tcPr>
            <w:tcW w:type="dxa" w:w="4680"/>
          </w:tcPr>
          <w:p>
            <w:r>
              <w:t>Health reports degraded; RAG-safe fallback remains labelled and cited.</w:t>
            </w:r>
          </w:p>
        </w:tc>
      </w:tr>
      <w:tr>
        <w:tc>
          <w:tcPr>
            <w:tcW w:type="dxa" w:w="4680"/>
          </w:tcPr>
          <w:p>
            <w:r>
              <w:t>Low retrieval relevance</w:t>
            </w:r>
          </w:p>
        </w:tc>
        <w:tc>
          <w:tcPr>
            <w:tcW w:type="dxa" w:w="4680"/>
          </w:tcPr>
          <w:p>
            <w:r>
              <w:t>No substantive answer; recommend qualified legal support.</w:t>
            </w:r>
          </w:p>
        </w:tc>
      </w:tr>
      <w:tr>
        <w:tc>
          <w:tcPr>
            <w:tcW w:type="dxa" w:w="4680"/>
          </w:tcPr>
          <w:p>
            <w:r>
              <w:t>Crisis / immediate danger</w:t>
            </w:r>
          </w:p>
        </w:tc>
        <w:tc>
          <w:tcPr>
            <w:tcW w:type="dxa" w:w="4680"/>
          </w:tcPr>
          <w:p>
            <w:r>
              <w:t>Bypass retrieval and generation; show urgent escalation guidance.</w:t>
            </w:r>
          </w:p>
        </w:tc>
      </w:tr>
      <w:tr>
        <w:tc>
          <w:tcPr>
            <w:tcW w:type="dxa" w:w="4680"/>
          </w:tcPr>
          <w:p>
            <w:r>
              <w:t>Unsupported citation</w:t>
            </w:r>
          </w:p>
        </w:tc>
        <w:tc>
          <w:tcPr>
            <w:tcW w:type="dxa" w:w="4680"/>
          </w:tcPr>
          <w:p>
            <w:r>
              <w:t>Validation removes/rejects it; response is not presented as sourced.</w:t>
            </w:r>
          </w:p>
        </w:tc>
      </w:tr>
      <w:tr>
        <w:tc>
          <w:tcPr>
            <w:tcW w:type="dxa" w:w="4680"/>
          </w:tcPr>
          <w:p>
            <w:r>
              <w:t>No internet after setup</w:t>
            </w:r>
          </w:p>
        </w:tc>
        <w:tc>
          <w:tcPr>
            <w:tcW w:type="dxa" w:w="4680"/>
          </w:tcPr>
          <w:p>
            <w:r>
              <w:t>Chat, embedding index, and local model operate only from local assets.</w:t>
            </w:r>
          </w:p>
        </w:tc>
      </w:tr>
    </w:tbl>
    <w:p/>
    <w:p>
      <w:r>
        <w:t>Phase 3 verification requires API tests for all three domains, out-of-scope requests, low confidence, and crisis routing; a browser end-to-end check; offline operation after setup; and visual review of this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Hackathon MVP | Local legal-information guidance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NYAYA SAHAYAK  |  PHASE 2 ARCHITECTURE &amp; AI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