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28"/>
        </w:rPr>
        <w:t>RANGARAJAN NADADHUR RAMESH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rangarajannr27@gmail.com | +1 (602) 748-8247 | https://www.linkedin.com/in/rangarajan-n-r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cs="Times New Roman"/>
          <w:b/>
          <w:i w:val="0"/>
          <w:sz w:val="22"/>
        </w:rPr>
        <w:t>SUMMARY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0"/>
        </w:rPr>
        <w:t>Mechanical Engineer with 2+ years of experience in design, FEA, and production readiness for power generation and renewable energy systems. Expertise in mechanical systems design, P&amp;ID development, thermal analysis, and material optimization. Proven track record reducing design cycle time by 50%, improving production quality by 55%, and delivering cross-functional engineering solutions.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cs="Times New Roman"/>
          <w:b/>
          <w:i w:val="0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/>
          <w:i w:val="0"/>
          <w:sz w:val="20"/>
        </w:rPr>
        <w:t>Master of Science in Mechanical Engineering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May 2026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 w:val="0"/>
          <w:i w:val="0"/>
          <w:sz w:val="20"/>
        </w:rPr>
        <w:t>Arizona State University, Arizona, USA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GPA: 3.70</w:t>
      </w:r>
    </w:p>
    <w:p>
      <w:pPr>
        <w:spacing w:before="40" w:after="0"/>
      </w:pPr>
      <w:r>
        <w:rPr>
          <w:rFonts w:ascii="Times New Roman" w:hAnsi="Times New Roman" w:cs="Times New Roman"/>
          <w:b/>
          <w:i w:val="0"/>
          <w:sz w:val="20"/>
        </w:rPr>
        <w:t xml:space="preserve">Relevant Coursework: </w:t>
      </w:r>
      <w:r>
        <w:rPr>
          <w:rFonts w:ascii="Times New Roman" w:hAnsi="Times New Roman" w:cs="Times New Roman"/>
          <w:b w:val="0"/>
          <w:i w:val="0"/>
          <w:sz w:val="20"/>
        </w:rPr>
        <w:t>Modern Manufacturing Methods, Intermediate Thermodynamics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/>
          <w:i w:val="0"/>
          <w:sz w:val="20"/>
        </w:rPr>
        <w:t>Bachelor of Technology in Mechanical Engineering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May 2021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 w:val="0"/>
          <w:i w:val="0"/>
          <w:sz w:val="20"/>
        </w:rPr>
        <w:t>Dayananda Sagar University, Karnataka, India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CGPA: 8.36</w:t>
      </w:r>
    </w:p>
    <w:p>
      <w:pPr>
        <w:spacing w:before="40" w:after="0"/>
      </w:pPr>
      <w:r>
        <w:rPr>
          <w:rFonts w:ascii="Times New Roman" w:hAnsi="Times New Roman" w:cs="Times New Roman"/>
          <w:b/>
          <w:i w:val="0"/>
          <w:sz w:val="20"/>
        </w:rPr>
        <w:t xml:space="preserve">Additional Coursework: </w:t>
      </w:r>
      <w:r>
        <w:rPr>
          <w:rFonts w:ascii="Times New Roman" w:hAnsi="Times New Roman" w:cs="Times New Roman"/>
          <w:b w:val="0"/>
          <w:i w:val="0"/>
          <w:sz w:val="20"/>
        </w:rPr>
        <w:t>GD&amp;T based on ASME Y14.5 (Udemy), Lean Six Sigma Yellow Belt (Udemy)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cs="Times New Roman"/>
          <w:b/>
          <w:i w:val="0"/>
          <w:sz w:val="22"/>
        </w:rPr>
        <w:t>TECHNICAL SKILLS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/>
          <w:i w:val="0"/>
          <w:sz w:val="20"/>
        </w:rPr>
        <w:t xml:space="preserve">CAD \&amp; Modeling: </w:t>
      </w:r>
      <w:r>
        <w:rPr>
          <w:rFonts w:ascii="Times New Roman" w:hAnsi="Times New Roman" w:cs="Times New Roman"/>
          <w:b w:val="0"/>
          <w:i w:val="0"/>
          <w:sz w:val="20"/>
        </w:rPr>
        <w:t>SolidWorks, Siemens NX, PTC Creo, AutoCAD, Fusion 360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/>
          <w:i w:val="0"/>
          <w:sz w:val="20"/>
        </w:rPr>
        <w:t xml:space="preserve">Analysis: </w:t>
      </w:r>
      <w:r>
        <w:rPr>
          <w:rFonts w:ascii="Times New Roman" w:hAnsi="Times New Roman" w:cs="Times New Roman"/>
          <w:b w:val="0"/>
          <w:i w:val="0"/>
          <w:sz w:val="20"/>
        </w:rPr>
        <w:t>ANSYS FEA, ANSYS Fluent, Tolerance Stack-Up, GD&amp;T (ASME Y14.5)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/>
          <w:i w:val="0"/>
          <w:sz w:val="20"/>
        </w:rPr>
        <w:t xml:space="preserve">Engineering: </w:t>
      </w:r>
      <w:r>
        <w:rPr>
          <w:rFonts w:ascii="Times New Roman" w:hAnsi="Times New Roman" w:cs="Times New Roman"/>
          <w:b w:val="0"/>
          <w:i w:val="0"/>
          <w:sz w:val="20"/>
        </w:rPr>
        <w:t>DFM, DFA, BOM Mgmt., Eng. Change Doc., NPD, P&amp;ID, Pipe Sizing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/>
          <w:i w:val="0"/>
          <w:sz w:val="20"/>
        </w:rPr>
        <w:t xml:space="preserve">Quality: </w:t>
      </w:r>
      <w:r>
        <w:rPr>
          <w:rFonts w:ascii="Times New Roman" w:hAnsi="Times New Roman" w:cs="Times New Roman"/>
          <w:b w:val="0"/>
          <w:i w:val="0"/>
          <w:sz w:val="20"/>
        </w:rPr>
        <w:t>FMEA, DFMEA, PFMEA, DVP, Root Cause Analysis, 5-Why, Lean Six Sigma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/>
          <w:i w:val="0"/>
          <w:sz w:val="20"/>
        </w:rPr>
        <w:t xml:space="preserve">Manufacturing: </w:t>
      </w:r>
      <w:r>
        <w:rPr>
          <w:rFonts w:ascii="Times New Roman" w:hAnsi="Times New Roman" w:cs="Times New Roman"/>
          <w:b w:val="0"/>
          <w:i w:val="0"/>
          <w:sz w:val="20"/>
        </w:rPr>
        <w:t>Plastic &amp; Sheet Metal Design, CNC, 3D Printing, Welding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cs="Times New Roman"/>
          <w:b/>
          <w:i w:val="0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/>
          <w:i w:val="0"/>
          <w:sz w:val="20"/>
        </w:rPr>
        <w:t>Design Engineer, Aktis Engineering Solutions Pvt. Ltd., Bangalore, India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Sep 2022 to Jul 2024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Designed production-ready plastic and sheet metal components in SolidWorks, delivering 3D CAD models, GD&amp;T drawings, BOMs, and release documentation for new product introductions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Improved production release quality by 55% through structured validation workflows, peer review controls, and PFMEA contributions identifying manufacturing process failure modes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Reduced fit and assembly issues by 30% by integrating supplier feedback and tooling constraints into tolerance stack-up analysis during DFM/DFA reviews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Reduced design cycle time by 50% through parametric SolidWorks models and standardized drawing workflows, improving design speed and repeatability across production lines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Achieved 15% material cost reduction and 30% to 50% performance improvement on twin-sheet thermoformed components through geometry iteration, ANSYS FEA, and prototype testing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Analyzed 24-hour customer test data to identify heat-loss zones, diagnose thermal inefficiencies, and drive thermal design improvements for power generation applications</w:t>
      </w:r>
    </w:p>
    <w:p>
      <w:pPr>
        <w:spacing w:before="0" w:after="40"/>
      </w:pP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/>
          <w:i w:val="0"/>
          <w:sz w:val="20"/>
        </w:rPr>
        <w:t>Project Associate, Pactera EDGE (now Centific), Hyderabad, India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Mar 2022 to Aug 2022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Improved team output quality from 75% to 99% and individual accuracy to 95% by identifying workflow gaps and implementing structured training, process controls, and targeted corrections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Reviewed and validated image datasets for clarity, fine detail accuracy, and text recognition, and verified chatbot outputs for accuracy and reliability across AI training pipelines</w:t>
      </w:r>
    </w:p>
    <w:p>
      <w:pPr>
        <w:spacing w:before="0" w:after="40"/>
      </w:pP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 w:cs="Times New Roman"/>
          <w:b/>
          <w:i w:val="0"/>
          <w:sz w:val="20"/>
        </w:rPr>
        <w:t>Intern, Bosch Rexroth in Collaboration with DSU, Bangalore, Karnataka, India</w:t>
      </w:r>
      <w:r>
        <w:tab/>
      </w:r>
      <w:r>
        <w:rPr>
          <w:rFonts w:ascii="Times New Roman" w:hAnsi="Times New Roman" w:cs="Times New Roman"/>
          <w:b w:val="0"/>
          <w:i/>
          <w:sz w:val="20"/>
        </w:rPr>
        <w:t>Feb 2021 to Apr 2021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Developed hydraulic and pneumatic circuit layouts and PLC ladder logic for prototype industrial automation equipment, validating workflows through iterative testing to ensure process consistency and reliability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Documented circuit designs and automation logic to support reproducibility and knowledge transfer across the engineering team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cs="Times New Roman"/>
          <w:b/>
          <w:i w:val="0"/>
          <w:sz w:val="22"/>
        </w:rPr>
        <w:t>ACADEMIC PROJECTS</w:t>
      </w:r>
    </w:p>
    <w:p>
      <w:pPr>
        <w:spacing w:before="60" w:after="0"/>
      </w:pPr>
      <w:r>
        <w:rPr>
          <w:rFonts w:ascii="Times New Roman" w:hAnsi="Times New Roman" w:cs="Times New Roman"/>
          <w:b/>
          <w:i w:val="0"/>
          <w:sz w:val="20"/>
        </w:rPr>
        <w:t>Study of Twin-Sheet Thermoforming</w:t>
      </w:r>
      <w:r>
        <w:rPr>
          <w:rFonts w:ascii="Times New Roman" w:hAnsi="Times New Roman" w:cs="Times New Roman"/>
          <w:b w:val="0"/>
          <w:i w:val="0"/>
          <w:sz w:val="20"/>
        </w:rPr>
        <w:t xml:space="preserve">, </w:t>
      </w:r>
      <w:r>
        <w:rPr>
          <w:rFonts w:ascii="Times New Roman" w:hAnsi="Times New Roman" w:cs="Times New Roman"/>
          <w:b w:val="0"/>
          <w:i/>
          <w:sz w:val="20"/>
        </w:rPr>
        <w:t>Arizona State University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Led a 4-member team studying Twin-Sheet Thermoforming and its advantages over traditional manufacturing processes for power generation component applications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Designed Twin-Sheet structures in SolidWorks and performed FEA using ANSYS, analyzing deformation, stiffness, and structural performance under thermal and mechanical loads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Demonstrated structural and economic advantages of Twin-Sheet Thermoforming compared to conventional processes, including material cost reduction and performance improvements</w:t>
      </w:r>
    </w:p>
    <w:p>
      <w:pPr>
        <w:spacing w:before="60" w:after="0"/>
      </w:pPr>
      <w:r>
        <w:rPr>
          <w:rFonts w:ascii="Times New Roman" w:hAnsi="Times New Roman" w:cs="Times New Roman"/>
          <w:b/>
          <w:i w:val="0"/>
          <w:sz w:val="20"/>
        </w:rPr>
        <w:t>Optimizing Wind Turbine Operation for Bird Collision Prevention</w:t>
      </w:r>
      <w:r>
        <w:rPr>
          <w:rFonts w:ascii="Times New Roman" w:hAnsi="Times New Roman" w:cs="Times New Roman"/>
          <w:b w:val="0"/>
          <w:i w:val="0"/>
          <w:sz w:val="20"/>
        </w:rPr>
        <w:t xml:space="preserve">, </w:t>
      </w:r>
      <w:r>
        <w:rPr>
          <w:rFonts w:ascii="Times New Roman" w:hAnsi="Times New Roman" w:cs="Times New Roman"/>
          <w:b w:val="0"/>
          <w:i/>
          <w:sz w:val="20"/>
        </w:rPr>
        <w:t>Arizona State University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Led a 3-member team developing a wind turbine collision avoidance system to reduce bird strikes and associated operational downtime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Designed a multi-sensor detection system integrating radar and LiDAR for real-time object detection and automated collision mitigation in renewable energy applications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Showcased multi-million-dollar cost savings potential by reducing bird collisions and associated fines, improving renewable energy system reliability and regulatory compliance</w:t>
      </w:r>
    </w:p>
    <w:p>
      <w:pPr>
        <w:spacing w:before="60" w:after="0"/>
      </w:pPr>
      <w:r>
        <w:rPr>
          <w:rFonts w:ascii="Times New Roman" w:hAnsi="Times New Roman" w:cs="Times New Roman"/>
          <w:b/>
          <w:i w:val="0"/>
          <w:sz w:val="20"/>
        </w:rPr>
        <w:t>Honeycomb Core Sandwich Composite Panels - Bending Properties</w:t>
      </w:r>
      <w:r>
        <w:rPr>
          <w:rFonts w:ascii="Times New Roman" w:hAnsi="Times New Roman" w:cs="Times New Roman"/>
          <w:b w:val="0"/>
          <w:i w:val="0"/>
          <w:sz w:val="20"/>
        </w:rPr>
        <w:t xml:space="preserve">, </w:t>
      </w:r>
      <w:r>
        <w:rPr>
          <w:rFonts w:ascii="Times New Roman" w:hAnsi="Times New Roman" w:cs="Times New Roman"/>
          <w:b w:val="0"/>
          <w:i/>
          <w:sz w:val="20"/>
        </w:rPr>
        <w:t>Dayananda Sagar University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Designed and fabricated lightweight honeycomb core sandwich composite panels using Fusion 360 and analyzed bending strength through 3-point load testing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Conducted 2-way ANOVA (DoE) to study how geometry variation affected structural properties and strength-to-weight performance, optimizing core geometry configurations for power applications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Managed 3D printing and material selection to ensure precise fabrication and evaluate prototype performance for thermal and mechanical systems</w:t>
      </w:r>
    </w:p>
    <w:p>
      <w:pPr>
        <w:spacing w:before="60" w:after="0"/>
      </w:pPr>
      <w:r>
        <w:rPr>
          <w:rFonts w:ascii="Times New Roman" w:hAnsi="Times New Roman" w:cs="Times New Roman"/>
          <w:b/>
          <w:i w:val="0"/>
          <w:sz w:val="20"/>
        </w:rPr>
        <w:t>Self-Propelled Onion Harvester</w:t>
      </w:r>
      <w:r>
        <w:rPr>
          <w:rFonts w:ascii="Times New Roman" w:hAnsi="Times New Roman" w:cs="Times New Roman"/>
          <w:b w:val="0"/>
          <w:i w:val="0"/>
          <w:sz w:val="20"/>
        </w:rPr>
        <w:t xml:space="preserve">, </w:t>
      </w:r>
      <w:r>
        <w:rPr>
          <w:rFonts w:ascii="Times New Roman" w:hAnsi="Times New Roman" w:cs="Times New Roman"/>
          <w:b w:val="0"/>
          <w:i/>
          <w:sz w:val="20"/>
        </w:rPr>
        <w:t>Dayananda Sagar University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Led a 25-member team developing a self-propelled, low-maintenance onion harvester, managing 4 sub-teams to reduce maintenance cost by 40% and harvesting time by 50%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Contributed to chassis design, steering mechanism, and powertrain gear ratio development, applying mechanical systems design principles to optimize performance and reliability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Engineered a laser and image-detection-based yield estimation solution, reducing estimation time by 50% and improving operational efficiency</w:t>
      </w:r>
    </w:p>
    <w:p>
      <w:pPr>
        <w:spacing w:before="60" w:after="0"/>
      </w:pPr>
      <w:r>
        <w:rPr>
          <w:rFonts w:ascii="Times New Roman" w:hAnsi="Times New Roman" w:cs="Times New Roman"/>
          <w:b/>
          <w:i w:val="0"/>
          <w:sz w:val="20"/>
        </w:rPr>
        <w:t>Study of Two-Bounce LiDAR for Non-Line-of-Sight Imaging</w:t>
      </w:r>
      <w:r>
        <w:rPr>
          <w:rFonts w:ascii="Times New Roman" w:hAnsi="Times New Roman" w:cs="Times New Roman"/>
          <w:b w:val="0"/>
          <w:i w:val="0"/>
          <w:sz w:val="20"/>
        </w:rPr>
        <w:t xml:space="preserve">, </w:t>
      </w:r>
      <w:r>
        <w:rPr>
          <w:rFonts w:ascii="Times New Roman" w:hAnsi="Times New Roman" w:cs="Times New Roman"/>
          <w:b w:val="0"/>
          <w:i/>
          <w:sz w:val="20"/>
        </w:rPr>
        <w:t>Arizona State University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Collaborated in a 5-member team studying Two-Bounce LiDAR and NLOS imaging for autonomous vehicle applications, assessing system integration and deployment feasibility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Assessed non-line-of-sight object detection capability of SPAD sensors, lasers, and optics, along with implementation trade-offs for real-world deployment</w:t>
      </w:r>
    </w:p>
    <w:p>
      <w:pPr>
        <w:pStyle w:val="ListBullet"/>
        <w:spacing w:before="0" w:after="0"/>
        <w:ind w:left="360"/>
      </w:pPr>
      <w:r>
        <w:rPr>
          <w:rFonts w:ascii="Times New Roman" w:hAnsi="Times New Roman" w:cs="Times New Roman"/>
          <w:b w:val="0"/>
          <w:i w:val="0"/>
          <w:sz w:val="20"/>
        </w:rPr>
        <w:t>Presented feasibility, risks, deployment recommendations, and economic considerations for real-world implementation, showcasing analytical and communication skills</w:t>
      </w:r>
    </w:p>
    <w:sectPr w:rsidR="00FC693F" w:rsidRPr="0006063C" w:rsidSect="0003461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