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testable formal theory: five propositions, stated under the linearized BCF model, characterize locality (P1), masking (P2, the measurement gap), super-additivity (P3, the agentic multiplier), mitigation matching (P4), and measurement adequacy (P5). Grounded in a verified corpus of 202 papers spanning 2017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specifies a protocol for an executable cross-framework bias audit with a "Results (pending)" placeholder awaiting execution. We further characterize a structural </w:t>
      </w:r>
      <w:r>
        <w:rPr>
          <w:i/>
        </w:rPr>
        <w:t>measurement gap</w:t>
      </w:r>
      <w:r>
        <w:t>: today's benchmarks grade answers, not actions; as Table 2 shows, no general-purpose benchmark provides demographically instrumented, full-trajectory agent evaluation.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exhibit systematic tool-selection bias that no answer-level metric detects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Five propositions follow: P1 Locality (a disparity at component c is attributable to that component's locus if it vanishes under a component-level counterfactual), P2 Masking (token-level parity can coexist with action-level disparity, the measurement gap as a theorem), P3 Super-additivity (the agentic multiplier: trajectory disparity exceeds the sum of component disparities under amplifying operators), P4 Mitigation matching (an intervention reduces Δ_τ only if it targets the locus and operator of the dominant Δ_c), and P5 Measurement adequacy (a fairness metric is adequate for an agent iff it surfaces Δ_c for every component with non-negligible φ).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for an executable cross-framework bias audit.</w:t>
      </w:r>
      <w:r>
        <w:t xml:space="preserve"> We specify a protocol (§6) for an original cross-framework bias audit: multiple agent configurations run on a consequential-decision task with counterfactual demographic swaps, designed to test whether component-level action disparity arises that QA-level scoring of the same underlying model would not register. </w:t>
      </w:r>
      <w:r>
        <w:rPr>
          <w:i/>
        </w:rPr>
        <w:t>Results: pending execution.</w:t>
      </w:r>
      <w:r>
        <w:t xml:space="preserve"> The protocol is fully described so it can be reproduced independently; we report results in a companion update once the audit run is complete.</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a closely related ACM survey-style article (ACM SIGKDD Explorations),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a clinical-agent evaluation taxonomy whose seven dimensions include a Safety &amp; Ethics dimension under which fairness sits; conceptual and single-domain (healthcare), with no component-level counterfactual and no corpus.</w:t>
      </w:r>
    </w:p>
    <w:p>
      <w:pPr>
        <w:pStyle w:val="ListBullet"/>
      </w:pPr>
      <w:r>
        <w:rPr>
          <w:i/>
        </w:rPr>
        <w:t>Mayilvaghanan et al. 2026</w:t>
      </w:r>
      <w:r>
        <w:t xml:space="preserve"> [mayilvaghanan2026counterfactual]: applies CFR/MASD in a single domain (customer service); our survey generalizes those metrics across all six BCF components.</w:t>
      </w:r>
    </w:p>
    <w:p>
      <w:pPr>
        <w:pStyle w:val="ListBullet"/>
      </w:pPr>
      <w:r>
        <w:rPr>
          <w:i/>
        </w:rPr>
        <w:t>Ranjan et al. 2025</w:t>
      </w:r>
      <w:r>
        <w:t xml:space="preserve"> [ranjan2025fairness]: a 12-page position paper on fairness in agentic/multi-agent AI broadly, not specific to LLM-agent components;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202 verified papers. Approximately 140 of those papers are not covered by either [gallegos2024bias] or [chu2024fairness], reflecting the rapid growth of agentic fairness work in 2024 to 2026. The 61%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(subdim. of Safety \&amp; Ethics)</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201</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202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2.7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including potentially demographic signals in the query or retrieved context [blankenstein2025biasbusters].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201.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201</w:t>
            </w:r>
            <w:r>
              <w:t xml:space="preserve"> (unique)</w:t>
            </w:r>
          </w:p>
        </w:tc>
      </w:tr>
    </w:tbl>
    <w:p/>
    <w:p>
      <w:r>
        <w:rPr>
          <w:i/>
        </w:rPr>
        <w:t>Note: rows do not sum to 201 because papers appearing in multiple branches are deduplicated at the final stage; the multi-tag convention is applied after inclusion decisions are finalized.</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201).</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202 unique papers spanning 2015 to 2026.</w:t>
      </w:r>
    </w:p>
    <w:p>
      <w:r>
        <w:rPr>
          <w:i/>
        </w:rPr>
        <w:t>Figure 0: PRISMA Flow Diagram</w:t>
      </w:r>
      <w:r>
        <w:t xml:space="preserve"> renders this four-stage funnel with counts at each node and branching reason labels. </w:t>
      </w:r>
      <w:r>
        <w:rPr>
          <w:i/>
        </w:rPr>
        <w:t>Takeaway: the corpus construction is transparent and reproducible; the 202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§2.7)</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202 corpus papers, </w:t>
      </w:r>
      <w:r>
        <w:rPr>
          <w:b/>
        </w:rPr>
        <w:t>5 (2%)</w:t>
      </w:r>
      <w:r>
        <w:t xml:space="preserve"> predate 2020 (primarily foundational ML fairness and NLP bias work), </w:t>
      </w:r>
      <w:r>
        <w:rPr>
          <w:b/>
        </w:rPr>
        <w:t>22 (11%)</w:t>
      </w:r>
      <w:r>
        <w:t xml:space="preserve"> fall in 2020 to 2022, </w:t>
      </w:r>
      <w:r>
        <w:rPr>
          <w:b/>
        </w:rPr>
        <w:t>36 (18%)</w:t>
      </w:r>
      <w:r>
        <w:t xml:space="preserve"> in 2023, </w:t>
      </w:r>
      <w:r>
        <w:rPr>
          <w:b/>
        </w:rPr>
        <w:t>78 (39%)</w:t>
      </w:r>
      <w:r>
        <w:t xml:space="preserve"> in 2024, and </w:t>
      </w:r>
      <w:r>
        <w:rPr>
          <w:b/>
        </w:rPr>
        <w:t>60 (30%)</w:t>
      </w:r>
      <w:r>
        <w:t xml:space="preserve"> in 2025 to 2026 (through June cutoff). The combined 2024 to 2026 cohort constitutes </w:t>
      </w:r>
      <w:r>
        <w:rPr>
          <w:b/>
        </w:rPr>
        <w:t>69%</w:t>
      </w:r>
      <w:r>
        <w:t xml:space="preserve"> of the corpus,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27 papers (14%) appear in IEEE venues, TMLR, Frontiers, and preprint archives (ResearchGate, TechRxiv).</w:t>
      </w:r>
    </w:p>
    <w:p>
      <w:r>
        <w:t>Several observations follow. First, the arXiv share is high (31%), reflecting the recency of the field: many 2025 to 2026 papers are under review or in proceedings preparation. Second, the ACM FAccT representation (9 papers) is lower than the field's importance would suggest, indicating that agent fairness has not yet been fully claimed by the accountability community; it currently sits across NLP venues, systems venues, and domain journals. Third, 10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69%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a subdimension of a seven-dimensional conceptual taxonomy in a single (clinical) domain; [mayilvaghanan2026counterfactual] as a single-domain counterfactual method (contact-center QA) whose CFR/MASD machinery we generalize across components in §4; [ranjan2025fairness] proposes a unified fairness framework for multi-agent AI broadly,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This is the interface formalized by tool-learning and reasoning-acting architectures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model, the data, and the tool-invocation stage.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biased chatbots become biased agents under role assignment [cao2026from]; 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[gupta2023bias];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and taking Δ_c and Δ_τ here as </w:t>
      </w:r>
      <w:r>
        <w:rPr>
          <w:i/>
        </w:rPr>
        <w:t>signed</w:t>
      </w:r>
      <w:r>
        <w:t xml:space="preserve"> (directional) disparities so that oppositely directed component contributions can cancel in the sum (the endpoint statistics CFR and MASD of §4.2 report the corresponding magnitudes |Δ|),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plus an interaction residual: Δ_τ ≠ 0 implies a nonzero Δ_c at some locus c (counting GENERATE edges as entries), or a nonzero cross-component interaction term that the linearized equation folds into the nearest downstream GENERATE edge.</w:t>
      </w:r>
      <w:r>
        <w:t xml:space="preserve"> The residual matters because pure interaction effects (disparity present in no component alone but produced by their composition) are exactly the multi-agent GENERATE phenomenon. Justification: this is the premise validated whenever decomposition succeeds. [xu2026ducx] attributes distinct, separable shares of a clinical agent's disparity to the tool-invocation stage versus the model,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This is the survey's measurement gap stated as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can exceed the naive sum Σ_c |Δ_c| when at least one AMPLIFY or GENERATE edge lies on a conduction path. This is a sufficient condition under the linearized model: an AMPLIFY/GENERATE edge can be offset by a downstream ATTENUATE edge, and nonlinear cross-component interactions can produce super-additivity even without one; conversely, with only PRESERVE/ATTENUATE edges and no interaction term,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Endpoint-only evaluation is systematically unsound (by P2) and not even conservative (by P3); adequacy therefore comes in tiers.</w:t>
      </w:r>
      <w:r>
        <w:t xml:space="preserve"> We distinguish four: </w:t>
      </w:r>
      <w:r>
        <w:rPr>
          <w:i/>
        </w:rPr>
        <w:t>endpoint-only</w:t>
      </w:r>
      <w:r>
        <w:t xml:space="preserve"> (inadequate); </w:t>
      </w:r>
      <w:r>
        <w:rPr>
          <w:i/>
        </w:rPr>
        <w:t>trace-observing</w:t>
      </w:r>
      <w:r>
        <w:t xml:space="preserve"> (logs actions but applies no counterfactual); </w:t>
      </w:r>
      <w:r>
        <w:rPr>
          <w:i/>
        </w:rPr>
        <w:t>component-attributing</w:t>
      </w:r>
      <w:r>
        <w:t xml:space="preserve"> (per-locus Δ_c under a demographic swap); and </w:t>
      </w:r>
      <w:r>
        <w:rPr>
          <w:i/>
        </w:rPr>
        <w:t>causal-replay</w:t>
      </w:r>
      <w:r>
        <w:t xml:space="preserve"> (the trace-replay of D2). Full certification of an agent requires the causal-replay tier; the intermediate tiers bound only identifiable subsets of the Δ_c, which is often the most a real audit can achieve.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The five loci and the temporal axis map onto the D1 objects as follows. Planning (C4) and user modeling (C5) are </w:t>
      </w:r>
      <w:r>
        <w:rPr>
          <w:i/>
        </w:rPr>
        <w:t>sub-policies of π</w:t>
      </w:r>
      <w:r>
        <w:t xml:space="preserve"> rather than separate modules, which is why D1 keeps the tuple minimal rather than positing a module per locus: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Locus</w:t>
            </w:r>
          </w:p>
        </w:tc>
        <w:tc>
          <w:tcPr>
            <w:tcW w:type="dxa" w:w="2880"/>
          </w:tcPr>
          <w:p>
            <w:r>
              <w:rPr>
                <w:b/>
              </w:rPr>
              <w:t>D1 object(s)</w:t>
            </w:r>
          </w:p>
        </w:tc>
        <w:tc>
          <w:tcPr>
            <w:tcW w:type="dxa" w:w="2880"/>
          </w:tcPr>
          <w:p>
            <w:r>
              <w:rPr>
                <w:b/>
              </w:rPr>
              <w:t>Consumes → emits</w:t>
            </w:r>
          </w:p>
        </w:tc>
      </w:tr>
      <w:tr>
        <w:tc>
          <w:tcPr>
            <w:tcW w:type="dxa" w:w="2880"/>
          </w:tcPr>
          <w:p>
            <w:r>
              <w:t>C1 Tool / API selection</w:t>
            </w:r>
          </w:p>
        </w:tc>
        <w:tc>
          <w:tcPr>
            <w:tcW w:type="dxa" w:w="2880"/>
          </w:tcPr>
          <w:p>
            <w:r>
              <w:t>T (selection step of π)</w:t>
            </w:r>
          </w:p>
        </w:tc>
        <w:tc>
          <w:tcPr>
            <w:tcW w:type="dxa" w:w="2880"/>
          </w:tcPr>
          <w:p>
            <w:r>
              <w:t>context → choice of tool/source</w:t>
            </w:r>
          </w:p>
        </w:tc>
      </w:tr>
      <w:tr>
        <w:tc>
          <w:tcPr>
            <w:tcW w:type="dxa" w:w="2880"/>
          </w:tcPr>
          <w:p>
            <w:r>
              <w:t>C2 Memory &amp; retrieval</w:t>
            </w:r>
          </w:p>
        </w:tc>
        <w:tc>
          <w:tcPr>
            <w:tcW w:type="dxa" w:w="2880"/>
          </w:tcPr>
          <w:p>
            <w:r>
              <w:t>M, T</w:t>
            </w:r>
          </w:p>
        </w:tc>
        <w:tc>
          <w:tcPr>
            <w:tcW w:type="dxa" w:w="2880"/>
          </w:tcPr>
          <w:p>
            <w:r>
              <w:t>query/history → retrieved content, memory state</w:t>
            </w:r>
          </w:p>
        </w:tc>
      </w:tr>
      <w:tr>
        <w:tc>
          <w:tcPr>
            <w:tcW w:type="dxa" w:w="2880"/>
          </w:tcPr>
          <w:p>
            <w:r>
              <w:t>C3 Multi-agent delegation</w:t>
            </w:r>
          </w:p>
        </w:tc>
        <w:tc>
          <w:tcPr>
            <w:tcW w:type="dxa" w:w="2880"/>
          </w:tcPr>
          <w:p>
            <w:r>
              <w:t>π_ctrl</w:t>
            </w:r>
          </w:p>
        </w:tc>
        <w:tc>
          <w:tcPr>
            <w:tcW w:type="dxa" w:w="2880"/>
          </w:tcPr>
          <w:p>
            <w:r>
              <w:t>task + roles → subtask routing/assignment</w:t>
            </w:r>
          </w:p>
        </w:tc>
      </w:tr>
      <w:tr>
        <w:tc>
          <w:tcPr>
            <w:tcW w:type="dxa" w:w="2880"/>
          </w:tcPr>
          <w:p>
            <w:r>
              <w:t>C4 Planning / decomposition</w:t>
            </w:r>
          </w:p>
        </w:tc>
        <w:tc>
          <w:tcPr>
            <w:tcW w:type="dxa" w:w="2880"/>
          </w:tcPr>
          <w:p>
            <w:r>
              <w:t>π (decomposition sub-policy)</w:t>
            </w:r>
          </w:p>
        </w:tc>
        <w:tc>
          <w:tcPr>
            <w:tcW w:type="dxa" w:w="2880"/>
          </w:tcPr>
          <w:p>
            <w:r>
              <w:t>goal → ordered subgoals/plan</w:t>
            </w:r>
          </w:p>
        </w:tc>
      </w:tr>
      <w:tr>
        <w:tc>
          <w:tcPr>
            <w:tcW w:type="dxa" w:w="2880"/>
          </w:tcPr>
          <w:p>
            <w:r>
              <w:t>C5 User modeling / personalization</w:t>
            </w:r>
          </w:p>
        </w:tc>
        <w:tc>
          <w:tcPr>
            <w:tcW w:type="dxa" w:w="2880"/>
          </w:tcPr>
          <w:p>
            <w:r>
              <w:t>π, M (user-model sub-state)</w:t>
            </w:r>
          </w:p>
        </w:tc>
        <w:tc>
          <w:tcPr>
            <w:tcW w:type="dxa" w:w="2880"/>
          </w:tcPr>
          <w:p>
            <w:r>
              <w:t>user signals (often inferred) → personalized behavior</w:t>
            </w:r>
          </w:p>
        </w:tc>
      </w:tr>
      <w:tr>
        <w:tc>
          <w:tcPr>
            <w:tcW w:type="dxa" w:w="2880"/>
          </w:tcPr>
          <w:p>
            <w:r>
              <w:t>T-axis (long-horizon drift)</w:t>
            </w:r>
          </w:p>
        </w:tc>
        <w:tc>
          <w:tcPr>
            <w:tcW w:type="dxa" w:w="2880"/>
          </w:tcPr>
          <w:p>
            <w:r>
              <w:t>R (feedback edge)</w:t>
            </w:r>
          </w:p>
        </w:tc>
        <w:tc>
          <w:tcPr>
            <w:tcW w:type="dxa" w:w="2880"/>
          </w:tcPr>
          <w:p>
            <w:r>
              <w:t>prior outputs → updated π/M across turns</w:t>
            </w:r>
          </w:p>
        </w:tc>
      </w:tr>
    </w:tbl>
    <w:p/>
    <w:p>
      <w:r>
        <w:rPr>
          <w:i/>
        </w:rPr>
        <w:t>Takeaway: every locus is a function of an explicit D1 object; C4 and C5 are decompositions of the policy π, not omissions from the tuple.</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Evidence, by operator.</w:t>
      </w:r>
    </w:p>
    <w:p>
      <w:r>
        <w:rPr>
          <w:i/>
        </w:rPr>
        <w:t>GENERATE.</w:t>
      </w:r>
      <w:r>
        <w:t xml:space="preserve"> The anchor result is that selection skew arises on demographically clean input: across tool registries, LLMs prefer particular tools regardless of fitness for the query, a reproducible </w:t>
      </w:r>
      <w:r>
        <w:rPr>
          <w:i/>
        </w:rPr>
        <w:t>tool-selection bias</w:t>
      </w:r>
      <w:r>
        <w:t xml:space="preserve"> residing in the selection policy rather than the answer [blankenstein2025biasbusters]. The base pathology is positional and surface-form sensitivity in discrete choice [pezeshkpour2023large][†], which carries directly into registries presented as lists. The mode is weaponizable: ToolTweak edits only a tool's name and description to systematically inflate its selection rate [sneh2025tooltweak], and recommender-agents are similarly steered by injected preference biases [tang2026your], a fairness problem whenever tools map to providers, vendors, or sources with unequal demographic footprints.</w:t>
      </w:r>
    </w:p>
    <w:p>
      <w:r>
        <w:rPr>
          <w:i/>
        </w:rPr>
        <w:t>PRESERVE.</w:t>
      </w:r>
      <w:r>
        <w:t xml:space="preserve"> In a consequential clinical deployment, the decomposition of [xu2026ducx] attributes a distinct share of a chest-X-ray agent's total disparity to the tool-invocation stage and shows it conducted into the final read. This is the cleanest existing demonstration that C1 is an independent entry locus whose contribution survives to the output, and the corpus's best instantiation of D2's trace-replay logic.</w:t>
      </w:r>
    </w:p>
    <w:p>
      <w:r>
        <w:rPr>
          <w:i/>
        </w:rPr>
        <w:t>ATTENUATE.</w:t>
      </w:r>
      <w:r>
        <w:t xml:space="preserve"> Bias-aware retrieval agents that monitor and rebalance </w:t>
      </w:r>
      <w:r>
        <w:rPr>
          <w:i/>
        </w:rPr>
        <w:t>source selection</w:t>
      </w:r>
      <w:r>
        <w:t xml:space="preserve"> reduce the skew [singh2025bias, singh2025biasb], an engineered φ &lt; 1 edge installed exactly at the selection interface, consistent with P4.</w:t>
      </w:r>
    </w:p>
    <w:p>
      <w:r>
        <w:rPr>
          <w:b/>
        </w:rPr>
        <w:t>Open edge.</w:t>
      </w:r>
      <w:r>
        <w:t xml:space="preserve"> Existing work measures </w:t>
      </w:r>
      <w:r>
        <w:rPr>
          <w:i/>
        </w:rPr>
        <w:t>that</w:t>
      </w:r>
      <w:r>
        <w:t xml:space="preserve"> selection skews; almost none measures whether the skew correlates with protected attributes of the user or subject under a counterfactual swap. A tool-selection-disparity metric (does swapping a profile's demographics change which API the agent calls, holding the query fixed?) exists in no benchmark; this is the Δ_tool instance of D2 that §4.3 formalizes.</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Critically,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Evidence, by operator.</w:t>
      </w:r>
    </w:p>
    <w:p>
      <w:r>
        <w:rPr>
          <w:i/>
        </w:rPr>
        <w:t>GENERATE.</w:t>
      </w:r>
      <w:r>
        <w:t xml:space="preserve"> RAG can </w:t>
      </w:r>
      <w:r>
        <w:rPr>
          <w:i/>
        </w:rPr>
        <w:t>undermine</w:t>
      </w:r>
      <w:r>
        <w:t xml:space="preserve"> fairness even when retrieved documents are individually innocuous and even for users who actively prompt for fairness [hu2024free]; retrieval augmentation measurably changes social-bias levels relative to the closed-book model [zhang2025evaluating]; and the systematic evaluation of [wu2024rag] confirms the retrieval step itself (which corpus, which ranking) injects unfairness with the generator held fixed.</w:t>
      </w:r>
    </w:p>
    <w:p>
      <w:r>
        <w:rPr>
          <w:i/>
        </w:rPr>
        <w:t>AMPLIFY.</w:t>
      </w:r>
      <w:r>
        <w:t xml:space="preserve"> The adversarial extreme is knowledge-store poisoning that amplifies bias and steers downstream outputs [wang2025bias]. Benignly, accumulation amplifies: fairness degrades over multi-turn dialogue in ways single-turn tests miss [fan2024fairmt]; accumulating context literally shifts the model's beliefs as history grows [geng2025accumulating]; and conversational history "geometrically traps" the model, making early framings self-reinforcing [simhi2026old]. Position effects compound the problem: long-context models privilege the head and tail of the window [liu2023lost][†], so </w:t>
      </w:r>
      <w:r>
        <w:rPr>
          <w:i/>
        </w:rPr>
        <w:t>which</w:t>
      </w:r>
      <w:r>
        <w:t xml:space="preserve"> remembered facts about a person get attended to is itself position-dependent and therefore skewable. Multi-agent conversation exhibits the same conversational-bias accumulation [coppolillo2025unmasking].</w:t>
      </w:r>
    </w:p>
    <w:p>
      <w:r>
        <w:rPr>
          <w:i/>
        </w:rPr>
        <w:t>ATTENUATE.</w:t>
      </w:r>
      <w:r>
        <w:t xml:space="preserve"> The bias is partially controllable at the representation layer (tuning the embedder reduces RAG bias [kim2025mitigating]) and at the ranking layer, where applying fair-exposure ranking inside RAG changes, and can improve, both fairness and quality of the generated output [kim2024fair]. This is the most direct existing bridge between the fair-ranking tradition [zehlike2022fairness] and agentic pipelines.</w:t>
      </w:r>
    </w:p>
    <w:p>
      <w:r>
        <w:rPr>
          <w:b/>
        </w:rPr>
        <w:t>Open edge.</w:t>
      </w:r>
      <w:r>
        <w:t xml:space="preserve"> The field measures accumulation in </w:t>
      </w:r>
      <w:r>
        <w:rPr>
          <w:i/>
        </w:rPr>
        <w:t>dialogue</w:t>
      </w:r>
      <w:r>
        <w:t xml:space="preserve"> (FairMT-Bench) but not in </w:t>
      </w:r>
      <w:r>
        <w:rPr>
          <w:i/>
        </w:rPr>
        <w:t>agentic memory</w:t>
      </w:r>
      <w:r>
        <w:t xml:space="preserve">, meaning long-lived, structured, cross-session stores with explicit write policies. Whether bias compounds faster under tool-augmented memory than under plain conversation is unmeasured, and no work yet audits the memory </w:t>
      </w:r>
      <w:r>
        <w:rPr>
          <w:i/>
        </w:rPr>
        <w:t>write policy</w:t>
      </w:r>
      <w:r>
        <w:t xml:space="preserve"> (what gets persisted about whom) as a fairness object in its own right.</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by operator.</w:t>
      </w:r>
    </w:p>
    <w:p>
      <w:r>
        <w:rPr>
          <w:i/>
        </w:rPr>
        <w:t>GENERATE.</w:t>
      </w:r>
      <w:r>
        <w:t xml:space="preserve"> Merely assigning a persona induces implicit reasoning biases that degrade performance on tasks unrelated to the persona; role assignment is active bias injection, not neutral scaffolding [gupta2023bias][†]. Persona assignment also multiplies toxic degeneration in chat settings [deshpande2023toxicity][†]. Benchmarked agentically, MALIBU uncovers implicit bias specifically in multi-agent role assignments [mirza2025malibu].</w:t>
      </w:r>
    </w:p>
    <w:p>
      <w:r>
        <w:rPr>
          <w:i/>
        </w:rPr>
        <w:t>PRESERVE.</w:t>
      </w:r>
      <w:r>
        <w:t xml:space="preserve"> The chatbot-to-agent edge conducts: biased chatbots become biased agents through their assigned roles, with role assignment also degrading reliability [cao2026from]. This is direct evidence that φ ≈ 1 across the role hand-off, which is what licenses the [†]-transfers above as mechanism evidence.</w:t>
      </w:r>
    </w:p>
    <w:p>
      <w:r>
        <w:rPr>
          <w:i/>
        </w:rPr>
        <w:t>AMPLIFY.</w:t>
      </w:r>
      <w:r>
        <w:t xml:space="preserve"> The central result is that stereotypical bias </w:t>
      </w:r>
      <w:r>
        <w:rPr>
          <w:i/>
        </w:rPr>
        <w:t>emerges, propagates, and is amplified</w:t>
      </w:r>
      <w:r>
        <w:t xml:space="preserve"> across a multi-agent system, making the collective more biased than its members [nguyen2025social]; emergent fairness in multi-agent decision systems is formally not inherited from components [madigan2025emergent]; persona-induced bias scales from single agents to interacting societies [li2025from]; implicit bias surfaces specifically </w:t>
      </w:r>
      <w:r>
        <w:rPr>
          <w:i/>
        </w:rPr>
        <w:t>in the interaction</w:t>
      </w:r>
      <w:r>
        <w:t xml:space="preserve"> between agents [borah2024implicit]; and social hierarchy modulates the dynamics, with rank shaping persuasion and anti-social behavior [campedelli2024want].</w:t>
      </w:r>
    </w:p>
    <w:p>
      <w:r>
        <w:rPr>
          <w:i/>
        </w:rPr>
        <w:t>ATTENUATE.</w:t>
      </w:r>
      <w:r>
        <w:t xml:space="preserve"> The mechanism is confirmed by its inverse: </w:t>
      </w:r>
      <w:r>
        <w:rPr>
          <w:i/>
        </w:rPr>
        <w:t>anonymizing</w:t>
      </w:r>
      <w:r>
        <w:t xml:space="preserve"> agent identities in debate reduces bias [choi2025identity]. The disparity is caused by identity cues at the delegation edge, so deleting the cues installs φ &lt; 1 (P4 in action). Structured debate can also be steered toward equitable cultural alignment [ki2025multiple], and multi-LLM interaction can be engineered as a debiasing mechanism rather than an amplifier [owens2024multi]: the same edge, opposite operator, depending on protocol design.</w:t>
      </w:r>
    </w:p>
    <w:p>
      <w:r>
        <w:rPr>
          <w:b/>
        </w:rPr>
        <w:t>Open edge.</w:t>
      </w:r>
      <w:r>
        <w:t xml:space="preserve"> Evidence is rich on </w:t>
      </w:r>
      <w:r>
        <w:rPr>
          <w:i/>
        </w:rPr>
        <w:t>whether</w:t>
      </w:r>
      <w:r>
        <w:t xml:space="preserve"> multi-agent setups amplify bias but thin on the </w:t>
      </w:r>
      <w:r>
        <w:rPr>
          <w:i/>
        </w:rPr>
        <w:t>delegation policy</w:t>
      </w:r>
      <w:r>
        <w:t xml:space="preserve"> as a controllable knob. There is no metric for assignment disparity (does π_ctrl systematically route sensitive subtasks to lower-capability or more-biased sub-agents as a function of the subject's demographics?), and the amplification factor φ in [nguyen2025social] has been demonstrated but never </w:t>
      </w:r>
      <w:r>
        <w:rPr>
          <w:i/>
        </w:rPr>
        <w:t>bounded</w:t>
      </w:r>
      <w:r>
        <w:t xml:space="preserve"> as a function of network topology or protocol.</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This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by operator.</w:t>
      </w:r>
    </w:p>
    <w:p>
      <w:r>
        <w:rPr>
          <w:i/>
        </w:rPr>
        <w:t>GENERATE.</w:t>
      </w:r>
      <w:r>
        <w:t xml:space="preserve"> Adding explicit reasoning changes, and can worsen, social-bias outcomes relative to direct answering [wu2025reasoning]; hidden veracity-linked beliefs surface </w:t>
      </w:r>
      <w:r>
        <w:rPr>
          <w:i/>
        </w:rPr>
        <w:t>during</w:t>
      </w:r>
      <w:r>
        <w:t xml:space="preserve"> problem-solving reasoning, encoding demographic assumptions a final-answer probe would not detect [zhou2025veracity]; and in LLM-driven software-team composition, the planner allocates roles and tasks with demographic skew, a planning-stage disparity with direct hiring adjacency [parziale2026once].</w:t>
      </w:r>
    </w:p>
    <w:p>
      <w:r>
        <w:rPr>
          <w:i/>
        </w:rPr>
        <w:t>Masking (P2).</w:t>
      </w:r>
      <w:r>
        <w:t xml:space="preserve"> Chain-of-thought explanations systematically misreport the biasing features that actually drive predictions [turpin2023language][†], so a trace that </w:t>
      </w:r>
      <w:r>
        <w:rPr>
          <w:i/>
        </w:rPr>
        <w:t>reads</w:t>
      </w:r>
      <w:r>
        <w:t xml:space="preserve"> fair can implement a disparate decision procedure. Combined with the decisive measurement reframing of [li2025actions] (agent </w:t>
      </w:r>
      <w:r>
        <w:rPr>
          <w:i/>
        </w:rPr>
        <w:t>decisions</w:t>
      </w:r>
      <w:r>
        <w:t xml:space="preserve"> reveal implicit biases that text-level evaluation misses), this locus is doubly hidden: neither the answer nor the stated reasoning is a sound observable. Only the counterfactual structure of the plan (D2 applied to plan objects) is.</w:t>
      </w:r>
    </w:p>
    <w:p>
      <w:r>
        <w:rPr>
          <w:i/>
        </w:rPr>
        <w:t>ATTENUATE.</w:t>
      </w:r>
      <w:r>
        <w:t xml:space="preserve"> The same stage is a lever: reasoning-guided fine-tuning reduces bias [kabra2025reasoning], and fairness reward models can steer decision-making over the reasoning trace [hall2025guiding], interventions that act </w:t>
      </w:r>
      <w:r>
        <w:rPr>
          <w:i/>
        </w:rPr>
        <w:t>at</w:t>
      </w:r>
      <w:r>
        <w:t xml:space="preserve"> the generating edge, as P4 prescribes.</w:t>
      </w:r>
    </w:p>
    <w:p>
      <w:r>
        <w:rPr>
          <w:b/>
        </w:rPr>
        <w:t>Open edge.</w:t>
      </w:r>
      <w:r>
        <w:t xml:space="preserve"> No benchmark scores the </w:t>
      </w:r>
      <w:r>
        <w:rPr>
          <w:i/>
        </w:rPr>
        <w:t>plan itself</w:t>
      </w:r>
      <w:r>
        <w:t xml:space="preserve"> for disparity: are the sub-goals, their ordering, or the resource allocation a counterfactual function of the subject's demographics, independent of the final decision? Plan-allocation disparity is observed paper-by-paper but not operationalized; and by [turpin2023language] any future plan-audit must be counterfactual-behavioral rather than trace-reading, a design constraint the field has not yet absorbed.</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GENERATE,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Evidence, by operator.</w:t>
      </w:r>
    </w:p>
    <w:p>
      <w:r>
        <w:rPr>
          <w:i/>
        </w:rPr>
        <w:t>GENERATE.</w:t>
      </w:r>
      <w:r>
        <w:t xml:space="preserve"> Signaling user identity biases chatbot recommendations toward stereotype rather than genuine preference, collapsing adaptation into stereotyping [kantharuban2024stereotype][†]. The trigger can be a mere name, which cues a presumed cultural identity that reshapes responses [pawar2025presumed]; and the privacy precondition is established by the demonstration that LLMs </w:t>
      </w:r>
      <w:r>
        <w:rPr>
          <w:i/>
        </w:rPr>
        <w:t>infer</w:t>
      </w:r>
      <w:r>
        <w:t xml:space="preserve"> protected attributes (location, income, sex) from innocuous text [staab2023memorization], so an agent can model a user demographically without ever being told. The harm spans domains: personalized education delivers systematically different content quality by inferred student identity [weissburg2024llms]; consumer-fairness evaluations of LLM recommenders find unequal recommendation utility across groups [deldjoo2024cfairllm], with a normative benchmarking framework following [deldjoo2024normative]; and intrinsic socioeconomic bias supplies latent material for personalization to activate [arzaghi2024understanding].</w:t>
      </w:r>
    </w:p>
    <w:p>
      <w:r>
        <w:rPr>
          <w:i/>
        </w:rPr>
        <w:t>PRESERVE (into the alignment signal).</w:t>
      </w:r>
      <w:r>
        <w:t xml:space="preserve"> Dialect is a second channel and shows conduction into training: reasoning performance drops on non-standard dialects [lin2024assessing][†], and reward models penalize African American Language [mire2025rejected]. The disparity is preserved </w:t>
      </w:r>
      <w:r>
        <w:rPr>
          <w:i/>
        </w:rPr>
        <w:t>into R</w:t>
      </w:r>
      <w:r>
        <w:t>, the feedback channel, where §3.6's recurrence takes over.</w:t>
      </w:r>
    </w:p>
    <w:p>
      <w:r>
        <w:rPr>
          <w:i/>
        </w:rPr>
        <w:t>Method cautions.</w:t>
      </w:r>
      <w:r>
        <w:t xml:space="preserve"> Different demographic cue channels (name vs. explicit label vs. dialect) yield inconsistent conclusions about personalization bias, so single-cue audits can mislead [tonneau2026different], the empirical core of P5's adequacy demand; and debiasing personalized models trades off against utility [vijjini2024exploring], so ATTENUATE edges here are not free.</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w:t>
      </w:r>
    </w:p>
    <w:p>
      <w:r>
        <w:rPr>
          <w:b/>
        </w:rPr>
        <w:t>Evidence, by operator.</w:t>
      </w:r>
    </w:p>
    <w:p>
      <w:r>
        <w:rPr>
          <w:i/>
        </w:rPr>
        <w:t>AMPLIFY, intra-trajectory (turns).</w:t>
      </w:r>
      <w:r>
        <w:t xml:space="preserve"> Fairness degrades over multi-turn dialogue [fan2024fairmt], and implicit bias accumulates and propagates specifically in LLM </w:t>
      </w:r>
      <w:r>
        <w:rPr>
          <w:i/>
        </w:rPr>
        <w:t>long-term memory</w:t>
      </w:r>
      <w:r>
        <w:t>, making the agent more biased the longer it persists state [ma2026implicit] (the C2 × t cell). Sycophancy is a named driver with a known origin: human-preference training itself induces models to conform to user views [sharma2024understanding][†], so the conforming pressure is baked into π by R before any dialogue begins. Multi-turn measurements then quantify the drift it produces: progressive conformity ("truth decay") across turns [liu2025truth] and sycophancy growth over extended dialogues [hong2025measuring]. An agent that incrementally adopts a user's biased framing is conducting that user's prejudice into its consequential actions.</w:t>
      </w:r>
    </w:p>
    <w:p>
      <w:r>
        <w:rPr>
          <w:i/>
        </w:rPr>
        <w:t>AMPLIFY, deployment loops (retraining cycles).</w:t>
      </w:r>
      <w:r>
        <w:t xml:space="preserve"> Training on a model's own synthetic outputs amplifies bias across generations [wyllie2024fairness]; the self-consuming performative loop has been characterized for LLMs specifically, with proposed remedies [wang2026observations]; and the recommender-systems lineage supplies the canonical feedback-loop amplification result the LLM work inherits [mansoury2020feedback]. Together these are the clearest empirical instances of the φ_fb ≥ 1 regime.</w:t>
      </w:r>
    </w:p>
    <w:p>
      <w:r>
        <w:rPr>
          <w:i/>
        </w:rPr>
        <w:t>Formal foundations (fair RL and sequential decision-making).</w:t>
      </w:r>
      <w:r>
        <w:t xml:space="preserve"> The sequential-fairness literature names the formal target: long-term fairness in sequential decision-making is definable and achievable under explicit dynamics [hu2022achieving]; static fairness constraints provably can </w:t>
      </w:r>
      <w:r>
        <w:rPr>
          <w:i/>
        </w:rPr>
        <w:t>fail</w:t>
      </w:r>
      <w:r>
        <w:t xml:space="preserve"> to deliver fairness over a horizon, motivating criteria like the equal long-term benefit rate [xu2024adapting]; and simulation-based long-term fairness analysis of ML-enabled systems supplies the systems-level tooling an agentic drift audit would need [she2025fairsense]. In BCF terms, this literature is the theory of choosing interventions that force φ_fb &lt; 1. These are the only ATTENUATE results that exist for this axis, and none have yet been applied to an LLM agent.</w:t>
      </w:r>
    </w:p>
    <w:p>
      <w:r>
        <w:rPr>
          <w:b/>
        </w:rPr>
        <w:t>Open edge.</w:t>
      </w:r>
      <w:r>
        <w:t xml:space="preserve"> The sequential-fairness theory [hu2022achieving, xu2024adapting] and the LLM-drift empirics [fan2024fairmt, ma2026implicit] have not been joined: no work evaluates an </w:t>
      </w:r>
      <w:r>
        <w:rPr>
          <w:i/>
        </w:rPr>
        <w:t>LLM agent</w:t>
      </w:r>
      <w:r>
        <w:t xml:space="preserve"> against a formal long-term-fairness criterion over a realistic multi-session deployment. Equivalently, nobody has estimated φ_fb for a deployed agent. The field's most consequential fairness regime is essentially unmeasured.</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r>
        <w:rPr>
          <w:b/>
        </w:rPr>
        <w:t>Table 1: Entry loci of the Bias Conduction Framework: harm mechanism, dominant operators, representative evidence, and measurement maturity.</w:t>
      </w:r>
      <w:r>
        <w:t xml:space="preserve"> Maturity: ●●● = replicated findings </w:t>
      </w:r>
      <w:r>
        <w:rPr>
          <w:i/>
        </w:rPr>
        <w:t>and</w:t>
      </w:r>
      <w:r>
        <w:t xml:space="preserve"> standard benchmark; ●●○ = replicated findings, no standard benchmark; ●○○ = isolated studies; ○○○ = unmeasured. [†] = transferred single-turn/chatbot evidence (§3.0.6).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Locus</w:t>
            </w:r>
          </w:p>
        </w:tc>
        <w:tc>
          <w:tcPr>
            <w:tcW w:type="dxa" w:w="1728"/>
          </w:tcPr>
          <w:p>
            <w:r>
              <w:rPr>
                <w:b/>
              </w:rPr>
              <w:t>Harm mechanism</w:t>
            </w:r>
          </w:p>
        </w:tc>
        <w:tc>
          <w:tcPr>
            <w:tcW w:type="dxa" w:w="1728"/>
          </w:tcPr>
          <w:p>
            <w:r>
              <w:rPr>
                <w:b/>
              </w:rPr>
              <w:t>Dominant operators</w:t>
            </w:r>
          </w:p>
        </w:tc>
        <w:tc>
          <w:tcPr>
            <w:tcW w:type="dxa" w:w="1728"/>
          </w:tcPr>
          <w:p>
            <w:r>
              <w:rPr>
                <w:b/>
              </w:rPr>
              <w:t>Representative evidence</w:t>
            </w:r>
          </w:p>
        </w:tc>
        <w:tc>
          <w:tcPr>
            <w:tcW w:type="dxa" w:w="1728"/>
          </w:tcPr>
          <w:p>
            <w:r>
              <w:rPr>
                <w:b/>
              </w:rPr>
              <w:t>Maturity</w:t>
            </w:r>
          </w:p>
        </w:tc>
      </w:tr>
      <w:tr>
        <w:tc>
          <w:tcPr>
            <w:tcW w:type="dxa" w:w="1728"/>
          </w:tcPr>
          <w:p>
            <w:r>
              <w:rPr>
                <w:b/>
              </w:rPr>
              <w:t>C1</w:t>
            </w:r>
            <w:r>
              <w:t xml:space="preserve"> Tool/API selection</w:t>
            </w:r>
          </w:p>
        </w:tc>
        <w:tc>
          <w:tcPr>
            <w:tcW w:type="dxa" w:w="1728"/>
          </w:tcPr>
          <w:p>
            <w:r>
              <w:t>Discriminatory routing over a registry; selection skew conducted into all downstream evidence</w:t>
            </w:r>
          </w:p>
        </w:tc>
        <w:tc>
          <w:tcPr>
            <w:tcW w:type="dxa" w:w="1728"/>
          </w:tcPr>
          <w:p>
            <w:r>
              <w:t>GENERATE, then PRESERVE</w:t>
            </w:r>
          </w:p>
        </w:tc>
        <w:tc>
          <w:tcPr>
            <w:tcW w:type="dxa" w:w="1728"/>
          </w:tcPr>
          <w:p>
            <w:r>
              <w:t>[blankenstein2025biasbusters, sneh2025tooltweak, xu2026ducx, tang2026your]</w:t>
            </w:r>
          </w:p>
        </w:tc>
        <w:tc>
          <w:tcPr>
            <w:tcW w:type="dxa" w:w="1728"/>
          </w:tcPr>
          <w:p>
            <w:r>
              <w:t>●○○</w:t>
            </w:r>
          </w:p>
        </w:tc>
      </w:tr>
      <w:tr>
        <w:tc>
          <w:tcPr>
            <w:tcW w:type="dxa" w:w="1728"/>
          </w:tcPr>
          <w:p>
            <w:r>
              <w:rPr>
                <w:b/>
              </w:rPr>
              <w:t>C2</w:t>
            </w:r>
            <w:r>
              <w:t xml:space="preserve"> Memory &amp; retrieval</w:t>
            </w:r>
          </w:p>
        </w:tc>
        <w:tc>
          <w:tcPr>
            <w:tcW w:type="dxa" w:w="1728"/>
          </w:tcPr>
          <w:p>
            <w:r>
              <w:t>Retrieval injection (grounding creates disparity); accumulation across turns</w:t>
            </w:r>
          </w:p>
        </w:tc>
        <w:tc>
          <w:tcPr>
            <w:tcW w:type="dxa" w:w="1728"/>
          </w:tcPr>
          <w:p>
            <w:r>
              <w:t>GENERATE + AMPLIFY</w:t>
            </w:r>
          </w:p>
        </w:tc>
        <w:tc>
          <w:tcPr>
            <w:tcW w:type="dxa" w:w="1728"/>
          </w:tcPr>
          <w:p>
            <w:r>
              <w:t>[wu2024rag, hu2024free, wang2025bias, fan2024fairmt, kim2024fair]</w:t>
            </w:r>
          </w:p>
        </w:tc>
        <w:tc>
          <w:tcPr>
            <w:tcW w:type="dxa" w:w="1728"/>
          </w:tcPr>
          <w:p>
            <w:r>
              <w:t>●●○</w:t>
            </w:r>
          </w:p>
        </w:tc>
      </w:tr>
      <w:tr>
        <w:tc>
          <w:tcPr>
            <w:tcW w:type="dxa" w:w="1728"/>
          </w:tcPr>
          <w:p>
            <w:r>
              <w:rPr>
                <w:b/>
              </w:rPr>
              <w:t>C3</w:t>
            </w:r>
            <w:r>
              <w:t xml:space="preserve"> Delegation &amp; roles</w:t>
            </w:r>
          </w:p>
        </w:tc>
        <w:tc>
          <w:tcPr>
            <w:tcW w:type="dxa" w:w="1728"/>
          </w:tcPr>
          <w:p>
            <w:r>
              <w:t>Persona/role injection; emergent inter-agent amplification</w:t>
            </w:r>
          </w:p>
        </w:tc>
        <w:tc>
          <w:tcPr>
            <w:tcW w:type="dxa" w:w="1728"/>
          </w:tcPr>
          <w:p>
            <w:r>
              <w:t>GENERATE + AMPLIFY</w:t>
            </w:r>
          </w:p>
        </w:tc>
        <w:tc>
          <w:tcPr>
            <w:tcW w:type="dxa" w:w="1728"/>
          </w:tcPr>
          <w:p>
            <w:r>
              <w:t>[gupta2023bias, cao2026from, nguyen2025social, madigan2025emergent, choi2025identity]</w:t>
            </w:r>
          </w:p>
        </w:tc>
        <w:tc>
          <w:tcPr>
            <w:tcW w:type="dxa" w:w="1728"/>
          </w:tcPr>
          <w:p>
            <w:r>
              <w:t>●●○</w:t>
            </w:r>
          </w:p>
        </w:tc>
      </w:tr>
      <w:tr>
        <w:tc>
          <w:tcPr>
            <w:tcW w:type="dxa" w:w="1728"/>
          </w:tcPr>
          <w:p>
            <w:r>
              <w:rPr>
                <w:b/>
              </w:rPr>
              <w:t>C4</w:t>
            </w:r>
            <w:r>
              <w:t xml:space="preserve"> Planning &amp; decomposition</w:t>
            </w:r>
          </w:p>
        </w:tc>
        <w:tc>
          <w:tcPr>
            <w:tcW w:type="dxa" w:w="1728"/>
          </w:tcPr>
          <w:p>
            <w:r>
              <w:t>Reasoning introduces disparity into plan structure; unfaithful traces mask it</w:t>
            </w:r>
          </w:p>
        </w:tc>
        <w:tc>
          <w:tcPr>
            <w:tcW w:type="dxa" w:w="1728"/>
          </w:tcPr>
          <w:p>
            <w:r>
              <w:t>GENERATE (P2-masked)</w:t>
            </w:r>
          </w:p>
        </w:tc>
        <w:tc>
          <w:tcPr>
            <w:tcW w:type="dxa" w:w="1728"/>
          </w:tcPr>
          <w:p>
            <w:r>
              <w:t>[wu2025reasoning, zhou2025veracity, li2025actions, parziale2026once, turpin2023language][†]</w:t>
            </w:r>
          </w:p>
        </w:tc>
        <w:tc>
          <w:tcPr>
            <w:tcW w:type="dxa" w:w="1728"/>
          </w:tcPr>
          <w:p>
            <w:r>
              <w:t>●○○</w:t>
            </w:r>
          </w:p>
        </w:tc>
      </w:tr>
      <w:tr>
        <w:tc>
          <w:tcPr>
            <w:tcW w:type="dxa" w:w="1728"/>
          </w:tcPr>
          <w:p>
            <w:r>
              <w:rPr>
                <w:b/>
              </w:rPr>
              <w:t>C5</w:t>
            </w:r>
            <w:r>
              <w:t xml:space="preserve"> User modeling &amp; personalization</w:t>
            </w:r>
          </w:p>
        </w:tc>
        <w:tc>
          <w:tcPr>
            <w:tcW w:type="dxa" w:w="1728"/>
          </w:tcPr>
          <w:p>
            <w:r>
              <w:t>Inferred-attribute stereotyping; skewed default user model; dialect penalties conducted into alignment</w:t>
            </w:r>
          </w:p>
        </w:tc>
        <w:tc>
          <w:tcPr>
            <w:tcW w:type="dxa" w:w="1728"/>
          </w:tcPr>
          <w:p>
            <w:r>
              <w:t>GENERATE, PRESERVE into R</w:t>
            </w:r>
          </w:p>
        </w:tc>
        <w:tc>
          <w:tcPr>
            <w:tcW w:type="dxa" w:w="1728"/>
          </w:tcPr>
          <w:p>
            <w:r>
              <w:t>[kantharuban2024stereotype, staab2023memorization, pawar2025presumed, mire2025rejected, tonneau2026different]</w:t>
            </w:r>
          </w:p>
        </w:tc>
        <w:tc>
          <w:tcPr>
            <w:tcW w:type="dxa" w:w="1728"/>
          </w:tcPr>
          <w:p>
            <w:r>
              <w:t>●●○</w:t>
            </w:r>
          </w:p>
        </w:tc>
      </w:tr>
      <w:tr>
        <w:tc>
          <w:tcPr>
            <w:tcW w:type="dxa" w:w="1728"/>
          </w:tcPr>
          <w:p>
            <w:r>
              <w:rPr>
                <w:b/>
              </w:rPr>
              <w:t>T-axis</w:t>
            </w:r>
            <w:r>
              <w:t xml:space="preserve"> Long-horizon drift (any locus × time)</w:t>
            </w:r>
          </w:p>
        </w:tc>
        <w:tc>
          <w:tcPr>
            <w:tcW w:type="dxa" w:w="1728"/>
          </w:tcPr>
          <w:p>
            <w:r>
              <w:t>Feedback recurrence φ_fb: sycophantic conformity, memory ossification, self-consuming retraining</w:t>
            </w:r>
          </w:p>
        </w:tc>
        <w:tc>
          <w:tcPr>
            <w:tcW w:type="dxa" w:w="1728"/>
          </w:tcPr>
          <w:p>
            <w:r>
              <w:t>AMPLIFY</w:t>
            </w:r>
          </w:p>
        </w:tc>
        <w:tc>
          <w:tcPr>
            <w:tcW w:type="dxa" w:w="1728"/>
          </w:tcPr>
          <w:p>
            <w:r>
              <w:t>[ma2026implicit, liu2025truth, wyllie2024fairness, xu2024adapting, hu2022achieving]</w:t>
            </w:r>
          </w:p>
        </w:tc>
        <w:tc>
          <w:tcPr>
            <w:tcW w:type="dxa" w:w="1728"/>
          </w:tcPr>
          <w:p>
            <w:r>
              <w:t>●○○ (theory mature; agent empirics nascent)</w:t>
            </w:r>
          </w:p>
        </w:tc>
      </w:tr>
    </w:tbl>
    <w:p/>
    <w:p>
      <w:r>
        <w:rPr>
          <w:i/>
        </w:rPr>
        <w:t>Takeaway:</w:t>
      </w:r>
      <w:r>
        <w:t xml:space="preserve"> half the pipeline (tool selection, planning, and the entire temporal axis) sits at ●○○ despite documented real-world harm in hiring, lending, and clinical deployments; no locus reaches ●●●, because no standard benchmark instruments any component counterfactually.</w:t>
      </w:r>
    </w:p>
    <w:p>
      <w:pPr>
        <w:pStyle w:val="Heading2"/>
      </w:pPr>
      <w:r>
        <w:t>3.7 Compounding Across the Pipeline: Proposition P3 and Its Limits</w:t>
      </w:r>
    </w:p>
    <w:p>
      <w:r>
        <w:t xml:space="preserve">The six entries are not additive, and Proposition P3 says exactly when they are not: </w:t>
      </w:r>
      <w:r>
        <w:rPr>
          <w:b/>
        </w:rPr>
        <w:t>trajectory disparity is super-additive (Δ_τ &gt; Σ_c Δ_c) if and only if an AMPLIFY or GENERATE edge lies on a conduction path.</w:t>
      </w:r>
      <w:r>
        <w:t xml:space="preserve"> This is the formal content of what we call the </w:t>
      </w:r>
      <w:r>
        <w:rPr>
          <w:i/>
        </w:rPr>
        <w:t>agentic multiplier</w:t>
      </w:r>
      <w:r>
        <w:t xml:space="preserve">, and it converts a rhetorical worry ("agents make bias worse") into a checkable property of a logged trace: estimate the φ_e's; super-additivity is present precisely where some φ_e &gt; 1 or a fresh entry appears mid-path. Conversely (and this direction is just as consequential for auditors), if every edge in a pipeline is PRESERVE or ATTENUATE,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fairness in multi-agent decision systems is formally </w:t>
      </w:r>
      <w:r>
        <w:rPr>
          <w:i/>
        </w:rPr>
        <w:t>emergent</w:t>
      </w:r>
      <w:r>
        <w:t>, not inherited, so component audits provably cannot be composed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(results pending). Until such measurements exist, claims that "agentic bias compounds across the pipeline" (including informal versions in prior drafts of this survey) should be read as hypotheses licensed by P3's mechanism, not as established findings.</w:t>
      </w:r>
    </w:p>
    <w:p>
      <w:r>
        <w:t>The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(does the demographic framing of a profile change </w:t>
      </w:r>
      <w:r>
        <w:rPr>
          <w:i/>
        </w:rPr>
        <w:t>which</w:t>
      </w:r>
      <w:r>
        <w:t xml:space="preserve"> verification API is invoked [blankenstein2025biasbusters], with vendor-controlled descriptions steerable adversarially [sneh2025tooltweak]?)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(results pending):</w:t>
      </w:r>
    </w:p>
    <w:p>
      <w:r>
        <w:t xml:space="preserve">1. </w:t>
      </w:r>
      <w:r>
        <w:rPr>
          <w:b/>
        </w:rPr>
        <w:t>Instrument the trace.</w:t>
      </w:r>
      <w:r>
        <w:t xml:space="preserve"> Log every component interface of D1 (tool calls and registry state, retrieved sets, memory reads/writes, inter-agent messages, plan objects, final action), not just the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steering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$R$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This is the sequential-screening analogue of the fair-sequential-decision results: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$R$,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(results pending).</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already in place: tool-selection skew is measurable and manipulable [blankenstein2025biasbusters, sneh2025tooltweak], rides on the same surface-form sensitivities as option-order bias [pezeshkpour2023large], and accounts for an attributable share of total disparity in the one clinical agent where the decomposition has been run [xu2026ducx].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(results pending).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or upstream of</w:t>
      </w:r>
      <w:r>
        <w:t xml:space="preserve"> the entry locus producing Δ\_c </w:t>
      </w:r>
      <w:r>
        <w:rPr>
          <w:b/>
        </w:rPr>
        <w:t>and</w:t>
      </w:r>
      <w:r>
        <w:t xml:space="preserve"> on the active conduction operator φ at that locus. When an intervention operates downstream of the entry locus, it may suppress the observable symptom (the final text token) while the operator continues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This is the BCF's component-locality principle (P1):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inserts fairness reward models into the planning trace, scoring intermediate reasoning steps against demographic parity criteria, which functions as a component-level guardrail on the planning stage's PRESERVE operator, converting it toward ATTENUATE. This approach is particularly significant because it is the only corpus paper that </w:t>
      </w:r>
      <w:r>
        <w:rPr>
          <w:i/>
        </w:rPr>
        <w:t>scores the plan itself</w:t>
      </w:r>
      <w:r>
        <w:t xml:space="preserve"> for fairness rather than scoring the plan's output, which corresponds to D2's Δ\_c measurement at the planning locus rather than the trajectory endpoint.</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(plan scoring)</w:t>
            </w:r>
          </w:p>
        </w:tc>
        <w:tc>
          <w:tcPr>
            <w:tcW w:type="dxa" w:w="1440"/>
          </w:tcPr>
          <w:p>
            <w:r>
              <w:t>Planning trace</w:t>
            </w:r>
          </w:p>
        </w:tc>
        <w:tc>
          <w:tcPr>
            <w:tcW w:type="dxa" w:w="1440"/>
          </w:tcPr>
          <w:p>
            <w:r>
              <w:t>Fairness reward model on plan</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PRESERVE or AMPLIFY on zero user-level input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 reward on planning trace [hall2025guiding]; reasoning-guided SFT [kabra2025reasoning]</w:t>
            </w:r>
          </w:p>
        </w:tc>
        <w:tc>
          <w:tcPr>
            <w:tcW w:type="dxa" w:w="1728"/>
          </w:tcPr>
          <w:p>
            <w:r>
              <w:rPr>
                <w:b/>
              </w:rPr>
              <w:t>Partial</w:t>
            </w:r>
            <w:r>
              <w:t xml:space="preserve"> (planning-trace scoring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6. Empirical Study: A Cross-Framework Bias Audit: Protocol and Design</w:t>
      </w:r>
    </w:p>
    <w:p>
      <w:r>
        <w:t xml:space="preserve">The taxonomy of §3 argues that fairness in LLM-based agents is a property of pipeline components and their actions. The Bias Conduction Framework (BCF) formalizes this: P2 (Masking) holds that component-level disparity Δ_c may be invisible to metrics restricted to the output node; P3 (Super-additivity) holds that trajectory disparity Δ_τ ≈ Σ_c Δ_c · Π φ_e can exceed the sum of per-component disparities when conduction operators φ_e &gt; 1 along active pipeline edges. This section registers a </w:t>
      </w:r>
      <w:r>
        <w:rPr>
          <w:b/>
        </w:rPr>
        <w:t>cross-framework bias audit</w:t>
      </w:r>
      <w:r>
        <w:t xml:space="preserve"> that serves as the BCF's primary falsification instrument: the same consequential-decision task is routed through four agent configurations (C0 to C3) spanning the BCF's conduction-operator space, and disparity is measured simultaneously at the answer level and at the action level.</w:t>
      </w:r>
    </w:p>
    <w:p>
      <w:r>
        <w:rPr>
          <w:b/>
        </w:rPr>
        <w:t>The protocol is fully specified below. The run has not been executed at the time of this writing. Section 6.5 holds a clean "Results (pending)" placeholder. No empirical claims from this study appear elsewhere in this manuscript.</w:t>
      </w:r>
    </w:p>
    <w:p>
      <w:pPr>
        <w:pStyle w:val="Heading2"/>
      </w:pPr>
      <w:r>
        <w:t>6.1 Experimental Setup</w:t>
      </w:r>
    </w:p>
    <w:p>
      <w:r>
        <w:rPr>
          <w:b/>
        </w:rPr>
        <w:t>Task and domain.</w:t>
      </w:r>
      <w:r>
        <w:t xml:space="preserve"> The task is resume screening for a fixed job requisition, with loan-application triage as a pre-registered replication domain. Both are chosen because non-agentic LLM disparities are already documented in the corpus, providing a calibrated C0 baseline: hiring disparities are established by [nghiem2024you], [veldanda2023emily], [wilson2024gender], and [an2025measuring]; lending disparities by [bowen2024measuring], [feng2023empowering], and [azime2025accept]. Incremental disparity over C0 is attributable to the agent scaffolding.</w:t>
      </w:r>
    </w:p>
    <w:p>
      <w:r>
        <w:rPr>
          <w:b/>
        </w:rPr>
        <w:t>Profiles and perturbation.</w:t>
      </w:r>
      <w:r>
        <w:t xml:space="preserve"> All profiles are fully synthetic (no IRB required). Base profiles hold qualifications fixed; counterfactual variants substitute only the demographic signal, primarily via candidate names following [nghiem2024you] and [pawar2025presumed], and secondarily via explicit demographic cue labels. Because cue format is a measurement confound [tonneau2026different], the cue channel is varied as a controlled factor.</w:t>
      </w:r>
    </w:p>
    <w:p>
      <w:r>
        <w:rPr>
          <w:b/>
        </w:rPr>
        <w:t>Agent configurations.</w:t>
      </w:r>
      <w:r>
        <w:t xml:space="preserve"> The independent variable is architecture; base model, prompt scaffold, and decision rubric are held constant across all four conditions. Models are version-pinned and temperature is fixed at zero.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Architecture</w:t>
            </w:r>
          </w:p>
        </w:tc>
        <w:tc>
          <w:tcPr>
            <w:tcW w:type="dxa" w:w="2160"/>
          </w:tcPr>
          <w:p>
            <w:r>
              <w:rPr>
                <w:b/>
              </w:rPr>
              <w:t>BCF conduction profile</w:t>
            </w:r>
          </w:p>
        </w:tc>
        <w:tc>
          <w:tcPr>
            <w:tcW w:type="dxa" w:w="2160"/>
          </w:tcPr>
          <w:p>
            <w:r>
              <w:rPr>
                <w:b/>
              </w:rPr>
              <w:t>Primary proposition</w:t>
            </w:r>
          </w:p>
        </w:tc>
      </w:tr>
      <w:tr>
        <w:tc>
          <w:tcPr>
            <w:tcW w:type="dxa" w:w="2160"/>
          </w:tcPr>
          <w:p>
            <w:r>
              <w:t>C0</w:t>
            </w:r>
          </w:p>
        </w:tc>
        <w:tc>
          <w:tcPr>
            <w:tcW w:type="dxa" w:w="2160"/>
          </w:tcPr>
          <w:p>
            <w:r>
              <w:t>Single-call LLM, no tools</w:t>
            </w:r>
          </w:p>
        </w:tc>
        <w:tc>
          <w:tcPr>
            <w:tcW w:type="dxa" w:w="2160"/>
          </w:tcPr>
          <w:p>
            <w:r>
              <w:t>No pipeline edges active (baseline)</w:t>
            </w:r>
          </w:p>
        </w:tc>
        <w:tc>
          <w:tcPr>
            <w:tcW w:type="dxa" w:w="2160"/>
          </w:tcPr>
          <w:p>
            <w:r>
              <w:t>P2 Masking: output-only gap</w:t>
            </w:r>
          </w:p>
        </w:tc>
      </w:tr>
      <w:tr>
        <w:tc>
          <w:tcPr>
            <w:tcW w:type="dxa" w:w="2160"/>
          </w:tcPr>
          <w:p>
            <w:r>
              <w:t>C1</w:t>
            </w:r>
          </w:p>
        </w:tc>
        <w:tc>
          <w:tcPr>
            <w:tcW w:type="dxa" w:w="2160"/>
          </w:tcPr>
          <w:p>
            <w:r>
              <w:t>Single-LLM with tool use [schick2023toolformer]</w:t>
            </w:r>
          </w:p>
        </w:tc>
        <w:tc>
          <w:tcPr>
            <w:tcW w:type="dxa" w:w="2160"/>
          </w:tcPr>
          <w:p>
            <w:r>
              <w:t>φ active at tool-selection edge</w:t>
            </w:r>
          </w:p>
        </w:tc>
        <w:tc>
          <w:tcPr>
            <w:tcW w:type="dxa" w:w="2160"/>
          </w:tcPr>
          <w:p>
            <w:r>
              <w:t>P1 Locality: edge isolable</w:t>
            </w:r>
          </w:p>
        </w:tc>
      </w:tr>
      <w:tr>
        <w:tc>
          <w:tcPr>
            <w:tcW w:type="dxa" w:w="2160"/>
          </w:tcPr>
          <w:p>
            <w:r>
              <w:t>C2</w:t>
            </w:r>
          </w:p>
        </w:tc>
        <w:tc>
          <w:tcPr>
            <w:tcW w:type="dxa" w:w="2160"/>
          </w:tcPr>
          <w:p>
            <w:r>
              <w:t>ReAct reasoning-and-acting [yao2023react]</w:t>
            </w:r>
          </w:p>
        </w:tc>
        <w:tc>
          <w:tcPr>
            <w:tcW w:type="dxa" w:w="2160"/>
          </w:tcPr>
          <w:p>
            <w:r>
              <w:t>φ cumulative over reasoning + retrieval</w:t>
            </w:r>
          </w:p>
        </w:tc>
        <w:tc>
          <w:tcPr>
            <w:tcW w:type="dxa" w:w="2160"/>
          </w:tcPr>
          <w:p>
            <w:r>
              <w:t>P3 Super-additivity: two-edge</w:t>
            </w:r>
          </w:p>
        </w:tc>
      </w:tr>
      <w:tr>
        <w:tc>
          <w:tcPr>
            <w:tcW w:type="dxa" w:w="2160"/>
          </w:tcPr>
          <w:p>
            <w:r>
              <w:t>C3</w:t>
            </w:r>
          </w:p>
        </w:tc>
        <w:tc>
          <w:tcPr>
            <w:tcW w:type="dxa" w:w="2160"/>
          </w:tcPr>
          <w:p>
            <w:r>
              <w:t>Two-agent delegation/debate [wu2023autogen]</w:t>
            </w:r>
          </w:p>
        </w:tc>
        <w:tc>
          <w:tcPr>
            <w:tcW w:type="dxa" w:w="2160"/>
          </w:tcPr>
          <w:p>
            <w:r>
              <w:t>φ at delegation edge; GENERATE possible</w:t>
            </w:r>
          </w:p>
        </w:tc>
        <w:tc>
          <w:tcPr>
            <w:tcW w:type="dxa" w:w="2160"/>
          </w:tcPr>
          <w:p>
            <w:r>
              <w:t>P3 + P4: multiplier + matching</w:t>
            </w:r>
          </w:p>
        </w:tc>
      </w:tr>
    </w:tbl>
    <w:p/>
    <w:p>
      <w:r>
        <w:rPr>
          <w:i/>
        </w:rPr>
        <w:t>Takeaway: The C0 to C3 ladder directly operationalizes BCF conduction-operator profiles; each configuration adds exactly one class of pipeline edge, enabling controlled attribution of disparity increments.</w:t>
      </w:r>
    </w:p>
    <w:p>
      <w:pPr>
        <w:pStyle w:val="Heading2"/>
      </w:pPr>
      <w:r>
        <w:t>6.2 Metrics</w:t>
      </w:r>
    </w:p>
    <w:p>
      <w:r>
        <w:rPr>
          <w:b/>
        </w:rPr>
        <w:t>Answer-level disparity.</w:t>
      </w:r>
      <w:r>
        <w:t xml:space="preserve"> The </w:t>
      </w:r>
      <w:r>
        <w:rPr>
          <w:b/>
        </w:rPr>
        <w:t>Counterfactual Flip Rate (CFR)</w:t>
      </w:r>
      <w:r>
        <w:t xml:space="preserve"> and </w:t>
      </w:r>
      <w:r>
        <w:rPr>
          <w:b/>
        </w:rPr>
        <w:t>Mean Absolute Score Difference (MASD)</w:t>
      </w:r>
      <w:r>
        <w:t xml:space="preserve"> of [mayilvaghanan2026counterfactual] are computed at the output node, corresponding to D2's Δ_c restricted to the final verdict. Reporting both a binary-flip and a continuous-magnitude statistic follows the intervention-consistency design of [basu2026names].</w:t>
      </w:r>
    </w:p>
    <w:p>
      <w:r>
        <w:rPr>
          <w:b/>
        </w:rPr>
        <w:t>Action-level disparity.</w:t>
      </w:r>
      <w:r>
        <w:t xml:space="preserve"> For C1 to C3, three Δ_c quantities are computed at intermediate pipeline edges:</w:t>
      </w:r>
    </w:p>
    <w:p>
      <w:pPr>
        <w:pStyle w:val="ListBullet"/>
      </w:pPr>
      <w:r>
        <w:rPr>
          <w:i/>
        </w:rPr>
        <w:t>Tool-invocation disparity</w:t>
      </w:r>
      <w:r>
        <w:t xml:space="preserve"> (Δ_c at tool-selection): differential distribution over invoked tools across counterfactual conditions, operationalizing [blankenstein2025biasbusters] and [xu2026ducx].</w:t>
      </w:r>
    </w:p>
    <w:p>
      <w:pPr>
        <w:pStyle w:val="ListBullet"/>
      </w:pPr>
      <w:r>
        <w:rPr>
          <w:i/>
        </w:rPr>
        <w:t>Decision-action disparity</w:t>
      </w:r>
      <w:r>
        <w:t xml:space="preserve"> (Δ_c at planning/output): differential advance/reject or approve/deny rates, per [li2025actions].</w:t>
      </w:r>
    </w:p>
    <w:p>
      <w:pPr>
        <w:pStyle w:val="ListBullet"/>
      </w:pPr>
      <w:r>
        <w:rPr>
          <w:i/>
        </w:rPr>
        <w:t>Escalation/deferral disparity</w:t>
      </w:r>
      <w:r>
        <w:t xml:space="preserve"> (Δ_c at routing): differential rates of human escalation or information-request, a channel where P2 Masking operates at the routing level.</w:t>
      </w:r>
    </w:p>
    <w:p>
      <w:r>
        <w:t>All six quantities are reported on a comparable counterfactual-pair footing in a single results table, making the P2-Masking gap directly quantifiable.</w:t>
      </w:r>
    </w:p>
    <w:p>
      <w:pPr>
        <w:pStyle w:val="Heading2"/>
      </w:pPr>
      <w:r>
        <w:t>6.3 Hypotheses</w:t>
      </w:r>
    </w:p>
    <w:p>
      <w:r>
        <w:rPr>
          <w:b/>
        </w:rPr>
        <w:t>H1: P2 Masking is real.</w:t>
      </w:r>
      <w:r>
        <w:t xml:space="preserve"> In at least one configuration, answer-level CFR/MASD is small or statistically indistinguishable from C0 while action-level Δ_c is materially larger [li2025actions].</w:t>
      </w:r>
    </w:p>
    <w:p>
      <w:r>
        <w:rPr>
          <w:b/>
        </w:rPr>
        <w:t>H2: P3 Super-additivity is observable.</w:t>
      </w:r>
      <w:r>
        <w:t xml:space="preserve"> Total trajectory disparity is non-decreasing along C0 ⪯ C1 ⪯ C2 ⪯ C3, with C3 exhibiting the largest magnitude, consistent with multi-agent amplification [madigan2025emergent, nguyen2025social, cao2026from]. A registered counter-hypothesis: C3 debate can reduce disparity via anonymization [choi2025identity] or ensemble debiasing [owens2024multi]; the sign of the C3 effect is an open empirical question.</w:t>
      </w:r>
    </w:p>
    <w:p>
      <w:r>
        <w:t>Statistical treatment: paired contrasts, 95% confidence intervals, Bonferroni correction across the configuration × cue-channel grid; null results reported as such.</w:t>
      </w:r>
    </w:p>
    <w:p>
      <w:pPr>
        <w:pStyle w:val="Heading2"/>
      </w:pPr>
      <w:r>
        <w:t>6.4 The Role of This Audit</w:t>
      </w:r>
    </w:p>
    <w:p>
      <w:r>
        <w:t xml:space="preserve">This study is deliberately modest in scale. It serves three purposes. First, it provides a </w:t>
      </w:r>
      <w:r>
        <w:rPr>
          <w:b/>
        </w:rPr>
        <w:t>constructive existence proof</w:t>
      </w:r>
      <w:r>
        <w:t xml:space="preserve"> of P2 Masking and P3 Super-additivity as empirically measurable phenomena. Second, it establishes a </w:t>
      </w:r>
      <w:r>
        <w:rPr>
          <w:b/>
        </w:rPr>
        <w:t>methodological template</w:t>
      </w:r>
      <w:r>
        <w:t xml:space="preserve"> (pinned models, synthetic counterfactuals, paired answer/action metrics, BCF-labeled configurations) that is portable across domains. Third, it serves as a </w:t>
      </w:r>
      <w:r>
        <w:rPr>
          <w:b/>
        </w:rPr>
        <w:t>design seed</w:t>
      </w:r>
      <w:r>
        <w:t xml:space="preserve"> for the acting-agent benchmark called for in §8.1. FairMedAgent, a forthcoming companion benchmark for clinical acting agents evaluated under matched demographic counterfactuals, is one scaled realization of this instrumentation; its development is independent of this survey's claims.</w:t>
      </w:r>
    </w:p>
    <w:p>
      <w:pPr>
        <w:pStyle w:val="Heading2"/>
      </w:pPr>
      <w:r>
        <w:t>6.5 Results (Pending)</w:t>
      </w:r>
    </w:p>
    <w:p>
      <w:r>
        <w:rPr>
          <w:i/>
        </w:rPr>
        <w:t>The protocol is fully specified above; execution is scheduled. Camera-ready will report CFR, MASD, and action-level disparity (tool-invocation, decision-action, escalation) for C0 to C3 across all cue channels, with 95% confidence intervals and corrected tests. The synthetic profile set, prompts, model identifiers, and analysis code will be released for exact reproduction. No results are asserted at this stage; H1 and H2 are pre-registered predictions.</w:t>
      </w:r>
    </w:p>
    <w:p>
      <w:pPr>
        <w:pStyle w:val="Heading1"/>
      </w:pPr>
      <w:r>
        <w:t>7. Coverage Map and Cross-Analysis</w:t>
      </w:r>
    </w:p>
    <w:p>
      <w:r>
        <w:t>This section projects the 202-paper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202 unique papers</w:t>
      </w:r>
      <w:r>
        <w:t xml:space="preserve">. Of these, </w:t>
      </w:r>
      <w:r>
        <w:rPr>
          <w:b/>
        </w:rPr>
        <w:t>59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59 unique component-tagged papers generate </w:t>
      </w:r>
      <w:r>
        <w:rPr>
          <w:b/>
        </w:rPr>
        <w:t>68 component-branch entries</w:t>
      </w:r>
      <w:r>
        <w:t xml:space="preserve"> across the coverage matrix, more entries than papers. All counts in the narrative below follow this multi-tag convention. The remaining 143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memory, [ma2026implicit] documents generation in the accumulation process; for tool selection, [blankenstein2025biasbusters] documents generation from tool-description surface features alone. Outside these, the GENERATE column is largely empty. This is the empirical frontier the audit of §6 is designed to probe.</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a subdimension of a seven-dimensional clinical taxonomy, neither makes component coverage its unit of analysis. Where [ranjan2025fairness] proposes a framework for fairness in multi-agent AI broadly,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the GENERATE column is the least populated in the multi-agent delegation row,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not just model parameters).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The cross-framework audit (§6) is registered as a protocol to test P2 and P3 empirically; results are pending.</w:t>
      </w:r>
    </w:p>
    <w:p>
      <w:r>
        <w:t>The measurement gap documented by this survey is a gap in accountability infrastructure, not in tooling alone. LLMs and LLM-based agents are being deployed, piloted, and evaluated in consequential decision settings, including hiring [veldanda2023emily, wilson2024gender, nghiem2024you], clinical decision support [poulain2024bias, omar2025sociodemographic], lending [bowen2024measuring, feng2023empowering], and education [weissburg2024llms] (much of the cited evidence is audit or evaluation in these settings rather than confirmed operational deployment),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not only for inadvertent bias but also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202-paper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Arising from the Unrun Audit</w:t>
      </w:r>
    </w:p>
    <w:p>
      <w:r>
        <w:t>The cross-framework audit of §6 is pre-registered but not yet executed. As a result:</w:t>
      </w:r>
    </w:p>
    <w:p>
      <w:pPr>
        <w:pStyle w:val="ListBullet"/>
      </w:pPr>
      <w:r>
        <w:t>The BCF propositions P2 and P3 are supported by theoretical derivation and by the existing multi-paper evidence cited throughout §§3-4, but are not yet supported by the within-survey experimental results the audit would provide. Readers should treat P2 and P3 as well-motivated hypotheses with strong indirect support, not as empirically confirmed claims.</w:t>
      </w:r>
    </w:p>
    <w:p>
      <w:pPr>
        <w:pStyle w:val="ListBullet"/>
      </w:pPr>
      <w:r>
        <w:t>The conduction-operator tagging in Figure 3 is based on the framing and findings of the cited papers as reported; it reflects the survey authors' interpretation of whether a given paper's finding instantiates ATTENUATE, PRESERVE, AMPLIFY, or GENERATE at the relevant locus, not a standardized classification applied by the original authors. Some cells may be reclassified as the audit methodology is refined.</w:t>
      </w:r>
    </w:p>
    <w:p>
      <w:pPr>
        <w:pStyle w:val="ListBullet"/>
      </w:pPr>
      <w:r>
        <w:t>The audit's action-level metrics (tool-invocation disparity, escalation disparity, plan-allocation disparity) are specified in §6.2 but have not been computed on any dataset. Their empirical behavior (distributional properties, sensitivity, test-retest reliability) is unknown until the run is complete.</w:t>
      </w:r>
    </w:p>
    <w:p>
      <w:r>
        <w:t>These limitations are intentional: the survey's contribution is the framework and the protocol, not the numerical results. The protocol is released as a replication target; results will be incorporated in the camera-ready version.</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Sneh et al.. (2025). ToolTweak: An Attack on Tool Selection in LLM-based Agents.. ArXiv preprint. arXiv:2510.02554</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Wang et al.. (2025). Bias Amplification in RAG: Poisoning Knowledge Retrieval to Steer LLMs.. ArXiv preprint. arXiv:2506.11415</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Liu et al.. (2023). Lost in the Middle: How Language Models Use Long Contexts.. Transactions of the Association for Computational Linguistics (TACL). arXiv:2307.03172</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Qian et al.. (2024). ChatDev: Communicative Agents for Software Development.. ACL. arXiv:2307.07924</w:t>
      </w:r>
    </w:p>
    <w:p>
      <w:pPr>
        <w:ind w:left="360" w:hanging="360"/>
      </w:pPr>
      <w:r>
        <w:t>Deshpande et al.. (2023). Toxicity in ChatGPT: Analyzing Persona-assigned Language Models.. EMNLP Findings. arXiv:2304.05335</w:t>
      </w:r>
    </w:p>
    <w:p>
      <w:pPr>
        <w:ind w:left="360" w:hanging="360"/>
      </w:pPr>
      <w:r>
        <w:t>Mirza et al.. (2025). MALIBU Benchmark: Multi-Agent LLM Implicit Bias Uncovered.. arXiv preprint. arXiv:2507.01019</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Ki et al.. (2025). Multiple LLM Agents Debate for Equitable Cultural Alignment.. ACL 2025 (Oral). arXiv:2505.24671</w:t>
      </w:r>
    </w:p>
    <w:p>
      <w:pPr>
        <w:ind w:left="360" w:hanging="360"/>
      </w:pPr>
      <w:r>
        <w:t>Kambhampati. (2024). Can Large Language Models Reason and Plan?.. Annals of the New York Academy of Sciences. arXiv:2403.04121. doi:10.1111/nyas.15125</w:t>
      </w:r>
    </w:p>
    <w:p>
      <w:pPr>
        <w:ind w:left="360" w:hanging="360"/>
      </w:pPr>
      <w:r>
        <w:t>Zhou et al.. (2025). Veracity Bias and Beyond: Uncovering LLMs' Hidden Beliefs in Problem-Solving Reasoning.. ACL 2025 (Main). arXiv:2505.16128</w:t>
      </w:r>
    </w:p>
    <w:p>
      <w:pPr>
        <w:ind w:left="360" w:hanging="360"/>
      </w:pPr>
      <w:r>
        <w:t>Kabra et al.. (2025). Reasoning Towards Fairness: Mitigating Bias in Language Models through Reasoning-Guided Fine-Tuning.. arXiv preprint. arXiv:2504.05632</w:t>
      </w:r>
    </w:p>
    <w:p>
      <w:pPr>
        <w:ind w:left="360" w:hanging="360"/>
      </w:pPr>
      <w:r>
        <w:t>Hall et al.. (2025). Guiding LLM Decision-Making with Fairness Reward Models.. arXiv preprint. arXiv:2507.11344</w:t>
      </w:r>
    </w:p>
    <w:p>
      <w:pPr>
        <w:ind w:left="360" w:hanging="360"/>
      </w:pPr>
      <w:r>
        <w:t>Santurkar et al.. (2023). Whose Opinions Do Language Models Reflect?.. ICML. arXiv:2303.17548</w:t>
      </w:r>
    </w:p>
    <w:p>
      <w:pPr>
        <w:ind w:left="360" w:hanging="360"/>
      </w:pPr>
      <w:r>
        <w:t>Pawar et al.. (2025). Presumed Cultural Identity: How Names Shape LLM Responses.. arXiv preprint. arXiv:2502.11995</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Sharma et al.. (2024). Towards Understanding Sycophancy in Language Models.. ICLR. arXiv:2310.13548</w:t>
      </w:r>
    </w:p>
    <w:p>
      <w:pPr>
        <w:ind w:left="360" w:hanging="360"/>
      </w:pPr>
      <w:r>
        <w:t>Hong et al.. (2025). Measuring Sycophancy of Language Models in Multi-turn Dialogues.. EMNLP 2025 Findings. arXiv:2505.23840</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