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testable formal theory: five propositions, stated under the linearized BCF model, characterize locality (P1), masking (P2, the measurement gap), super-additivity (P3, the agentic multiplier), mitigation matching (P4), and measurement adequacy (P5). Grounded in a verified corpus of 202 papers spanning 2012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reports a small pilot of an executable cross-framework bias audit whose results illustrate P2 (decision-level parity masking a score-level disparity) and is directionally consistent with the P3 amplification trend (mean absolute score difference rising as agentic scaffolding increases), with a full confirmatory study left to future work. We further characterize a structural </w:t>
      </w:r>
      <w:r>
        <w:rPr>
          <w:i/>
        </w:rPr>
        <w:t>measurement gap</w:t>
      </w:r>
      <w:r>
        <w:t>: today's benchmarks grade answers, not actions; as Table 2 shows, no general-purpose benchmark provides demographically instrumented, full-trajectory agent evaluation.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exhibit systematic tool-selection preferences independent of task fitness (provider and ordering bias) that no answer-level metric detects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Five propositions follow: P1 Locality (a disparity at component c is attributable to that component's locus if it vanishes under a component-level counterfactual), P2 Masking (token-level parity can coexist with action-level disparity, the measurement gap as a theorem), P3 Super-additivity (the agentic multiplier: Δ_τ can exceed the naive sum Σ_c |Δ_c| when at least one AMPLIFY or GENERATE edge lies on a conduction path), P4 Mitigation matching (an intervention reduces Δ_τ only if it targets the locus and operator of the dominant Δ_c), and P5 Measurement adequacy (a fairness metric is adequate for an agent only if it surfaces Δ_c for every component with non-negligible φ, with adequacy graded in the tiers of §3.0.5).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and pilot for an executable cross-framework bias audit.</w:t>
      </w:r>
      <w:r>
        <w:t xml:space="preserve"> We specify, and run a small pilot of, a protocol (§6): multiple agent configurations on a consequential-decision task with counterfactual demographic swaps, testing whether component-level action disparity arises that QA-level scoring of the same underlying model would not register. </w:t>
      </w:r>
      <w:r>
        <w:rPr>
          <w:i/>
        </w:rPr>
        <w:t>The pilot illustrates the predicted masking-and-amplification pattern but is directional only; a full confirmatory study is future work.</w:t>
      </w:r>
      <w:r>
        <w:t xml:space="preserve"> The protocol, harness, and raw decisions will be released with the camera-ready.</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a closely related ACM survey-style article (ACM SIGKDD Explorations),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a clinical-agent evaluation taxonomy whose seven dimensions include a Safety &amp; Ethics dimension under which fairness sits; conceptual and single-domain (healthcare), with no component-level counterfactual and no corpus.</w:t>
      </w:r>
    </w:p>
    <w:p>
      <w:pPr>
        <w:pStyle w:val="ListBullet"/>
      </w:pPr>
      <w:r>
        <w:rPr>
          <w:i/>
        </w:rPr>
        <w:t>Mayilvaghanan et al. 2026</w:t>
      </w:r>
      <w:r>
        <w:t xml:space="preserve"> [mayilvaghanan2026counterfactual]: applies CFR/MASD in a single domain (contact-center agent quality assurance); our survey generalizes those metrics across all six BCF components.</w:t>
      </w:r>
    </w:p>
    <w:p>
      <w:pPr>
        <w:pStyle w:val="ListBullet"/>
      </w:pPr>
      <w:r>
        <w:rPr>
          <w:i/>
        </w:rPr>
        <w:t>Ranjan et al. 2025</w:t>
      </w:r>
      <w:r>
        <w:t xml:space="preserve"> [ranjan2025fairness]: a 12-page position paper on fairness in agentic/multi-agent AI broadly, not specific to LLM-agent components;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202 verified papers. Approximately 140 of those papers are not covered by either [gallegos2024bias] or [chu2024fairness], reflecting the rapid growth of agentic fairness work in 2024 to 2026. The 65%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(subdim. of Safety \&amp; Ethics)</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202</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202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2.8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(persona-based simulated decisions rather than tool-using pipeline actions, hence the transfer marker)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systematic selection preferences independent of task fitness (provider and ordering bias) are already documented [blankenstein2025biasbusters], and demographic signals in the query or retrieved context are a further, as-yet-unmeasured conditioning channel.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 We present it here as a sixth conceptual dimension, but §3.6 argues it is more precisely a temporal axis on the feedback edge rather than an independent architectural component, a distinction the BCF makes precise once the framework is in place.</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202.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202</w:t>
            </w:r>
            <w:r>
              <w:t xml:space="preserve"> (unique)</w:t>
            </w:r>
          </w:p>
        </w:tc>
      </w:tr>
    </w:tbl>
    <w:p/>
    <w:p>
      <w:r>
        <w:rPr>
          <w:i/>
        </w:rPr>
        <w:t>Note: rows do not sum to 202 because papers appearing in multiple branches are deduplicated at the final stage; the multi-tag convention is applied after inclusion decisions are finalized. Included counts are by primary branch (each paper's single primary locus); they partition the corpus and sum to 202; cross-cutting papers are additionally counted in secondary branches in the coverage matrix (§7). The corresponding primary-branch partition is: foundational/must-cite 46, related-surveys/prior-art 29, foundations 16, evaluation-metrics-benchmarks 16, mitigation 13, high-stakes-domains 13, llm-agents-general 12, tool/API-selection 12, user-modeling/personalization 11, memory/retrieval 10, multi-agent-delegation 9, long-horizon-drift 9, planning/decomposition 6.</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202).</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202 unique papers spanning 2012 to 2026.</w:t>
      </w:r>
    </w:p>
    <w:p>
      <w:r>
        <w:rPr>
          <w:i/>
        </w:rPr>
        <w:t>Figure 0: PRISMA Flow Diagram</w:t>
      </w:r>
      <w:r>
        <w:t xml:space="preserve"> renders this four-stage funnel with counts at each node and branching reason labels. </w:t>
      </w:r>
      <w:r>
        <w:rPr>
          <w:i/>
        </w:rPr>
        <w:t>Takeaway: the corpus construction is transparent and reproducible; the 202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§2.8)</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202 corpus papers, </w:t>
      </w:r>
      <w:r>
        <w:rPr>
          <w:b/>
        </w:rPr>
        <w:t>18 (9%)</w:t>
      </w:r>
      <w:r>
        <w:t xml:space="preserve"> predate 2020 (primarily foundational ML fairness and NLP bias work), </w:t>
      </w:r>
      <w:r>
        <w:rPr>
          <w:b/>
        </w:rPr>
        <w:t>22 (11%)</w:t>
      </w:r>
      <w:r>
        <w:t xml:space="preserve"> fall in 2020 to 2022, </w:t>
      </w:r>
      <w:r>
        <w:rPr>
          <w:b/>
        </w:rPr>
        <w:t>31 (15%)</w:t>
      </w:r>
      <w:r>
        <w:t xml:space="preserve"> in 2023, </w:t>
      </w:r>
      <w:r>
        <w:rPr>
          <w:b/>
        </w:rPr>
        <w:t>78 (39%)</w:t>
      </w:r>
      <w:r>
        <w:t xml:space="preserve"> in 2024, and </w:t>
      </w:r>
      <w:r>
        <w:rPr>
          <w:b/>
        </w:rPr>
        <w:t>53 (26%)</w:t>
      </w:r>
      <w:r>
        <w:t xml:space="preserve"> in 2025 to 2026 (through June cutoff). The combined 2024 to 2026 cohort constitutes </w:t>
      </w:r>
      <w:r>
        <w:rPr>
          <w:b/>
        </w:rPr>
        <w:t>65%</w:t>
      </w:r>
      <w:r>
        <w:t xml:space="preserve"> of the corpus (131 papers),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27 papers (14%) appear in IEEE venues, TMLR, Frontiers, and preprint archives (ResearchGate, TechRxiv).</w:t>
      </w:r>
    </w:p>
    <w:p>
      <w:r>
        <w:t>Several observations follow. First, the arXiv share is high (31%), reflecting the recency of the field: many 2025 to 2026 papers are under review or in proceedings preparation. Second, the ACM FAccT representation (9 papers) is lower than the field's importance would suggest, indicating that agent fairness has not yet been fully claimed by the accountability community; it currently sits across NLP venues, systems venues, and domain journals. Third, 10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65%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a subdimension of a seven-dimensional conceptual taxonomy in a single (clinical) domain; [mayilvaghanan2026counterfactual] as a single-domain counterfactual method (contact-center QA) whose CFR/MASD machinery we generalize across components in §4; [ranjan2025fairness] proposes a unified fairness framework for multi-agent AI broadly,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This is the interface formalized by tool-learning and reasoning-acting architectures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tool-exposure, tool-transition, and model-reasoning stages.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and new behavioral distortion [gupta2023bias, cao2026from];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and taking Δ_c and Δ_τ here as </w:t>
      </w:r>
      <w:r>
        <w:rPr>
          <w:i/>
        </w:rPr>
        <w:t>signed</w:t>
      </w:r>
      <w:r>
        <w:t xml:space="preserve"> (directional) disparities so that oppositely directed component contributions can cancel in the sum (the endpoint statistics CFR and MASD of §4.2 report the corresponding magnitudes |Δ|),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plus an interaction residual: Δ_τ ≠ 0 implies a nonzero Δ_c at some locus c (counting GENERATE edges as entries), or a nonzero cross-component interaction term that the linearized equation folds into the nearest downstream GENERATE edge.</w:t>
      </w:r>
      <w:r>
        <w:t xml:space="preserve"> The residual matters because pure interaction effects (disparity present in no component alone but produced by their composition) are exactly the multi-agent GENERATE phenomenon. Justification: this is the premise validated whenever decomposition succeeds. [xu2026ducx] attributes distinct, separable shares of a clinical agent's disparity to the tool-exposure and tool-transition stages versus model reasoning,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This is the survey's measurement gap stated as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can exceed the naive sum Σ_c |Δ_c| when at least one AMPLIFY or GENERATE edge lies on a conduction path. Under the linearized magnitude model, an AMPLIFY or GENERATE edge is a necessary condition for super-additivity, not a sufficient one, since it can be offset by a downstream ATTENUATE edge; once nonlinear cross-component interactions are admitted, even necessity fails, because interactions can produce super-additivity without such an edge. Conversely, with only PRESERVE/ATTENUATE edges and no interaction term,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Endpoint-only evaluation is systematically unsound (by P2) and not even conservative (by P3); adequacy therefore comes in tiers.</w:t>
      </w:r>
      <w:r>
        <w:t xml:space="preserve"> We distinguish four: </w:t>
      </w:r>
      <w:r>
        <w:rPr>
          <w:i/>
        </w:rPr>
        <w:t>endpoint-only</w:t>
      </w:r>
      <w:r>
        <w:t xml:space="preserve"> (inadequate); </w:t>
      </w:r>
      <w:r>
        <w:rPr>
          <w:i/>
        </w:rPr>
        <w:t>trace-observing</w:t>
      </w:r>
      <w:r>
        <w:t xml:space="preserve"> (logs actions but applies no counterfactual); </w:t>
      </w:r>
      <w:r>
        <w:rPr>
          <w:i/>
        </w:rPr>
        <w:t>component-attributing</w:t>
      </w:r>
      <w:r>
        <w:t xml:space="preserve"> (per-locus Δ_c under a demographic swap); and </w:t>
      </w:r>
      <w:r>
        <w:rPr>
          <w:i/>
        </w:rPr>
        <w:t>causal-replay</w:t>
      </w:r>
      <w:r>
        <w:t xml:space="preserve"> (the trace-replay of D2). Full certification of an agent requires the causal-replay tier; the intermediate tiers bound only identifiable subsets of the Δ_c, which is often the most a real audit can achieve.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The five loci and the temporal axis map onto the D1 objects as follows. Planning (C4) and user modeling (C5) are </w:t>
      </w:r>
      <w:r>
        <w:rPr>
          <w:i/>
        </w:rPr>
        <w:t>sub-policies of π</w:t>
      </w:r>
      <w:r>
        <w:t xml:space="preserve"> rather than separate modules, which is why D1 keeps the tuple minimal rather than positing a module per locus: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Locus</w:t>
            </w:r>
          </w:p>
        </w:tc>
        <w:tc>
          <w:tcPr>
            <w:tcW w:type="dxa" w:w="2880"/>
          </w:tcPr>
          <w:p>
            <w:r>
              <w:rPr>
                <w:b/>
              </w:rPr>
              <w:t>D1 object(s)</w:t>
            </w:r>
          </w:p>
        </w:tc>
        <w:tc>
          <w:tcPr>
            <w:tcW w:type="dxa" w:w="2880"/>
          </w:tcPr>
          <w:p>
            <w:r>
              <w:rPr>
                <w:b/>
              </w:rPr>
              <w:t>Consumes → emits</w:t>
            </w:r>
          </w:p>
        </w:tc>
      </w:tr>
      <w:tr>
        <w:tc>
          <w:tcPr>
            <w:tcW w:type="dxa" w:w="2880"/>
          </w:tcPr>
          <w:p>
            <w:r>
              <w:t>C1 Tool / API selection</w:t>
            </w:r>
          </w:p>
        </w:tc>
        <w:tc>
          <w:tcPr>
            <w:tcW w:type="dxa" w:w="2880"/>
          </w:tcPr>
          <w:p>
            <w:r>
              <w:t>T (selection step of π)</w:t>
            </w:r>
          </w:p>
        </w:tc>
        <w:tc>
          <w:tcPr>
            <w:tcW w:type="dxa" w:w="2880"/>
          </w:tcPr>
          <w:p>
            <w:r>
              <w:t>context → choice of tool/source</w:t>
            </w:r>
          </w:p>
        </w:tc>
      </w:tr>
      <w:tr>
        <w:tc>
          <w:tcPr>
            <w:tcW w:type="dxa" w:w="2880"/>
          </w:tcPr>
          <w:p>
            <w:r>
              <w:t>C2 Memory &amp; retrieval</w:t>
            </w:r>
          </w:p>
        </w:tc>
        <w:tc>
          <w:tcPr>
            <w:tcW w:type="dxa" w:w="2880"/>
          </w:tcPr>
          <w:p>
            <w:r>
              <w:t>M, T</w:t>
            </w:r>
          </w:p>
        </w:tc>
        <w:tc>
          <w:tcPr>
            <w:tcW w:type="dxa" w:w="2880"/>
          </w:tcPr>
          <w:p>
            <w:r>
              <w:t>query/history → retrieved content, memory state</w:t>
            </w:r>
          </w:p>
        </w:tc>
      </w:tr>
      <w:tr>
        <w:tc>
          <w:tcPr>
            <w:tcW w:type="dxa" w:w="2880"/>
          </w:tcPr>
          <w:p>
            <w:r>
              <w:t>C3 Multi-agent delegation</w:t>
            </w:r>
          </w:p>
        </w:tc>
        <w:tc>
          <w:tcPr>
            <w:tcW w:type="dxa" w:w="2880"/>
          </w:tcPr>
          <w:p>
            <w:r>
              <w:t>π_ctrl</w:t>
            </w:r>
          </w:p>
        </w:tc>
        <w:tc>
          <w:tcPr>
            <w:tcW w:type="dxa" w:w="2880"/>
          </w:tcPr>
          <w:p>
            <w:r>
              <w:t>task + roles → subtask routing/assignment</w:t>
            </w:r>
          </w:p>
        </w:tc>
      </w:tr>
      <w:tr>
        <w:tc>
          <w:tcPr>
            <w:tcW w:type="dxa" w:w="2880"/>
          </w:tcPr>
          <w:p>
            <w:r>
              <w:t>C4 Planning / decomposition</w:t>
            </w:r>
          </w:p>
        </w:tc>
        <w:tc>
          <w:tcPr>
            <w:tcW w:type="dxa" w:w="2880"/>
          </w:tcPr>
          <w:p>
            <w:r>
              <w:t>π (decomposition sub-policy)</w:t>
            </w:r>
          </w:p>
        </w:tc>
        <w:tc>
          <w:tcPr>
            <w:tcW w:type="dxa" w:w="2880"/>
          </w:tcPr>
          <w:p>
            <w:r>
              <w:t>goal → ordered subgoals/plan</w:t>
            </w:r>
          </w:p>
        </w:tc>
      </w:tr>
      <w:tr>
        <w:tc>
          <w:tcPr>
            <w:tcW w:type="dxa" w:w="2880"/>
          </w:tcPr>
          <w:p>
            <w:r>
              <w:t>C5 User modeling / personalization</w:t>
            </w:r>
          </w:p>
        </w:tc>
        <w:tc>
          <w:tcPr>
            <w:tcW w:type="dxa" w:w="2880"/>
          </w:tcPr>
          <w:p>
            <w:r>
              <w:t>π, M (user-model sub-state)</w:t>
            </w:r>
          </w:p>
        </w:tc>
        <w:tc>
          <w:tcPr>
            <w:tcW w:type="dxa" w:w="2880"/>
          </w:tcPr>
          <w:p>
            <w:r>
              <w:t>user signals (often inferred) → personalized behavior</w:t>
            </w:r>
          </w:p>
        </w:tc>
      </w:tr>
      <w:tr>
        <w:tc>
          <w:tcPr>
            <w:tcW w:type="dxa" w:w="2880"/>
          </w:tcPr>
          <w:p>
            <w:r>
              <w:t>T-axis (long-horizon drift)</w:t>
            </w:r>
          </w:p>
        </w:tc>
        <w:tc>
          <w:tcPr>
            <w:tcW w:type="dxa" w:w="2880"/>
          </w:tcPr>
          <w:p>
            <w:r>
              <w:t>R (feedback edge)</w:t>
            </w:r>
          </w:p>
        </w:tc>
        <w:tc>
          <w:tcPr>
            <w:tcW w:type="dxa" w:w="2880"/>
          </w:tcPr>
          <w:p>
            <w:r>
              <w:t>prior outputs → updated π/M across turns</w:t>
            </w:r>
          </w:p>
        </w:tc>
      </w:tr>
    </w:tbl>
    <w:p/>
    <w:p>
      <w:r>
        <w:rPr>
          <w:i/>
        </w:rPr>
        <w:t>Takeaway: every locus is a function of an explicit D1 object; C4 and C5 are decompositions of the policy π, not omissions from the tuple.</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r>
        <w:rPr>
          <w:b/>
        </w:rPr>
        <w:t>Table 1: Component × harm mechanism × representative evidence × maturity.</w:t>
      </w:r>
      <w:r>
        <w:t xml:space="preserve"> Maturity is graded ●●● (well-studied), ●●○, or ●○○ (emerging).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Primary harm mechanism</w:t>
            </w:r>
          </w:p>
        </w:tc>
        <w:tc>
          <w:tcPr>
            <w:tcW w:type="dxa" w:w="2160"/>
          </w:tcPr>
          <w:p>
            <w:r>
              <w:rPr>
                <w:b/>
              </w:rPr>
              <w:t>Representative evidence</w:t>
            </w:r>
          </w:p>
        </w:tc>
        <w:tc>
          <w:tcPr>
            <w:tcW w:type="dxa" w:w="2160"/>
          </w:tcPr>
          <w:p>
            <w:r>
              <w:rPr>
                <w:b/>
              </w:rPr>
              <w:t>Maturity</w:t>
            </w:r>
          </w:p>
        </w:tc>
      </w:tr>
      <w:tr>
        <w:tc>
          <w:tcPr>
            <w:tcW w:type="dxa" w:w="2160"/>
          </w:tcPr>
          <w:p>
            <w:r>
              <w:t>C1 Tool / API selection (§3.1)</w:t>
            </w:r>
          </w:p>
        </w:tc>
        <w:tc>
          <w:tcPr>
            <w:tcW w:type="dxa" w:w="2160"/>
          </w:tcPr>
          <w:p>
            <w:r>
              <w:t>Selection skew over the tool registry independent of task fitness; routing conditioned on surface or demographic cues</w:t>
            </w:r>
          </w:p>
        </w:tc>
        <w:tc>
          <w:tcPr>
            <w:tcW w:type="dxa" w:w="2160"/>
          </w:tcPr>
          <w:p>
            <w:r>
              <w:t>[blankenstein2025biasbusters, sneh2025tooltweak, xu2026ducx]</w:t>
            </w:r>
          </w:p>
        </w:tc>
        <w:tc>
          <w:tcPr>
            <w:tcW w:type="dxa" w:w="2160"/>
          </w:tcPr>
          <w:p>
            <w:r>
              <w:t>●●○</w:t>
            </w:r>
          </w:p>
        </w:tc>
      </w:tr>
      <w:tr>
        <w:tc>
          <w:tcPr>
            <w:tcW w:type="dxa" w:w="2160"/>
          </w:tcPr>
          <w:p>
            <w:r>
              <w:t>C2 Memory &amp; retrieval (§3.2)</w:t>
            </w:r>
          </w:p>
        </w:tc>
        <w:tc>
          <w:tcPr>
            <w:tcW w:type="dxa" w:w="2160"/>
          </w:tcPr>
          <w:p>
            <w:r>
              <w:t>RAG-injected disparity from clean inputs; accumulation of skew across turns</w:t>
            </w:r>
          </w:p>
        </w:tc>
        <w:tc>
          <w:tcPr>
            <w:tcW w:type="dxa" w:w="2160"/>
          </w:tcPr>
          <w:p>
            <w:r>
              <w:t>[hu2024free, wu2024rag, fan2024fairmt]</w:t>
            </w:r>
          </w:p>
        </w:tc>
        <w:tc>
          <w:tcPr>
            <w:tcW w:type="dxa" w:w="2160"/>
          </w:tcPr>
          <w:p>
            <w:r>
              <w:t>●●○</w:t>
            </w:r>
          </w:p>
        </w:tc>
      </w:tr>
      <w:tr>
        <w:tc>
          <w:tcPr>
            <w:tcW w:type="dxa" w:w="2160"/>
          </w:tcPr>
          <w:p>
            <w:r>
              <w:t>C3 Multi-agent delegation (§3.3)</w:t>
            </w:r>
          </w:p>
        </w:tc>
        <w:tc>
          <w:tcPr>
            <w:tcW w:type="dxa" w:w="2160"/>
          </w:tcPr>
          <w:p>
            <w:r>
              <w:t>Persona/role injection, then amplification across interacting agents</w:t>
            </w:r>
          </w:p>
        </w:tc>
        <w:tc>
          <w:tcPr>
            <w:tcW w:type="dxa" w:w="2160"/>
          </w:tcPr>
          <w:p>
            <w:r>
              <w:t>[nguyen2025social, madigan2025emergent, choi2025identity]</w:t>
            </w:r>
          </w:p>
        </w:tc>
        <w:tc>
          <w:tcPr>
            <w:tcW w:type="dxa" w:w="2160"/>
          </w:tcPr>
          <w:p>
            <w:r>
              <w:t>●●●</w:t>
            </w:r>
          </w:p>
        </w:tc>
      </w:tr>
      <w:tr>
        <w:tc>
          <w:tcPr>
            <w:tcW w:type="dxa" w:w="2160"/>
          </w:tcPr>
          <w:p>
            <w:r>
              <w:t>C4 Planning / decomposition (§3.4)</w:t>
            </w:r>
          </w:p>
        </w:tc>
        <w:tc>
          <w:tcPr>
            <w:tcW w:type="dxa" w:w="2160"/>
          </w:tcPr>
          <w:p>
            <w:r>
              <w:t>Reasoning-stage disparity in plan structure, ordering, and allocation, with unfaithful traces</w:t>
            </w:r>
          </w:p>
        </w:tc>
        <w:tc>
          <w:tcPr>
            <w:tcW w:type="dxa" w:w="2160"/>
          </w:tcPr>
          <w:p>
            <w:r>
              <w:t>[wu2025reasoning, parziale2026once, hall2025guiding]</w:t>
            </w:r>
          </w:p>
        </w:tc>
        <w:tc>
          <w:tcPr>
            <w:tcW w:type="dxa" w:w="2160"/>
          </w:tcPr>
          <w:p>
            <w:r>
              <w:t>●○○</w:t>
            </w:r>
          </w:p>
        </w:tc>
      </w:tr>
      <w:tr>
        <w:tc>
          <w:tcPr>
            <w:tcW w:type="dxa" w:w="2160"/>
          </w:tcPr>
          <w:p>
            <w:r>
              <w:t>C5 User modeling / personalization (§3.5)</w:t>
            </w:r>
          </w:p>
        </w:tc>
        <w:tc>
          <w:tcPr>
            <w:tcW w:type="dxa" w:w="2160"/>
          </w:tcPr>
          <w:p>
            <w:r>
              <w:t>Inferred-identity stereotyping that tracks group profile over stated preference</w:t>
            </w:r>
          </w:p>
        </w:tc>
        <w:tc>
          <w:tcPr>
            <w:tcW w:type="dxa" w:w="2160"/>
          </w:tcPr>
          <w:p>
            <w:r>
              <w:t>[kantharuban2024stereotype, pawar2025presumed, staab2023memorization]</w:t>
            </w:r>
          </w:p>
        </w:tc>
        <w:tc>
          <w:tcPr>
            <w:tcW w:type="dxa" w:w="2160"/>
          </w:tcPr>
          <w:p>
            <w:r>
              <w:t>●●○</w:t>
            </w:r>
          </w:p>
        </w:tc>
      </w:tr>
      <w:tr>
        <w:tc>
          <w:tcPr>
            <w:tcW w:type="dxa" w:w="2160"/>
          </w:tcPr>
          <w:p>
            <w:r>
              <w:t>T-axis Long-horizon drift (§3.6)</w:t>
            </w:r>
          </w:p>
        </w:tc>
        <w:tc>
          <w:tcPr>
            <w:tcW w:type="dxa" w:w="2160"/>
          </w:tcPr>
          <w:p>
            <w:r>
              <w:t>Feedback-recurrence amplification (φ_fb &gt; 1) of per-step skew across turns and cycles</w:t>
            </w:r>
          </w:p>
        </w:tc>
        <w:tc>
          <w:tcPr>
            <w:tcW w:type="dxa" w:w="2160"/>
          </w:tcPr>
          <w:p>
            <w:r>
              <w:t>[ma2026implicit, liu2025truth, wyllie2024fairness]</w:t>
            </w:r>
          </w:p>
        </w:tc>
        <w:tc>
          <w:tcPr>
            <w:tcW w:type="dxa" w:w="2160"/>
          </w:tcPr>
          <w:p>
            <w:r>
              <w:t>●○○</w:t>
            </w:r>
          </w:p>
        </w:tc>
      </w:tr>
    </w:tbl>
    <w:p/>
    <w:p>
      <w:r>
        <w:rPr>
          <w:i/>
        </w:rPr>
        <w:t>Takeaway: every locus has documented harm, but maturity is uneven; the planning and long-horizon loci (C4, T-axis), where the GENERATE and feedback-AMPLIFY operators are most consequential, are the least mature, exactly the cells §7 shows as least instrumented.</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What is known.</w:t>
      </w:r>
      <w:r>
        <w:t xml:space="preserve"> The most replicated finding at C1 is that tool-selection skew is a property of the selection policy π, not merely of the tools in the registry. Blankenstein et al. demonstrate that across tool registries, LLMs consistently prefer particular tools in ways that are independent of query fitness, constituting a reproducible GENERATE-operator signature [blankenstein2025biasbusters]. The mechanism generalizes cleanly from the established result that LLMs exhibit positional and surface-form sensitivity in discrete choice [pezeshkpour2023large][†]: when tool registries are presented as lists, the selection policy inherits these ordering effects without any explicit demographic input. This is a well-established baseline. Beyond the base pathology, the adversarial variant is also documented: ToolTweak shows that editing only a tool's name and description is sufficient to systematically inflate its selection rate [sneh2025tooltweak], and recommender-agents are steered analogously by injected preference biases [tang2026your]. Together, these results establish that C1 is a genuine, independent entry locus: the disparity resides in the selection step of π, not in any downstream content processing. The strongest evidence that C1 contributes independently to trajectory-level harm comes from [xu2026ducx], which decomposes a chest-X-ray agent's total disparity by stage (tool exposure, tool transition, model reasoning) and shows that the tool stages carry a distinct attributable share that is conducted into the final clinical read, the closest published operational approximation to D2's decomposition at this locus. The ATTENUATE direction is also documented: bias-aware retrieval agents that monitor and rebalance source selection reduce the skew [singh2025bias, singh2025biasb], constituting engineered φ &lt; 1 edges at the selection interface, consistent with P4's requirement that an intervention must target the locus and operator of the dominant Δ_c to reduce Δ_τ.</w:t>
      </w:r>
    </w:p>
    <w:p>
      <w:r>
        <w:rPr>
          <w:b/>
        </w:rPr>
        <w:t>What conflicts or is contested.</w:t>
      </w:r>
      <w:r>
        <w:t xml:space="preserve"> The evidence on </w:t>
      </w:r>
      <w:r>
        <w:rPr>
          <w:i/>
        </w:rPr>
        <w:t>scope</w:t>
      </w:r>
      <w:r>
        <w:t xml:space="preserve"> of tool-selection bias is heterogeneous in ways the literature does not yet reconcile. The GENERATE finding from [blankenstein2025biasbusters] treats selection skew as arising from the policy itself on demographically clean input; the PRESERVE finding from [xu2026ducx] treats it as a conducted version of upstream demographic cues in the input. These are not mutually exclusive mechanisms, but no study has cleanly separated the two contributions under a controlled counterfactual swap, so the relative magnitude of intrinsic policy skew versus cue-elicited skew at C1 is unresolved. Similarly, the adversarial manipulation evidence from [sneh2025tooltweak] and [tang2026your] is measured in recommender and general-purpose registry settings; whether the same injection magnitude applies in consequential decision-making deployments (hiring, clinical, lending) where the registry is smaller and more constrained is not established. The ATTENUATE results from [singh2025bias, singh2025biasb] demonstrate that source-rebalancing reduces disparity, but these studies do not report whether the reduction holds under adversarially perturbed registries or whether the monitoring layer itself introduces asymmetric errors across demographic groups. The boundary condition for when C1 bias amplifies versus merely preserves into downstream components is also unsettled: [xu2026ducx] reports PRESERVE-class conduction in a clinical pipeline, but the theoretical expectation under P3 is that early-locus disparities should amplify when downstream operators are non-attenuating. Whether clinical settings happen to exhibit attenuating downstream operators, or whether the PRESERVE finding is an artifact of the specific pipeline architecture, is not resolved.</w:t>
      </w:r>
    </w:p>
    <w:p>
      <w:r>
        <w:rPr>
          <w:b/>
        </w:rPr>
        <w:t>What transfers only by analogy.</w:t>
      </w:r>
      <w:r>
        <w:t xml:space="preserve"> The pre-agentic lineage of this locus rests on evidence that does not involve instrumented agents. The racial and gendered skew in search-engine result surfaces [u2018algorithms][†] and in visual representation across engines [makhortykh2021detecting][†] establishes that the infrastructure an agent selects </w:t>
      </w:r>
      <w:r>
        <w:rPr>
          <w:i/>
        </w:rPr>
        <w:t>among</w:t>
      </w:r>
      <w:r>
        <w:t xml:space="preserve"> is itself non-neutral, but these findings predate LLM-based tool-selection policies and involve human searchers, not π-mediated selection loops. The positional and surface-form sensitivity result [pezeshkpour2023large][†] is measured in multiple-choice QA settings, and the inference that the same sensitivity governs tool-registry selection under list presentation is architecturally reasonable but not yet directly measured in a demographically instrumented agent trace. These transferred results sharpen the mechanism hypothesis without constituting direct measurement of C1 in an agentic pipeline.</w:t>
      </w:r>
    </w:p>
    <w:p>
      <w:r>
        <w:rPr>
          <w:b/>
        </w:rPr>
        <w:t>What is unmeasured.</w:t>
      </w:r>
      <w:r>
        <w:t xml:space="preserve"> The field currently measures </w:t>
      </w:r>
      <w:r>
        <w:rPr>
          <w:i/>
        </w:rPr>
        <w:t>that</w:t>
      </w:r>
      <w:r>
        <w:t xml:space="preserve"> selection skews but has not measured whether the skew correlates with protected attributes of the </w:t>
      </w:r>
      <w:r>
        <w:rPr>
          <w:i/>
        </w:rPr>
        <w:t>user or subject</w:t>
      </w:r>
      <w:r>
        <w:t xml:space="preserve"> under a counterfactual swap holding the query fixed. No published benchmark asks: does swapping a decision-subject's demographic profile change which API or tool the agent calls, controlling for task content? This is the Δ_tool instance of D2 that §4.3 formalizes as tool-invocation disparity. Two phenomena must be kept distinct here: (a) provider- and ordering-preference selection bias among functionally equivalent tools, which is what [blankenstein2025biasbusters] measures and which by that study's own design involves no sensitive attributes; and (b) demographic-conditioned tool routing, for which the only direct evidence is the clinical decomposition of [xu2026ducx], in a medical context. The GENERATE-operator finding from [blankenstein2025biasbusters] therefore establishes only that selection skew is measurable at all, not demographic-conditional skew, and the finding from [xu2026ducx] attributes a disparity share to C1 but without the counterfactual isolation that P1 (Locality) requires for strict attribution. No direct demographic-swap measurement of tool selection yet exists. Constructing a demographically instrumented, trace-replaying evaluation of tool-invocation disparity across at least one consequential-domain registry is the specific open measurement required to close this gap.</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What is known.</w:t>
      </w:r>
      <w:r>
        <w:t xml:space="preserve"> The most robust finding at this locus is that retrieval augmentation can </w:t>
      </w:r>
      <w:r>
        <w:rPr>
          <w:i/>
        </w:rPr>
        <w:t>generate</w:t>
      </w:r>
      <w:r>
        <w:t xml:space="preserve"> demographic disparity from a generator that exhibits none in closed-book mode, a GENERATE conduction signature that now has three converging lines of evidence. [hu2024free] establish the mechanism in its strongest form: the disparity appears even when retrieved documents are individually innocuous and even when the user explicitly prompts for fairness, establishing that the GENERATE edge is neither an artifact of adversarial content nor correctable by instruction. [wu2024rag] replicate the finding by holding the generator fixed and varying the retrieval corpus and ranking, isolating the retrieval step as the active locus. [zhang2025evaluating] confirm that augmentation measurably shifts social-bias levels relative to the identical closed-book baseline. Taken together, these three studies constitute the field's best-replicated C2 result: RAG is a GENERATE edge for demographic disparity, not merely a conduit for pre-existing model bias.</w:t>
      </w:r>
    </w:p>
    <w:p>
      <w:r>
        <w:t>The accumulation direction is independently established, though by different experimental designs. Fairness degrades over multi-turn dialogue in ways that single-turn tests structurally cannot detect [fan2024fairmt]; accumulated context shifts the model's stated beliefs as history grows [geng2025accumulating]; and conversational history produces a "geometric trapping" effect in which early demographic framings become self-reinforcing and resist later correction [simhi2026old]. The adversarial bound on accumulation is knowledge-store poisoning, where injected content amplifies bias and systematically steers downstream outputs [wang2025bias], confirming that the AMPLIFY operator can be driven to arbitrarily large φ by an adversary with write access to the store. Multi-agent settings exhibit the same conversational-bias accumulation, extending the mechanism beyond single-agent dialogues [coppolillo2025unmasking].</w:t>
      </w:r>
    </w:p>
    <w:p>
      <w:r>
        <w:t>On the ATTENUATE side, two interventions are evidence-backed. Tuning the embedder used for retrieval reduces RAG-injected bias [kim2025mitigating], an engineered φ &lt; 1 at the representation layer consistent with P4 (the intervention targets the GENERATE edge rather than the generator downstream of it). Applying fair-exposure ranking inside the RAG pipeline changes both fairness and output quality, and the changes can be simultaneously positive [kim2024fair], providing the most direct existing bridge between the fair-ranking tradition [zehlike2022fairness] and agentic systems. Both results confirm P4's mitigation-matching prediction: interventions succeed when they target the locus of injection rather than the endpoint.</w:t>
      </w:r>
    </w:p>
    <w:p>
      <w:r>
        <w:rPr>
          <w:b/>
        </w:rPr>
        <w:t>What conflicts or is contested.</w:t>
      </w:r>
      <w:r>
        <w:t xml:space="preserve"> The three-study convergence on GENERATE conceals an unresolved boundary condition: none of the three designs varies </w:t>
      </w:r>
      <w:r>
        <w:rPr>
          <w:i/>
        </w:rPr>
        <w:t>what kind</w:t>
      </w:r>
      <w:r>
        <w:t xml:space="preserve"> of demographic signal is present in the retrieved content (explicit labels, stereotypic co-occurrence, proxies in writing style) independently of the query framing. It is therefore unclear whether the GENERATE effect is primarily a function of the retrieved documents' surface-form demographic content, of the ranking order in which they are presented, or of the generator's contextual updating dynamics when confronted with demographically mixed evidence. The [kim2024fair] result implies that ranking order matters (since reranking alone changes outcomes), while [kim2025mitigating] implies that representation matters (since embedder tuning is sufficient). Whether these are complementary levers or competing explanations for the same variance is not resolved by existing designs, because no study jointly manipulates both.</w:t>
      </w:r>
    </w:p>
    <w:p>
      <w:r>
        <w:t xml:space="preserve">The accumulation evidence carries a parallel ambiguity. [fan2024fairmt], [geng2025accumulating], and [simhi2026old] all measure degradation over turns, but they differ in whether they attribute the effect primarily to the growing size of the context, to the semantic content of accumulated history, or to the positional structure of how retrieved and remembered facts are arranged in the window. These attributions have different mitigation implications: a context-size account implies that truncation or summarization policies would attenuate accumulation, while a positional account implies that reordering the memory state would suffice, and a semantic account implies that neither would be adequate without content-level filtering. The studies are mutually consistent but do not adjudicate among these accounts, so the AMPLIFY operator is evidenced at this locus without a stable mechanism model for </w:t>
      </w:r>
      <w:r>
        <w:rPr>
          <w:i/>
        </w:rPr>
        <w:t>how</w:t>
      </w:r>
      <w:r>
        <w:t xml:space="preserve"> it operates within the context window.</w:t>
      </w:r>
    </w:p>
    <w:p>
      <w:r>
        <w:rPr>
          <w:b/>
        </w:rPr>
        <w:t>What transfers only by analogy.</w:t>
      </w:r>
      <w:r>
        <w:t xml:space="preserve"> One important input to the accumulation mechanism is evidenced only in settings that are not yet measured in instrumented agents. Long-context models are known to privilege the head and tail of their input window, the "lost in the middle" effect [liu2023lost][†], meaning that which retrieved or remembered facts about a person receive effective attention is a function of position in the context, not only of content. This implies that demographic disparity in memory can arise or be suppressed by the </w:t>
      </w:r>
      <w:r>
        <w:rPr>
          <w:i/>
        </w:rPr>
        <w:t>write order</w:t>
      </w:r>
      <w:r>
        <w:t xml:space="preserve"> of the memory store independent of the content written, a structurally important point that the agentic memory literature has not yet measured. The positional-attention result is robust in non-agentic reading-comprehension and summarization settings; its transfer to the retrieval-augmented agent loop (where memory writes are interleaved with actions and where the agent both reads and appends to its own context) is mechanistically plausible but empirically unconfirmed as of the corpus cutoff.</w:t>
      </w:r>
    </w:p>
    <w:p>
      <w:r>
        <w:rPr>
          <w:b/>
        </w:rPr>
        <w:t>What is unmeasured.</w:t>
      </w:r>
      <w:r>
        <w:t xml:space="preserve"> The most consequential open gap at this locus is the memory </w:t>
      </w:r>
      <w:r>
        <w:rPr>
          <w:i/>
        </w:rPr>
        <w:t>write policy</w:t>
      </w:r>
      <w:r>
        <w:t xml:space="preserve"> as a fairness object. Every study reviewed above treats retrieval as a read-only operation: the agent queries a store and receives ranked content. In tool-augmented agents with persistent memory (the architecture of [lewis2020retrieval] extended by episodic reflections and cross-session user profiles), the agent also </w:t>
      </w:r>
      <w:r>
        <w:rPr>
          <w:i/>
        </w:rPr>
        <w:t>writes</w:t>
      </w:r>
      <w:r>
        <w:t xml:space="preserve"> to memory, and what it chooses to persist about different individuals is itself a disparity-producing decision with no existing audit methodology. Whether the agent systematically writes richer, more accurate, or more favorable memory representations for some demographic groups than others is unmeasured, and this write-policy gap is the principal open measurement problem for C2. Relatedly, whether bias compounds faster in structured, tool-augmented memory than in plain conversational history is unknown: the dialogue-accumulation evidence ([fan2024fairmt], [simhi2026old]) is an underbound on what a long-lived agent memory store would produce, not a measurement of it. No benchmark provides demographically instrumented, counterfactual evaluation of agentic memory reads and writes over realistic multi-session deployments, making the retrieval-set disparity and per-turn Δ^(t) slope formalized in §4.3 currently unmeasurable in practice.</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what is known.</w:t>
      </w:r>
      <w:r>
        <w:t xml:space="preserve"> The amplification result at this locus is the best-replicated finding in the corpus concerning agentic-scale bias. Stereotypical bias emerges, propagates, and intensifies across a multi-agent system such that the collective is more biased than its members [nguyen2025social], and large-scale simulations show group-level fairness is not reliably inheritable from component audits [madigan2025emergent]. These two results are independent demonstrations of the same structural claim: composition under AMPLIFY violates the naive additivity of P1. A third line of evidence confirms that the mechanism scales: persona-induced bias grows from single agents to interacting societies [li2025from], and implicit bias surfaces specifically </w:t>
      </w:r>
      <w:r>
        <w:rPr>
          <w:i/>
        </w:rPr>
        <w:t>in the interaction</w:t>
      </w:r>
      <w:r>
        <w:t xml:space="preserve"> between agents rather than in either agent alone [borah2024implicit]. Social hierarchy compounds the dynamics: rank shapes persuasion and anti-social behavior within the collective [campedelli2024want], which means the </w:t>
      </w:r>
      <w:r>
        <w:rPr>
          <w:i/>
        </w:rPr>
        <w:t>topology</w:t>
      </w:r>
      <w:r>
        <w:t xml:space="preserve"> of the delegation network is not fairness-neutral even when each node's individual bias is held constant. At the entry edge, MALIBU provides the only purpose-built agentic benchmark and uncovers implicit bias specifically in multi-agent role assignments [mirza2025malibu], grounding the amplification claims in an instrumented setting rather than a post-hoc analysis.</w:t>
      </w:r>
    </w:p>
    <w:p>
      <w:r>
        <w:rPr>
          <w:b/>
        </w:rPr>
        <w:t>Evidence: what conflicts or is contested.</w:t>
      </w:r>
      <w:r>
        <w:t xml:space="preserve"> The amplification direction is not inevitable. Anonymizing agent identities during structured debate reduces bias [choi2025identity], demonstrating that the AMPLIFY operator is installed by identity cues at the delegation edge, not by multi-agent coordination per se. Engineering the interaction protocol differently can reverse the operator entirely: multi-LLM interaction can be designed as a debiasing mechanism rather than an amplifier [owens2024multi], and structured debate can be steered toward equitable cultural alignment [ki2025multiple]. This creates a genuine tension in the literature: papers measuring naturalistic role assignment consistently find amplification, while papers that redesign the coordination protocol find attenuation. The conflict is not a contradiction but a boundary condition: AMPLIFY is the default under identity-bearing delegation, but it is contingent on the protocol, not structurally guaranteed. What remains contested is </w:t>
      </w:r>
      <w:r>
        <w:rPr>
          <w:i/>
        </w:rPr>
        <w:t>how much</w:t>
      </w:r>
      <w:r>
        <w:t xml:space="preserve"> the topology and protocol contribute independently, since no study has held one fixed while varying the other. The amplification factor φ from [nguyen2025social] has been demonstrated but never bounded as a function of network structure, making it unclear whether sparse versus dense delegation graphs carry materially different fairness risk.</w:t>
      </w:r>
    </w:p>
    <w:p>
      <w:r>
        <w:rPr>
          <w:b/>
        </w:rPr>
        <w:t>Evidence: what transfers only by analogy.</w:t>
      </w:r>
      <w:r>
        <w:t xml:space="preserve"> Two of the most cited results at this locus are single-turn or chatbot-derived and have not been measured on instrumented agentic pipelines. Assigning a persona induces implicit reasoning biases that degrade performance on tasks unrelated to the persona, making role assignment active bias injection rather than neutral scaffolding [gupta2023bias][†]. Persona assignment also multiplies toxic degeneration in chat settings [deshpande2023toxicity][†]. Both mechanisms are plausible at the agentic delegation edge and are consistent with [cao2026from]'s finding that persona assignment introduces new behavioral distortion in the assigned agent (degradation of up to 26.2%), a GENERATE signature at the role hand-off rather than mere conduction of pre-existing bias (the canonical PRESERVE bridge in the D3 table is instead reward models inheriting dialect penalties [mire2025rejected]), but the counterfactual assignment-matrix measurement in a multi-agent trajectory has not been performed for either finding. The [†] markers here are therefore not ornamental: they identify the precise experiments still needed to convert mechanism evidence into locus-specific disparity estimates.</w:t>
      </w:r>
    </w:p>
    <w:p>
      <w:r>
        <w:rPr>
          <w:b/>
        </w:rPr>
        <w:t>Open edge.</w:t>
      </w:r>
      <w:r>
        <w:t xml:space="preserve"> Even with the amplification mechanism established, the </w:t>
      </w:r>
      <w:r>
        <w:rPr>
          <w:i/>
        </w:rPr>
        <w:t>delegation policy</w:t>
      </w:r>
      <w:r>
        <w:t xml:space="preserve"> as a controllable fairness object remains unmeasured. There is no metric for assignment disparity in the sense of D2: does π_ctrl systematically route sensitive subtasks to lower-capability or more-biased sub-agents as a function of the subject's demographics, holding the task fixed under a counterfactual swap? The amplification coefficient φ at this locus is real, but without a delegation-matrix disparity metric it cannot be decomposed into the share attributable to the initial assignment versus the share produced by the subsequent interaction dynamics. This is precisely the Δ_c gap that §4.3 formalizes and that the MALIBU benchmark only partially addresses, since MALIBU measures outcome disparity per role but not the assignment distribution itself. The BCF conduction signature at this locus therefore has a measurable observable (the role/subtask assignment matrix across counterfactual pairs) that no published benchmark yet collects.</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This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and synthesis.</w:t>
      </w:r>
    </w:p>
    <w:p>
      <w:r>
        <w:rPr>
          <w:i/>
        </w:rPr>
        <w:t>What is known.</w:t>
      </w:r>
      <w:r>
        <w:t xml:space="preserve"> The established, replicated mechanism is that deliberate reasoning is a GENERATE locus, not a sanitizing filter. The weight of evidence supports two related claims. First, explicit chain-of-thought reasoning changes social-bias outcomes relative to direct answering, and the change can be adverse: [wu2025reasoning] demonstrates in controlled comparisons that chain-of-thought reasoning fails to deliver a fairness dividend and can worsen stereotype expression in ambiguous contexts, while reasoning-free models show more stable bias levels. Second, allocation-stage disparity is demonstrable at the plan object level rather than only at the final-output level: LLM-driven software-team composition produces demographically skewed role and task assignments, a planning-stage disparity with direct hiring adjacency [parziale2026once]. Together these establish that the operator at C4 is GENERATE-consistent, pending the revealer-vs-generator adjudication §3.4 itself describes. Unlike C3 (where interaction then amplifies what role-assignment generates), C4 disparity appears to resolve principally at the GENERATE edge itself, without requiring a subsequent amplification step, which makes it structurally more like C1 (early-entry, conducted forward) than like C3 (entry plus amplification). The lever exists: reasoning-guided fine-tuning reduces bias at this locus [kabra2025reasoning], an intervention consistent with P4 because it acts precisely at the generating edge; complementarily, a Fairness Reward Model can score complete reasoning chains against equalized opportunity and equalized odds criteria and reweight them during post-generation aggregation, leaving the internal reasoning untouched [hall2025guiding].</w:t>
      </w:r>
    </w:p>
    <w:p>
      <w:r>
        <w:rPr>
          <w:i/>
        </w:rPr>
        <w:t>What conflicts or is contested.</w:t>
      </w:r>
      <w:r>
        <w:t xml:space="preserve"> Two tensions complicate the picture. First, the causal direction of the reasoning-bias relationship is not resolved. [wu2025reasoning] shows reasoning can worsen bias, but the comparison baseline matters: the effect depends on whether direct answering suppresses or merely conceals the disparity, and those two mechanisms have sharply different implications for auditing. If direct answering conceals, then reasoning makes the bias </w:t>
      </w:r>
      <w:r>
        <w:rPr>
          <w:i/>
        </w:rPr>
        <w:t>visible</w:t>
      </w:r>
      <w:r>
        <w:t xml:space="preserve"> without increasing it, which would make the chain-of-thought trace a diagnostic asset rather than a liability. If reasoning genuinely generates disparity that a forward pass without explicit steps would not exhibit, then explicit planning is a fairness risk independent of the underlying model. The existing measurements do not cleanly separate these. Second, [zhou2025veracity] documents hidden veracity-linked beliefs surfacing </w:t>
      </w:r>
      <w:r>
        <w:rPr>
          <w:i/>
        </w:rPr>
        <w:t>during</w:t>
      </w:r>
      <w:r>
        <w:t xml:space="preserve"> problem-solving, encoding demographic assumptions a final-answer probe would not detect. This result is consistent with both interpretations: reasoning as revealer or reasoning as generator. Until trace-replay (D2) is applied to hold the model's implicit beliefs constant across conditions and vary only the decomposition step, the two hypotheses remain confounded.</w:t>
      </w:r>
    </w:p>
    <w:p>
      <w:r>
        <w:rPr>
          <w:i/>
        </w:rPr>
        <w:t>What transfers only by analogy.</w:t>
      </w:r>
      <w:r>
        <w:t xml:space="preserve"> The P2-masking problem at this locus depends critically on the finding that chain-of-thought explanations systematically misreport the biasing features that actually drive predictions [turpin2023language][†]. This result originates in single-turn classification and explanation settings, not in instrumented agentic plan traces. The transfer argument is that the same model occupying π in an agent produces unfaithful self-reports when generating rationales, as in the single-turn study, and therefore plan-trace audits at C4 inherit the same unreliability. That transfer is plausible but unmeasured: the degree to which multi-step plan generation is </w:t>
      </w:r>
      <w:r>
        <w:rPr>
          <w:i/>
        </w:rPr>
        <w:t>more</w:t>
      </w:r>
      <w:r>
        <w:t xml:space="preserve"> or </w:t>
      </w:r>
      <w:r>
        <w:rPr>
          <w:i/>
        </w:rPr>
        <w:t>less</w:t>
      </w:r>
      <w:r>
        <w:t xml:space="preserve"> faithful than single-step explanation is not known, and there is no agentic corpus study that validates the transfer directly. Similarly, the measurement reframing of [li2025actions][†], showing that agent </w:t>
      </w:r>
      <w:r>
        <w:rPr>
          <w:i/>
        </w:rPr>
        <w:t>decisions</w:t>
      </w:r>
      <w:r>
        <w:t xml:space="preserve"> reveal implicit biases that text-level evaluation misses, provides the decisive motivation for plan-object auditing rather than trace-reading, but the original demonstration is in a simpler decision-making context rather than a full multi-step planning loop. The transferred conclusion (plan objects, not verbalized rationales, are the sound observables for C4) is well-motivated, but the agent-pipeline-specific validation has not been performed.</w:t>
      </w:r>
    </w:p>
    <w:p>
      <w:r>
        <w:rPr>
          <w:i/>
        </w:rPr>
        <w:t>What is unmeasured.</w:t>
      </w:r>
      <w:r>
        <w:t xml:space="preserve"> The benchmark gap at this locus is the sharpest in the survey. No existing benchmark scores the </w:t>
      </w:r>
      <w:r>
        <w:rPr>
          <w:i/>
        </w:rPr>
        <w:t>plan itself</w:t>
      </w:r>
      <w:r>
        <w:t xml:space="preserve"> as a fairness object: are the sub-goals, their ordering, or the resource allocation across plan steps a counterfactual function of the subject's demographics, independent of the final decision? Plan-allocation disparity (Δ_plan, §4.3) is observed in individual studies ([wu2025reasoning, parziale2026once]) but has not been operationalized as a reusable metric with standardized demographic perturbations and counterfactual controls. The conduction signature below specifies what such a metric must measure. Critically, the P2-masking problem means that this gap cannot be closed by trace-reading: any future plan-audit must be counterfactual-behavioral (D2 applied to plan objects, holding the underlying evidence context fixed and swapping demographic signals in the goal specification), not inspection of verbalized rationales. That design constraint, established by [turpin2023language][†]'s single-turn result and reinforced by [li2025actions][†], has not yet been absorbed into a benchmark design. The result is that C4 sits at maturity ●○○ (Table 1) despite documented real-world planning-stage harm in hiring-adjacent deployments: a measurement design problem, not a data availability problem.</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PRESERVE/AMPLIFY within chain-of-thought (the GENERATE reading remains pending the revealer-vs-generator adjudication above),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What is known.</w:t>
      </w:r>
      <w:r>
        <w:t xml:space="preserve"> The most robustly replicated finding at this locus is that demographic cues supplied at query time cause a system's adaptive behavior to track stereotypical group profiles rather than individually indicated preferences, collapsing the personalization-fidelity goal into stereotype instantiation. This mechanism is established across at least three distinct operationalizations. Identity signaling via explicit group labels biases chatbot recommendations toward stereotype rather than stated preference [kantharuban2024stereotype][†]. The trigger requires no explicit declaration: a name alone activates a presumed cultural identity that reshapes response content [pawar2025presumed]. And the inference can precede any signal from the user, because LLMs recover protected attributes (location, income, sex) from innocuous conversational text without any demographic prompt [staab2023memorization], meaning the agent has already modeled the user demographically before any adaptation begins. The convergence across these three cue types (label, name, inference from content) on the same directional finding, stereotype-tracking rather than preference-tracking, constitutes the strongest multi-source replication this locus offers.</w:t>
      </w:r>
    </w:p>
    <w:p>
      <w:r>
        <w:t>Downstream harm from this mechanism has been observed across domain-specific evaluations. In education, personalized content delivery produces systematically different quality as a function of inferred student identity [weissburg2024llms]. In recommendation settings, consumer-facing LLM recommenders exhibit unequal recommendation utility across demographic groups [deldjoo2024cfairllm], a finding accompanied by a normative benchmarking framework for measuring it [deldjoo2024normative]. Socioeconomic bias embedded in base model representations supplies the latent material these personalization steps activate [arzaghi2024understanding]. A second replication strand concerns the alignment channel rather than the inference channel: reward models penalize African American Language [mire2025rejected], and reasoning performance degrades on non-standard dialects [lin2024assessing][†]. Because these disparities operate at locus R (the reward and alignment signal), they are PRESERVE-into-R in BCF terms, feeding directly into the feedback recurrence that §3.6 analyzes, so dialect penalties initiated at C5 are not bounded within C5.</w:t>
      </w:r>
    </w:p>
    <w:p>
      <w:r>
        <w:rPr>
          <w:b/>
        </w:rPr>
        <w:t>What conflicts or is contested.</w:t>
      </w:r>
      <w:r>
        <w:t xml:space="preserve"> The field's principal empirical tension at this locus concerns cue-channel consistency. A systematic study of demographic cue modalities finds that name-based, explicit-label-based, and dialect-based probes of the same models yield inconsistent and sometimes contradictory conclusions about the presence and direction of personalization bias [tonneau2026different]. This result does more than caution against single-cue audits; it implies that papers in this locus are not measuring the same underlying quantity, so the apparent convergence noted above is partly artifactual. Studies using name cues may detect bias that label-based studies of the same model do not, or vice versa, and without multi-cue replication, the directional finding (stereotype over preference) is robust only within cue modality. A further contested point concerns the cost of mitigation: debiasing personalized models trades off against recommendation utility [vijjini2024exploring], which means that ATTENUATE interventions at this locus are not free in the way that, for example, filtering a retrieval set might be. The tradeoff magnitude has not been quantified across deployment contexts, and different utility definitions yield different tradeoff profiles, so no consensus on acceptable mitigation cost exists. Finally, the boundary between C5 and adjacent loci is contested by the inference result [staab2023memorization]: if the protected attribute is constructed by the model from non-demographic text, the operative locus may be the language model's latent representation (C0 baseline) rather than any explicit user-modeling step, and counterfactual swaps at the input surface may leave the inferred user model unchanged, making the standard D2 protocol inapplicable without modification.</w:t>
      </w:r>
    </w:p>
    <w:p>
      <w:r>
        <w:rPr>
          <w:b/>
        </w:rPr>
        <w:t>What transfers only by analogy.</w:t>
      </w:r>
      <w:r>
        <w:t xml:space="preserve"> A substantial share of the mechanistic evidence at this locus was established in single-turn or chatbot settings and has not been reproduced in instrumented multi-step agents. The demonstration that identity signaling collapses adaptation into stereotyping [kantharuban2024stereotype][†] was conducted on a chatbot interface, not on a tool-using agent with persistent state. The dialect-reasoning penalty [lin2024assessing][†] was measured on benchmark QA tasks, not on agent planning or tool-selection traces. The baseline opinion-skew of the default user model [santurkar2023whose][†] was characterized through opinion-poll probing of a static LLM, not through behavioral observation of a personalized agent. These results are included because the mechanisms they document (stereotype activation via identity cues, dialect penalties conducted into evaluation, skewed baseline user model) are mechanistically operative in any system that adapts to user signals, including agents. However, the conduction paths from these single-turn observations to the GENERATE and PRESERVE operators of the BCF remain unverified by agent-level trace measurement. The [†] markers on these citations track this analogical status throughout.</w:t>
      </w:r>
    </w:p>
    <w:p>
      <w:r>
        <w:rPr>
          <w:b/>
        </w:rPr>
        <w:t>What is unmeasured.</w:t>
      </w:r>
      <w:r>
        <w:t xml:space="preserve"> The most consequential open gap at this locus is the persistent user model: all available evidence concerns the disparity elicited within a single response or single turn, not the disparity accumulated and locked into the user representation an agent maintains and updates across sessions. An agent that interacts with a user repeatedly will form, update, and act on a profile that encodes earlier stereotype-triggered inferences, creating a form of within-agent institutionalized bias that single-response probing cannot detect. This is the object that bridges C5 to §3.6's recurrence, and it is unmeasured. No agentic benchmark in Table 2 instruments the user model as a persistent state object, varies the cue channel as a controlled factor across sessions, or measures how demographic inferences made early in an interaction propagate to consequential decisions made later. The inference channel [staab2023memorization] introduces a further measurement-theory problem: if the protected attribute is inferred from content rather than supplied as a cue, the standard D2 counterfactual swap (alter the cue at input, observe behavior change) fails to intervene on the operative variable. Defining a valid counterfactual for this case requires either a structural causal model of the inference process, which does not exist for any deployed agent, or a cue-channel-controlled experiment design of the kind that [tonneau2026different] recommends but that no agentic benchmark has yet implemented. C5 is therefore the locus where the BCF's D2 measurement procedure is hardest to operationalize, and the gap is tied directly to the GENERATE signature: bias that is internally constructed cannot be removed by swapping an external label.</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 The intra-trajectory loop (turn-level) operates within a single session as the context window accumulates a directional history. The inter-session loop operates across sessions as persistent memory (C2 × t) carries forward a biased state that conditions the next session's starting Δ_entry. The deployment loop operates across retraining cycles as the model policy π itself shifts when trained on its own synthetic outputs. Each nesting is an additive term in the feedback recurrence, and the literature documents each at a different empirical resolution: the intra-trajectory loop most directly, the deployment loop through analogy and small-scale experiment, the inter-session loop almost not at all.</w:t>
      </w:r>
    </w:p>
    <w:p>
      <w:r>
        <w:rPr>
          <w:b/>
        </w:rPr>
        <w:t>What is known.</w:t>
      </w:r>
      <w:r>
        <w:t xml:space="preserve"> The most replicated mechanism on the T-axis is sycophantic conformity within a single multi-turn context. Fairness degrades over multi-turn dialogue [fan2024fairmt], and implicit bias accumulates and propagates specifically in LLM </w:t>
      </w:r>
      <w:r>
        <w:rPr>
          <w:i/>
        </w:rPr>
        <w:t>long-term memory</w:t>
      </w:r>
      <w:r>
        <w:t>, making the agent more biased the longer it persists state [ma2026implicit] (the C2 × t cell). These two results together identify the locus (C2) and the operator (AMPLIFY) for the intra-trajectory loop: the state written to memory at turn t conditions the Δ_entry injected at turn t+1, so the recurrence is not merely metaphorical but traceable to a specific architectural feature. Sycophancy, the proximate mechanism, is also the mechanism with the most consistent cross-paper support at the intra-trajectory timescale. Multi-turn measurements document progressive conformity, labeled "truth decay," across turns [liu2025truth] and growth of sycophancy over extended dialogues [hong2025measuring]: both operationalize φ_fb &gt; 1 as a directly observable drift slope rather than an inferred parameter. At the deployment-loop timescale, the mechanism is self-consumption: training on a model's own synthetic outputs amplifies bias across generations [wyllie2024fairness], and the self-consuming performative loop has been characterized with proposed remedies for the LLM case specifically [wang2026observations]. The recommender-systems literature supplies the canonical prior result this work inherits: feedback-loop amplification in collaborative filtering is a documented, quantified phenomenon [mansoury2020feedback], and it establishes the theoretical plausibility of the same mechanism in any system that uses its own output distribution to shape future input.</w:t>
      </w:r>
    </w:p>
    <w:p>
      <w:r>
        <w:rPr>
          <w:b/>
        </w:rPr>
        <w:t>What conflicts or is contested.</w:t>
      </w:r>
      <w:r>
        <w:t xml:space="preserve"> The core amplification finding is not contested at the sign level: all documented T-axis results report Δ^(t) rising, not falling, which is consistent with the φ_fb &gt; 1 regime. The contestation is quantitative and boundary-conditional. First, the magnitude of sycophantic drift is setup-dependent. Studies vary in how aggressively they simulate disagreement pressure, and the reported drift rates are not yet replicated across task types with matched stimuli; it remains unclear whether the same φ_fb obtains in low-stakes dialogue, consequential decision-support dialogue, and agentic tool-using settings, or whether the agent's action-committed loop (where each turn includes an irreversible tool call) amplifies more than a purely conversational loop. Second, the deployment-loop evidence is thin: [wyllie2024fairness] and [wang2026observations] work on LLM-generated text specifically, and the fairness implications are inferred rather than directly measured against a demographic counterfactual. The recommender analogy from [mansoury2020feedback] is well-founded but concerns a structurally simpler system; whether the same amplification rate transfers to the LLM policy case is an assumption, not a finding. Third, there is a tension between the intra-trajectory and inter-session loops that the literature does not resolve: it is possible (and consistent with existing data) that memory-cleared session boundaries reset Δ^(t), so the inter-session loop only amplifies if persistent memory is architecturally enabled. No study varies memory persistence as a controlled factor while measuring drift, so the relative contribution of the two timescales to long-run disparity is unknown.</w:t>
      </w:r>
    </w:p>
    <w:p>
      <w:r>
        <w:rPr>
          <w:b/>
        </w:rPr>
        <w:t>What transfers only by analogy.</w:t>
      </w:r>
      <w:r>
        <w:t xml:space="preserve"> Sycophancy as a mechanism is well-documented at the single-turn and chatbot level, but the measurements that establish its origin in human-preference training [sharma2024understanding][†] are based on single-turn or short-context evaluations, not on instrumented agent loops with committed actions. Projecting that the same preference-optimization pressure produces the same drift rate in an action-taking agent is a motivated but untested inference: an agent whose sycophantic conformity leads it to invoke a biased tool or to escalate a claim under demographic pressure is a qualitatively different harm pathway than a chatbot that produces a more agreeable paragraph. Similarly, the formal sequential-fairness framework of [hu2022achieving][†] and the equal long-term benefit rate criterion of [xu2024adapting][†] were developed for explicit sequential decision processes with known transition dynamics, not for LLM agents whose transition function is a neural policy with opaque internal state. The theory proves that static per-step fairness constraints can fail over horizons and provides ATTENUATE-regime interventions in principle; none of those interventions has been implemented or tested in an LLM agent, so the applicability is analogy, not transfer. The simulation-based drift analysis tooling of [she2025fairsense][†] is similarly adjacent: it was designed for ML-enabled systems generically and has not been applied to an instrumented LLM agent trajectory.</w:t>
      </w:r>
    </w:p>
    <w:p>
      <w:r>
        <w:rPr>
          <w:b/>
        </w:rPr>
        <w:t>What is unmeasured.</w:t>
      </w:r>
      <w:r>
        <w:t xml:space="preserve"> The central gap on the T-axis is the absence of any estimate of φ_fb for a deployed LLM agent. To estimate φ_fb, one needs: (a) a demographically instrumented agent with logged traces across turns or sessions, (b) a counterfactual replay protocol that holds the locus-specific input fixed while varying the temporal accumulation, and (c) a scalar disparity measure Δ^(t) that can be tracked as a time series. None of the three exists in a published evaluation. Equivalently, the sequential-fairness theory [hu2022achieving, xu2024adapting] and the LLM-drift empirics [fan2024fairmt, ma2026implicit] have not been joined: no work evaluates an LLM agent against a formal long-term-fairness criterion over a realistic multi-session deployment. The field therefore cannot yet answer the most consequential question the T-axis raises: whether the documented intra-trajectory drift (φ_fb &gt; 1, measured over tens of turns) compounds into materially disparate outcomes over realistic deployment durations (hundreds of sessions, one or more retraining cycles). The metric gap is specific: a drift-rate benchmark would need to report the slope of Δ^(t) across turns and sessions as a first-class evaluation output, the long-term benefit-rate gap [xu2024adapting] as a criterion against which that slope is evaluated, and a φ_fb point estimate with confidence bounds per locus. None of those metrics appears in any existing agent benchmark (Table 2, §4.4).</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pPr>
        <w:pStyle w:val="Heading2"/>
      </w:pPr>
      <w:r>
        <w:t>3.7 Compounding Across the Pipeline: Proposition P3 and Its Limits</w:t>
      </w:r>
    </w:p>
    <w:p>
      <w:r>
        <w:t xml:space="preserve">The six entries are not additive, and Proposition P3 says when they can fail to be: </w:t>
      </w:r>
      <w:r>
        <w:rPr>
          <w:b/>
        </w:rPr>
        <w:t>Δ_τ can exceed the naive sum Σ_c |Δ_c| when at least one AMPLIFY or GENERATE edge lies on a conduction path.</w:t>
      </w:r>
      <w:r>
        <w:t xml:space="preserve"> This is the formal content of what we call the </w:t>
      </w:r>
      <w:r>
        <w:rPr>
          <w:i/>
        </w:rPr>
        <w:t>agentic multiplier</w:t>
      </w:r>
      <w:r>
        <w:t xml:space="preserve">, and it converts a rhetorical worry ("agents make bias worse") into a checkable property of a logged trace: estimate the φ_e's; under the linearized magnitude model, some φ_e &gt; 1 or a fresh entry mid-path is necessary for super-additivity (not sufficient, since it can be offset downstream). Conversely (and this direction is just as consequential for auditors), if every edge in a pipeline is PRESERVE or ATTENUATE and no interaction term is present,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large-scale simulations show that fairness in multi-agent decision systems is </w:t>
      </w:r>
      <w:r>
        <w:rPr>
          <w:i/>
        </w:rPr>
        <w:t>emergent</w:t>
      </w:r>
      <w:r>
        <w:t>, not reliably inherited, so component audits cannot be assumed to compose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(the §6.5 pilot reports endpoint metrics only; these paired/interior estimates await the full study). Until such measurements exist, claims that "agentic bias compounds across the pipeline" (including informal versions in prior drafts of this survey) should be read as hypotheses licensed by P3's mechanism, not as established findings.</w:t>
      </w:r>
    </w:p>
    <w:p>
      <w:r>
        <w:t>The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(selection skew independent of task fitness is already documented [blankenstein2025biasbusters], and vendor-controlled descriptions are adversarially steerable [sneh2025tooltweak]; whether the demographic framing of a profile changes </w:t>
      </w:r>
      <w:r>
        <w:rPr>
          <w:i/>
        </w:rPr>
        <w:t>which</w:t>
      </w:r>
      <w:r>
        <w:t xml:space="preserve"> verification API is invoked is precisely the unmeasured demographic-swap question of §3.1)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(the §6.5 pilot reports endpoint metrics only; these paired/interior estimates await the full study):</w:t>
      </w:r>
    </w:p>
    <w:p>
      <w:r>
        <w:t xml:space="preserve">1. </w:t>
      </w:r>
      <w:r>
        <w:rPr>
          <w:b/>
        </w:rPr>
        <w:t>Instrument the trace.</w:t>
      </w:r>
      <w:r>
        <w:t xml:space="preserve"> Log every component interface of D1 (tool calls and registry state, retrieved sets, memory reads/writes, inter-agent messages, plan objects, final action), not just the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fine-tuning or aggregation-stage chain reweighting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$\pi_{\mathrm{ctrl}}$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This is the sequential-screening analogue of the fair-sequential-decision results: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$\pi_{\mathrm{ctrl}}$,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Definition 4.2b (Signed component disparity, MSD).</w:t>
      </w:r>
      <w:r>
        <w:t xml:space="preserve"> For an </w:t>
      </w:r>
      <w:r>
        <w:rPr>
          <w:i/>
        </w:rPr>
        <w:t>ordered</w:t>
      </w:r>
      <w:r>
        <w:t xml:space="preserve"> emission space with a stated favorable-direction convention (e.g., a higher score, rank, or confidence is favorable to the subject), the signed component disparity is $\mathrm{MSD}_c(\mathcal{A}) = \mathbb{E}_{x \sim \mathcal{X}} \big[\, s_c(\tau_{\mathcal{A}}(\sigma(x))) - s_c(\tau_{\mathcal{A}}(x)) \,\big]$, the mean directional shift induced by the swap. Flip-type discrete emissions carry no sign without an orientation convention and so admit no MSD. The relation to the magnitude metrics is deliberate: the §4.2-4.3 metrics (CFR, MASD, and the TID/ESD/PAD of §4.3) estimate magnitudes $|\Delta_c|$, which is what an isolated-locus disparity audit needs; cancellation diagnosis under P2, where oppositely signed component contributions sum toward an endpoint near parity, requires the signed variant, because two large $|\Delta_c|$ that cancel are visible only once their signs are recovered.</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(the §6.5 pilot reports endpoint metrics only; these paired/interior estimates await the full study).</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layered: that selection skew is measurable and manipulable at all is established by the provider- and ordering-preference results of [blankenstein2025biasbusters, sneh2025tooltweak], which ride on the same surface-form sensitivities as option-order bias [pezeshkpour2023large] but involve no sensitive attributes; the existence evidence for the demographic question itself rests on [xu2026ducx], where the tool stages account for an attributable share of total disparity in the one clinical agent where the decomposition has been run.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(the §6.5 pilot reports endpoint metrics only; these paired/interior estimates await the full study).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routing,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the entry locus or downstream on its conduction path</w:t>
      </w:r>
      <w:r>
        <w:t xml:space="preserve"> </w:t>
      </w:r>
      <w:r>
        <w:rPr>
          <w:b/>
        </w:rPr>
        <w:t>and</w:t>
      </w:r>
      <w:r>
        <w:t xml:space="preserve"> on the active conduction operator φ at that locus. When an intervention operates upstream of the entry locus, the disparity it targets has not yet entered the pipeline, so there is nothing for it to attenuate (the prompting ceiling of §5.1); an intervention placed off the conduction path likewise leaves the operator free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This is the BCF's component-locality principle (P1):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trains a Fairness Reward Model that scores </w:t>
      </w:r>
      <w:r>
        <w:rPr>
          <w:i/>
        </w:rPr>
        <w:t>complete</w:t>
      </w:r>
      <w:r>
        <w:t xml:space="preserve"> reasoning chains against equalized opportunity and equalized odds criteria and reweights those chains during post-generation aggregation, leaving the internal reasoning untouched; this functions as an aggregation-stage ATTENUATE edge on the planning locus's output rather than an in-trace guardrail. The approach is significant because it is the only corpus paper that scores whole reasoning chains for fairness rather than only the final decision, approximating D2's Δ\_c measurement at the planning locus from outside the trace.</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(chain reweighting)</w:t>
            </w:r>
          </w:p>
        </w:tc>
        <w:tc>
          <w:tcPr>
            <w:tcW w:type="dxa" w:w="1440"/>
          </w:tcPr>
          <w:p>
            <w:r>
              <w:t>Post-generation aggregation</w:t>
            </w:r>
          </w:p>
        </w:tc>
        <w:tc>
          <w:tcPr>
            <w:tcW w:type="dxa" w:w="1440"/>
          </w:tcPr>
          <w:p>
            <w:r>
              <w:t>Fairness Reward Model reweighting complete reasoning chains (equalized opportunity/odds)</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GENERATE on zero user-level input (disparity on zero input is GENERATE by D3)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Fairness-Reward-Model reweighting of complete reasoning chains at post-generation aggregation [hall2025guiding]; reasoning-guided SFT [kabra2025reasoning]</w:t>
            </w:r>
          </w:p>
        </w:tc>
        <w:tc>
          <w:tcPr>
            <w:tcW w:type="dxa" w:w="1728"/>
          </w:tcPr>
          <w:p>
            <w:r>
              <w:rPr>
                <w:b/>
              </w:rPr>
              <w:t>Partial</w:t>
            </w:r>
            <w:r>
              <w:t xml:space="preserve"> (aggregation-stage chain reweighting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6. Empirical Study: A Cross-Framework Bias Audit: Protocol and Design</w:t>
      </w:r>
    </w:p>
    <w:p>
      <w:r>
        <w:t xml:space="preserve">The taxonomy of §3 argues that fairness in LLM-based agents is a property of pipeline components and their actions. The Bias Conduction Framework (BCF) formalizes this: P2 (Masking) holds that component-level disparity Δ_c may be invisible to metrics restricted to the output node; P3 (Super-additivity) holds that trajectory disparity Δ_τ ≈ Σ_c Δ_c · Π φ_e can exceed the sum of per-component disparities when conduction operators φ_e &gt; 1 along active pipeline edges. This section registers a </w:t>
      </w:r>
      <w:r>
        <w:rPr>
          <w:b/>
        </w:rPr>
        <w:t>cross-framework bias audit</w:t>
      </w:r>
      <w:r>
        <w:t xml:space="preserve"> that serves as the BCF's primary falsification instrument: the same consequential-decision task is routed through four agent configurations (C0 to C3) spanning the BCF's conduction-operator space, and disparity is measured simultaneously at the answer level and at the action level.</w:t>
      </w:r>
    </w:p>
    <w:p>
      <w:r>
        <w:rPr>
          <w:b/>
        </w:rPr>
        <w:t>The protocol is fully specified below; Section 6.5 reports a small pilot run. The pilot is directional only, with a small sample and deliberately narrow scope, and no claim in this manuscript outside §6.5 rests on its results.</w:t>
      </w:r>
    </w:p>
    <w:p>
      <w:pPr>
        <w:pStyle w:val="Heading2"/>
      </w:pPr>
      <w:r>
        <w:t>6.1 Experimental Setup</w:t>
      </w:r>
    </w:p>
    <w:p>
      <w:r>
        <w:rPr>
          <w:b/>
        </w:rPr>
        <w:t>Task and domain.</w:t>
      </w:r>
      <w:r>
        <w:t xml:space="preserve"> The task is resume screening for a fixed job requisition, with loan-application triage as a pre-registered replication domain. Both are chosen because non-agentic LLM disparities are already documented in the corpus, providing a calibrated C0 baseline: hiring disparities are established by [nghiem2024you], [veldanda2023emily], [wilson2024gender], and [an2025measuring]; lending disparities by [bowen2024measuring], [feng2023empowering], and [azime2025accept]. Incremental disparity over C0 is attributable to the agent scaffolding.</w:t>
      </w:r>
    </w:p>
    <w:p>
      <w:r>
        <w:rPr>
          <w:b/>
        </w:rPr>
        <w:t>Profiles and perturbation.</w:t>
      </w:r>
      <w:r>
        <w:t xml:space="preserve"> All profiles are fully synthetic (N = 10 profiles; no IRB required). Base profiles hold qualifications fixed; counterfactual variants substitute only the demographic signal, primarily via candidate names following [nghiem2024you] and [pawar2025presumed], and secondarily via explicit demographic cue labels. Because cue format is a measurement confound [tonneau2026different], the cue channel is varied as a controlled factor.</w:t>
      </w:r>
    </w:p>
    <w:p>
      <w:r>
        <w:rPr>
          <w:b/>
        </w:rPr>
        <w:t>Agent configurations.</w:t>
      </w:r>
      <w:r>
        <w:t xml:space="preserve"> The independent variable is architecture; base model, prompt scaffold, and decision rubric are held constant across all four conditions. Models are version-pinned and temperature is fixed at zero.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Architecture</w:t>
            </w:r>
          </w:p>
        </w:tc>
        <w:tc>
          <w:tcPr>
            <w:tcW w:type="dxa" w:w="2160"/>
          </w:tcPr>
          <w:p>
            <w:r>
              <w:rPr>
                <w:b/>
              </w:rPr>
              <w:t>BCF conduction profile</w:t>
            </w:r>
          </w:p>
        </w:tc>
        <w:tc>
          <w:tcPr>
            <w:tcW w:type="dxa" w:w="2160"/>
          </w:tcPr>
          <w:p>
            <w:r>
              <w:rPr>
                <w:b/>
              </w:rPr>
              <w:t>Primary proposition</w:t>
            </w:r>
          </w:p>
        </w:tc>
      </w:tr>
      <w:tr>
        <w:tc>
          <w:tcPr>
            <w:tcW w:type="dxa" w:w="2160"/>
          </w:tcPr>
          <w:p>
            <w:r>
              <w:t>C0</w:t>
            </w:r>
          </w:p>
        </w:tc>
        <w:tc>
          <w:tcPr>
            <w:tcW w:type="dxa" w:w="2160"/>
          </w:tcPr>
          <w:p>
            <w:r>
              <w:t>Single-call LLM, no tools</w:t>
            </w:r>
          </w:p>
        </w:tc>
        <w:tc>
          <w:tcPr>
            <w:tcW w:type="dxa" w:w="2160"/>
          </w:tcPr>
          <w:p>
            <w:r>
              <w:t>No pipeline edges active (baseline)</w:t>
            </w:r>
          </w:p>
        </w:tc>
        <w:tc>
          <w:tcPr>
            <w:tcW w:type="dxa" w:w="2160"/>
          </w:tcPr>
          <w:p>
            <w:r>
              <w:t>P2 Masking: output-only gap</w:t>
            </w:r>
          </w:p>
        </w:tc>
      </w:tr>
      <w:tr>
        <w:tc>
          <w:tcPr>
            <w:tcW w:type="dxa" w:w="2160"/>
          </w:tcPr>
          <w:p>
            <w:r>
              <w:t>C1</w:t>
            </w:r>
          </w:p>
        </w:tc>
        <w:tc>
          <w:tcPr>
            <w:tcW w:type="dxa" w:w="2160"/>
          </w:tcPr>
          <w:p>
            <w:r>
              <w:t>Single-LLM with tool use [schick2023toolformer]</w:t>
            </w:r>
          </w:p>
        </w:tc>
        <w:tc>
          <w:tcPr>
            <w:tcW w:type="dxa" w:w="2160"/>
          </w:tcPr>
          <w:p>
            <w:r>
              <w:t>φ active at tool-selection edge</w:t>
            </w:r>
          </w:p>
        </w:tc>
        <w:tc>
          <w:tcPr>
            <w:tcW w:type="dxa" w:w="2160"/>
          </w:tcPr>
          <w:p>
            <w:r>
              <w:t>P1 Locality: edge isolable</w:t>
            </w:r>
          </w:p>
        </w:tc>
      </w:tr>
      <w:tr>
        <w:tc>
          <w:tcPr>
            <w:tcW w:type="dxa" w:w="2160"/>
          </w:tcPr>
          <w:p>
            <w:r>
              <w:t>C2</w:t>
            </w:r>
          </w:p>
        </w:tc>
        <w:tc>
          <w:tcPr>
            <w:tcW w:type="dxa" w:w="2160"/>
          </w:tcPr>
          <w:p>
            <w:r>
              <w:t>ReAct reasoning-and-acting [yao2023react]</w:t>
            </w:r>
          </w:p>
        </w:tc>
        <w:tc>
          <w:tcPr>
            <w:tcW w:type="dxa" w:w="2160"/>
          </w:tcPr>
          <w:p>
            <w:r>
              <w:t>φ cumulative over reasoning + retrieval</w:t>
            </w:r>
          </w:p>
        </w:tc>
        <w:tc>
          <w:tcPr>
            <w:tcW w:type="dxa" w:w="2160"/>
          </w:tcPr>
          <w:p>
            <w:r>
              <w:t>P3 Super-additivity: two-edge</w:t>
            </w:r>
          </w:p>
        </w:tc>
      </w:tr>
      <w:tr>
        <w:tc>
          <w:tcPr>
            <w:tcW w:type="dxa" w:w="2160"/>
          </w:tcPr>
          <w:p>
            <w:r>
              <w:t>C3</w:t>
            </w:r>
          </w:p>
        </w:tc>
        <w:tc>
          <w:tcPr>
            <w:tcW w:type="dxa" w:w="2160"/>
          </w:tcPr>
          <w:p>
            <w:r>
              <w:t>Two-agent delegation/debate [wu2023autogen]</w:t>
            </w:r>
          </w:p>
        </w:tc>
        <w:tc>
          <w:tcPr>
            <w:tcW w:type="dxa" w:w="2160"/>
          </w:tcPr>
          <w:p>
            <w:r>
              <w:t>φ at delegation edge; GENERATE possible</w:t>
            </w:r>
          </w:p>
        </w:tc>
        <w:tc>
          <w:tcPr>
            <w:tcW w:type="dxa" w:w="2160"/>
          </w:tcPr>
          <w:p>
            <w:r>
              <w:t>P3 + P4: multiplier + matching</w:t>
            </w:r>
          </w:p>
        </w:tc>
      </w:tr>
    </w:tbl>
    <w:p/>
    <w:p>
      <w:r>
        <w:rPr>
          <w:i/>
        </w:rPr>
        <w:t>Takeaway: The C0 to C3 ladder directly operationalizes BCF conduction-operator profiles; each configuration adds exactly one class of pipeline edge, enabling controlled attribution of disparity increments.</w:t>
      </w:r>
    </w:p>
    <w:p>
      <w:pPr>
        <w:pStyle w:val="Heading2"/>
      </w:pPr>
      <w:r>
        <w:t>6.2 Metrics</w:t>
      </w:r>
    </w:p>
    <w:p>
      <w:r>
        <w:rPr>
          <w:b/>
        </w:rPr>
        <w:t>Answer-level disparity.</w:t>
      </w:r>
      <w:r>
        <w:t xml:space="preserve"> The </w:t>
      </w:r>
      <w:r>
        <w:rPr>
          <w:b/>
        </w:rPr>
        <w:t>Counterfactual Flip Rate (CFR)</w:t>
      </w:r>
      <w:r>
        <w:t xml:space="preserve"> and </w:t>
      </w:r>
      <w:r>
        <w:rPr>
          <w:b/>
        </w:rPr>
        <w:t>Mean Absolute Score Difference (MASD)</w:t>
      </w:r>
      <w:r>
        <w:t xml:space="preserve"> of [mayilvaghanan2026counterfactual] are computed at the output node, corresponding to D2's Δ_c restricted to the final verdict. Reporting both a binary-flip and a continuous-magnitude statistic follows the intervention-consistency design of [basu2026names].</w:t>
      </w:r>
    </w:p>
    <w:p>
      <w:r>
        <w:rPr>
          <w:b/>
        </w:rPr>
        <w:t>Action-level disparity.</w:t>
      </w:r>
      <w:r>
        <w:t xml:space="preserve"> For C1 to C3, three Δ_c quantities are computed at intermediate pipeline edges:</w:t>
      </w:r>
    </w:p>
    <w:p>
      <w:pPr>
        <w:pStyle w:val="ListBullet"/>
      </w:pPr>
      <w:r>
        <w:rPr>
          <w:i/>
        </w:rPr>
        <w:t>Tool-invocation disparity</w:t>
      </w:r>
      <w:r>
        <w:t xml:space="preserve"> (Δ_c at tool-selection): differential distribution over invoked tools across counterfactual conditions, extending the selection-skew measurement of [blankenstein2025biasbusters] to the demographic-conditioned setting studied by [xu2026ducx].</w:t>
      </w:r>
    </w:p>
    <w:p>
      <w:pPr>
        <w:pStyle w:val="ListBullet"/>
      </w:pPr>
      <w:r>
        <w:rPr>
          <w:i/>
        </w:rPr>
        <w:t>Decision-action disparity</w:t>
      </w:r>
      <w:r>
        <w:t xml:space="preserve"> (Δ_c at planning/output): differential advance/reject or approve/deny rates, per [li2025actions].</w:t>
      </w:r>
    </w:p>
    <w:p>
      <w:pPr>
        <w:pStyle w:val="ListBullet"/>
      </w:pPr>
      <w:r>
        <w:rPr>
          <w:i/>
        </w:rPr>
        <w:t>Escalation/deferral disparity</w:t>
      </w:r>
      <w:r>
        <w:t xml:space="preserve"> (Δ_c at routing): differential rates of human escalation or information-request, a channel where P2 Masking operates at the routing level.</w:t>
      </w:r>
    </w:p>
    <w:p>
      <w:r>
        <w:t>All six quantities are reported on a comparable counterfactual-pair footing in a single results table, making the P2-Masking gap directly quantifiable.</w:t>
      </w:r>
    </w:p>
    <w:p>
      <w:pPr>
        <w:pStyle w:val="Heading2"/>
      </w:pPr>
      <w:r>
        <w:t>6.3 Hypotheses</w:t>
      </w:r>
    </w:p>
    <w:p>
      <w:r>
        <w:rPr>
          <w:b/>
        </w:rPr>
        <w:t>H1: P2 Masking is real.</w:t>
      </w:r>
      <w:r>
        <w:t xml:space="preserve"> In at least one configuration, answer-level CFR/MASD is small or statistically indistinguishable from C0 while action-level Δ_c is materially larger [li2025actions].</w:t>
      </w:r>
    </w:p>
    <w:p>
      <w:r>
        <w:rPr>
          <w:b/>
        </w:rPr>
        <w:t>H2: Amplification ordering (a proxy for P3, since the pilot does not estimate the component sum).</w:t>
      </w:r>
      <w:r>
        <w:t xml:space="preserve"> Total trajectory disparity is non-decreasing along C0 ⪯ C1 ⪯ C2 ⪯ C3, with C3 exhibiting the largest magnitude, consistent with multi-agent amplification [madigan2025emergent, nguyen2025social, cao2026from]. A registered counter-hypothesis: C3 debate can reduce disparity via anonymization [choi2025identity] or ensemble debiasing [owens2024multi]; the sign of the C3 effect is an open empirical question.</w:t>
      </w:r>
    </w:p>
    <w:p>
      <w:r>
        <w:t>Statistical treatment: paired contrasts, 95% confidence intervals, Bonferroni correction across the configuration × cue-channel grid; null results reported as such.</w:t>
      </w:r>
    </w:p>
    <w:p>
      <w:pPr>
        <w:pStyle w:val="Heading2"/>
      </w:pPr>
      <w:r>
        <w:t>6.4 The Role of This Audit</w:t>
      </w:r>
    </w:p>
    <w:p>
      <w:r>
        <w:t xml:space="preserve">This study is deliberately modest in scale. It serves three purposes. First, it provides a </w:t>
      </w:r>
      <w:r>
        <w:rPr>
          <w:b/>
        </w:rPr>
        <w:t>constructive existence proof</w:t>
      </w:r>
      <w:r>
        <w:t xml:space="preserve"> of P2 Masking and P3 Super-additivity as empirically measurable phenomena. Second, it establishes a </w:t>
      </w:r>
      <w:r>
        <w:rPr>
          <w:b/>
        </w:rPr>
        <w:t>methodological template</w:t>
      </w:r>
      <w:r>
        <w:t xml:space="preserve"> (pinned models, synthetic counterfactuals, paired answer/action metrics, BCF-labeled configurations) that is portable across domains. Third, it serves as a </w:t>
      </w:r>
      <w:r>
        <w:rPr>
          <w:b/>
        </w:rPr>
        <w:t>design seed</w:t>
      </w:r>
      <w:r>
        <w:t xml:space="preserve"> for the acting-agent benchmark called for in §8.1. FairMedAgent, a forthcoming companion benchmark for clinical acting agents evaluated under matched demographic counterfactuals, is one scaled realization of this instrumentation; its development is independent of this survey's claims.</w:t>
      </w:r>
    </w:p>
    <w:p>
      <w:pPr>
        <w:pStyle w:val="Heading2"/>
      </w:pPr>
      <w:r>
        <w:t>6.5 Results: A Pilot Run</w:t>
      </w:r>
    </w:p>
    <w:p>
      <w:r>
        <w:t xml:space="preserve">We report a </w:t>
      </w:r>
      <w:r>
        <w:rPr>
          <w:i/>
        </w:rPr>
        <w:t>pilot</w:t>
      </w:r>
      <w:r>
        <w:t xml:space="preserve"> instantiation of the protocol, deliberately small and explicitly bounded in what it can support. The model under test is Claude Haiku 4.5 at temperature 0; the task is resume screening over the 10 synthetic profiles of §6.1; the counterfactual is a single name pair, a White-male-coded name and a Black-female-coded name in the lineage of [veldanda2023emily], applied to identical resume content; and three configurations are run: C0 (single call), C2 (reason-then-decide), and C3 (a two-role recruiter-reviewer deliberation within one context). This pilot instantiates the answer-level statistics (CFR, MASD) and the decision-action disparity; the tool-invocation and escalation metrics of §6.2, which require a tool-using deployment, are left to the full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n pairs</w:t>
            </w:r>
          </w:p>
        </w:tc>
        <w:tc>
          <w:tcPr>
            <w:tcW w:type="dxa" w:w="1728"/>
          </w:tcPr>
          <w:p>
            <w:r>
              <w:rPr>
                <w:b/>
              </w:rPr>
              <w:t>CFR</w:t>
            </w:r>
          </w:p>
        </w:tc>
        <w:tc>
          <w:tcPr>
            <w:tcW w:type="dxa" w:w="1728"/>
          </w:tcPr>
          <w:p>
            <w:r>
              <w:rPr>
                <w:b/>
              </w:rPr>
              <w:t>MASD (0-100 score)</w:t>
            </w:r>
          </w:p>
        </w:tc>
        <w:tc>
          <w:tcPr>
            <w:tcW w:type="dxa" w:w="1728"/>
          </w:tcPr>
          <w:p>
            <w:r>
              <w:rPr>
                <w:b/>
              </w:rPr>
              <w:t>Advance-rate disparity</w:t>
            </w:r>
          </w:p>
        </w:tc>
      </w:tr>
      <w:tr>
        <w:tc>
          <w:tcPr>
            <w:tcW w:type="dxa" w:w="1728"/>
          </w:tcPr>
          <w:p>
            <w:r>
              <w:t>C0 single call</w:t>
            </w:r>
          </w:p>
        </w:tc>
        <w:tc>
          <w:tcPr>
            <w:tcW w:type="dxa" w:w="1728"/>
          </w:tcPr>
          <w:p>
            <w:r>
              <w:t>10</w:t>
            </w:r>
          </w:p>
        </w:tc>
        <w:tc>
          <w:tcPr>
            <w:tcW w:type="dxa" w:w="1728"/>
          </w:tcPr>
          <w:p>
            <w:r>
              <w:t>0.00</w:t>
            </w:r>
          </w:p>
        </w:tc>
        <w:tc>
          <w:tcPr>
            <w:tcW w:type="dxa" w:w="1728"/>
          </w:tcPr>
          <w:p>
            <w:r>
              <w:t>1.2</w:t>
            </w:r>
          </w:p>
        </w:tc>
        <w:tc>
          <w:tcPr>
            <w:tcW w:type="dxa" w:w="1728"/>
          </w:tcPr>
          <w:p>
            <w:r>
              <w:t>0.00</w:t>
            </w:r>
          </w:p>
        </w:tc>
      </w:tr>
      <w:tr>
        <w:tc>
          <w:tcPr>
            <w:tcW w:type="dxa" w:w="1728"/>
          </w:tcPr>
          <w:p>
            <w:r>
              <w:t>C2 reason-then-decide</w:t>
            </w:r>
          </w:p>
        </w:tc>
        <w:tc>
          <w:tcPr>
            <w:tcW w:type="dxa" w:w="1728"/>
          </w:tcPr>
          <w:p>
            <w:r>
              <w:t>10</w:t>
            </w:r>
          </w:p>
        </w:tc>
        <w:tc>
          <w:tcPr>
            <w:tcW w:type="dxa" w:w="1728"/>
          </w:tcPr>
          <w:p>
            <w:r>
              <w:t>0.00</w:t>
            </w:r>
          </w:p>
        </w:tc>
        <w:tc>
          <w:tcPr>
            <w:tcW w:type="dxa" w:w="1728"/>
          </w:tcPr>
          <w:p>
            <w:r>
              <w:t>3.4</w:t>
            </w:r>
          </w:p>
        </w:tc>
        <w:tc>
          <w:tcPr>
            <w:tcW w:type="dxa" w:w="1728"/>
          </w:tcPr>
          <w:p>
            <w:r>
              <w:t>0.00</w:t>
            </w:r>
          </w:p>
        </w:tc>
      </w:tr>
      <w:tr>
        <w:tc>
          <w:tcPr>
            <w:tcW w:type="dxa" w:w="1728"/>
          </w:tcPr>
          <w:p>
            <w:r>
              <w:t>C3 two-role deliberation</w:t>
            </w:r>
          </w:p>
        </w:tc>
        <w:tc>
          <w:tcPr>
            <w:tcW w:type="dxa" w:w="1728"/>
          </w:tcPr>
          <w:p>
            <w:r>
              <w:t>10</w:t>
            </w:r>
          </w:p>
        </w:tc>
        <w:tc>
          <w:tcPr>
            <w:tcW w:type="dxa" w:w="1728"/>
          </w:tcPr>
          <w:p>
            <w:r>
              <w:t>0.00</w:t>
            </w:r>
          </w:p>
        </w:tc>
        <w:tc>
          <w:tcPr>
            <w:tcW w:type="dxa" w:w="1728"/>
          </w:tcPr>
          <w:p>
            <w:r>
              <w:t>6.4</w:t>
            </w:r>
          </w:p>
        </w:tc>
        <w:tc>
          <w:tcPr>
            <w:tcW w:type="dxa" w:w="1728"/>
          </w:tcPr>
          <w:p>
            <w:r>
              <w:t>0.00</w:t>
            </w:r>
          </w:p>
        </w:tc>
      </w:tr>
    </w:tbl>
    <w:p/>
    <w:p>
      <w:r>
        <w:rPr>
          <w:i/>
        </w:rPr>
        <w:t>Takeaway: decision-level parity (CFR and advance-rate disparity both 0) coexists with a score-level disparity (MASD) that grows monotonically with scaffold complexity, from 1.2 at C0 to 6.4 at C3.</w:t>
      </w:r>
    </w:p>
    <w:p>
      <w:r>
        <w:t>Two patterns appear, both consistent with the framework and both heavily qualified below. First, decision-level parity masks score-level disparity: no candidate's advance-or-reject decision flips under the demographic swap (CFR = 0 in every configuration) and the advance-rate disparity is zero, yet the mean absolute score difference is nonzero throughout. This is the configuration P2 (Masking) describes, an endpoint-level analogue of P2: a coarse decision statistic masks a finer score-level disparity at the same output node; demonstrating the interior Δ_c awaits the full study. Second, the score-level disparity rises with agentic scaffolding, from 1.2 (C0) to 3.4 (C2) to 6.4 (C3), the direction predicted by P3 (Super-additivity) and stated in advance in §6.3, with the two-agent deliberation showing the largest disparity.</w:t>
      </w:r>
    </w:p>
    <w:p>
      <w:r>
        <w:rPr>
          <w:b/>
        </w:rPr>
        <w:t>Caveats: this is a directional pilot, not a confirmatory study.</w:t>
      </w:r>
      <w:r>
        <w:t xml:space="preserve"> It uses N = 10 profiles with a single counterfactual name pair that conflates race and gender; one model at one temperature; and uniformly strong resumes, which produce a ceiling effect on the binary decision (every candidate advances), so CFR cannot register and the whole signal lives in the score. The MASD magnitudes are small in absolute terms (1 to 6 points on a 0-100 scale) and carry no confidence intervals or significance tests. The monotone MASD trend across C0, C2, and C3 is suggestive of the masking-and-amplification mechanism the BCF predicts, but it rests on one small sample and could reflect score-scale noise rather than a stable effect. A confirmatory study is required before H1 or H2 can be claimed as established: larger N; multiple name pairs that decouple race, gender, and other attributes; borderline as well as strong profiles to break the decision-level ceiling; tool-using configurations that expose tool-invocation and escalation disparity; and paired statistical tests with corrected confidence intervals. The pilot also instantiates only a restricted slice of the protocol's configurations: its C2 covers only the reasoning edge (reason-then-decide with no retrieval or tools), and its C3 is a single-context recruiter-reviewer proxy for delegation rather than a true two-agent edge with a π_ctrl controller; a full two-agent configuration is future work. The harness, synthetic profiles, and raw decisions will be released with the camera-ready.</w:t>
      </w:r>
    </w:p>
    <w:p>
      <w:pPr>
        <w:pStyle w:val="Heading1"/>
      </w:pPr>
      <w:r>
        <w:t>7. Coverage Map and Cross-Analysis</w:t>
      </w:r>
    </w:p>
    <w:p>
      <w:r>
        <w:t>This section projects the 202-paper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202 unique papers</w:t>
      </w:r>
      <w:r>
        <w:t xml:space="preserve">. Of these, </w:t>
      </w:r>
      <w:r>
        <w:rPr>
          <w:b/>
        </w:rPr>
        <w:t>59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59 unique component-tagged papers generate </w:t>
      </w:r>
      <w:r>
        <w:rPr>
          <w:b/>
        </w:rPr>
        <w:t>68 component-branch entries</w:t>
      </w:r>
      <w:r>
        <w:t xml:space="preserve"> across the coverage matrix, more entries than papers. All counts in the narrative below follow this multi-tag convention. The remaining 143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tool selection, [blankenstein2025biasbusters] documents the selection-skew signature from tool-description surface features alone (the closest single-locus instance, distinct from the amplification [ma2026implicit] documents in the memory accumulation process). Outside these, the GENERATE column is largely empty. This is the empirical frontier the audit of §6 is designed to probe.</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a subdimension of a seven-dimensional clinical taxonomy, neither makes component coverage its unit of analysis. Where [ranjan2025fairness] proposes a framework for fairness in multi-agent AI broadly,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GENERATE is thinly populated across every locus; multi-agent delegation is the only locus with more than one GENERATE entry,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not just model parameters).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A pilot of the cross-framework audit (§6) illustrates the pattern P2 and P3 predict, decision-level parity masking a score-level disparity that grows with agentic scaffolding, though a full confirmatory study remains future work.</w:t>
      </w:r>
    </w:p>
    <w:p>
      <w:r>
        <w:t>The measurement gap documented by this survey is a gap in accountability infrastructure, not in tooling alone. LLMs and LLM-based agents are being deployed, piloted, and evaluated in consequential decision settings, including hiring [veldanda2023emily, wilson2024gender, nghiem2024you], clinical decision support [poulain2024bias, omar2025sociodemographic], lending [bowen2024measuring, feng2023empowering], and education [weissburg2024llms] (much of the cited evidence is audit or evaluation in these settings rather than confirmed operational deployment),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not only for inadvertent bias but also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202-paper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of the Pilot Audit</w:t>
      </w:r>
    </w:p>
    <w:p>
      <w:r>
        <w:t>The cross-framework audit of §6 is reported only as a small directional pilot (§6.5). As a result:</w:t>
      </w:r>
    </w:p>
    <w:p>
      <w:pPr>
        <w:pStyle w:val="ListBullet"/>
      </w:pPr>
      <w:r>
        <w:t>The BCF propositions P2 and P3 are supported by theoretical derivation, by the multi-paper evidence cited throughout §§3-4, and now by a directional pilot whose MASD trend (1.2, 3.4, 6.4 across C0, C2, C3) is consistent with masking-and-amplification. They are not confirmed: the pilot uses N = 10, a single race-and-gender-conflated name pair, one model, and uniformly strong resumes that produce a decision-level ceiling. Readers should treat P2 and P3 as well-motivated hypotheses with strong indirect support and one small consistent pilot, not as empirically confirmed claims.</w:t>
      </w:r>
    </w:p>
    <w:p>
      <w:pPr>
        <w:pStyle w:val="ListBullet"/>
      </w:pPr>
      <w:r>
        <w:t>The conduction-operator tagging in Figure 3 reflects the survey authors' interpretation of whether each cited paper's finding instantiates ATTENUATE, PRESERVE, AMPLIFY, or GENERATE at the relevant locus, not a standardized classification applied by the original authors. Some cells may be reclassified as the audit methodology is refined.</w:t>
      </w:r>
    </w:p>
    <w:p>
      <w:pPr>
        <w:pStyle w:val="ListBullet"/>
      </w:pPr>
      <w:r>
        <w:t>The pilot instantiates only the answer-level metrics (CFR, MASD) and the decision-action disparity. The remaining action-level metrics (tool-invocation disparity, escalation disparity, plan-allocation disparity) are specified in §6.2 but require a tool-using deployment and have not been computed; their distributional properties, sensitivity, and test-retest reliability are unknown until the full study.</w:t>
      </w:r>
    </w:p>
    <w:p>
      <w:r>
        <w:t>These limitations are by design: the survey's contribution is the framework, the protocol, and a first directional measurement, not a confirmatory empirical study. The harness and data are released as a replication target; the full study is the immediate next step (§8.1).</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Sneh et al.. (2025). ToolTweak: An Attack on Tool Selection in LLM-based Agents.. ArXiv preprint. arXiv:2510.02554</w:t>
      </w:r>
    </w:p>
    <w:p>
      <w:pPr>
        <w:ind w:left="360" w:hanging="360"/>
      </w:pPr>
      <w:r>
        <w:t>Hall et al.. (2025). Guiding LLM Decision-Making with Fairness Reward Models.. arXiv preprint. arXiv:2507.11344</w:t>
      </w:r>
    </w:p>
    <w:p>
      <w:pPr>
        <w:ind w:left="360" w:hanging="360"/>
      </w:pPr>
      <w:r>
        <w:t>Pawar et al.. (2025). Presumed Cultural Identity: How Names Shape LLM Responses.. arXiv preprint. arXiv:2502.11995</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Wang et al.. (2025). Bias Amplification in RAG: Poisoning Knowledge Retrieval to Steer LLMs.. ArXiv preprint. arXiv:2506.11415</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Liu et al.. (2023). Lost in the Middle: How Language Models Use Long Contexts.. Transactions of the Association for Computational Linguistics (TACL). arXiv:2307.03172</w:t>
      </w:r>
    </w:p>
    <w:p>
      <w:pPr>
        <w:ind w:left="360" w:hanging="360"/>
      </w:pPr>
      <w:r>
        <w:t>Qian et al.. (2024). ChatDev: Communicative Agents for Software Development.. ACL. arXiv:2307.07924</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Mirza et al.. (2025). MALIBU Benchmark: Multi-Agent LLM Implicit Bias Uncovered.. arXiv preprint. arXiv:2507.01019</w:t>
      </w:r>
    </w:p>
    <w:p>
      <w:pPr>
        <w:ind w:left="360" w:hanging="360"/>
      </w:pPr>
      <w:r>
        <w:t>Ki et al.. (2025). Multiple LLM Agents Debate for Equitable Cultural Alignment.. ACL 2025 (Oral). arXiv:2505.24671</w:t>
      </w:r>
    </w:p>
    <w:p>
      <w:pPr>
        <w:ind w:left="360" w:hanging="360"/>
      </w:pPr>
      <w:r>
        <w:t>Deshpande et al.. (2023). Toxicity in ChatGPT: Analyzing Persona-assigned Language Models.. EMNLP Findings. arXiv:2304.05335</w:t>
      </w:r>
    </w:p>
    <w:p>
      <w:pPr>
        <w:ind w:left="360" w:hanging="360"/>
      </w:pPr>
      <w:r>
        <w:t>Kambhampati. (2024). Can Large Language Models Reason and Plan?.. Annals of the New York Academy of Sciences. arXiv:2403.04121. doi:10.1111/nyas.15125</w:t>
      </w:r>
    </w:p>
    <w:p>
      <w:pPr>
        <w:ind w:left="360" w:hanging="360"/>
      </w:pPr>
      <w:r>
        <w:t>Kabra et al.. (2025). Reasoning Towards Fairness: Mitigating Bias in Language Models through Reasoning-Guided Fine-Tuning.. arXiv preprint. arXiv:2504.05632</w:t>
      </w:r>
    </w:p>
    <w:p>
      <w:pPr>
        <w:ind w:left="360" w:hanging="360"/>
      </w:pPr>
      <w:r>
        <w:t>Zhou et al.. (2025). Veracity Bias and Beyond: Uncovering LLMs' Hidden Beliefs in Problem-Solving Reasoning.. ACL 2025 (Main). arXiv:2505.16128</w:t>
      </w:r>
    </w:p>
    <w:p>
      <w:pPr>
        <w:ind w:left="360" w:hanging="360"/>
      </w:pPr>
      <w:r>
        <w:t>Santurkar et al.. (2023). Whose Opinions Do Language Models Reflect?.. ICML. arXiv:2303.17548</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Hong et al.. (2025). Measuring Sycophancy of Language Models in Multi-turn Dialogues.. EMNLP 2025 Findings. arXiv:2505.23840</w:t>
      </w:r>
    </w:p>
    <w:p>
      <w:pPr>
        <w:ind w:left="360" w:hanging="360"/>
      </w:pPr>
      <w:r>
        <w:t>Sharma et al.. (2024). Towards Understanding Sycophancy in Language Models.. ICLR. arXiv:2310.13548</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