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w:t>
      </w:r>
    </w:p>
    <w:p>
      <w:pPr>
        <w:jc w:val="center"/>
      </w:pPr>
      <w:r>
        <w:rPr>
          <w:b w:val="0"/>
          <w:i/>
          <w:sz w:val="20"/>
        </w:rPr>
        <w:t>[Department], [Institution], [City], [Country]</w:t>
      </w:r>
    </w:p>
    <w:p>
      <w:pPr>
        <w:jc w:val="center"/>
      </w:pPr>
      <w:r>
        <w:rPr>
          <w:b w:val="0"/>
          <w:i/>
          <w:sz w:val="20"/>
        </w:rPr>
        <w:t>Corresponding author: rohithreddybc98@gmail.com  ·  ORCID: 0000-0000-0000-0000</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together with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This survey is differentiated along four axes. First, it adopts a hardware-first organisation in which every algorithmic, architectural, and system technique is tied back to the roofline and memory-traffic analysis of Section 3, and it treats the four optimisation layers under a single co-design and Pareto-frontier framework that makes the interference between stacked methods explicit (Section 8). Second, it consolidates the rapidly growing evidence on KV cache security in multi-tenant serving, including prefix-sharing side channels and prompt-leakage attacks, which prior KV-cache surveys omit (Sections 6.2 and 9.4). Third, it analyses degradation modes specific to long-horizon agentic loops and the benchmarking deficit that conceals them (Sections 9.2 and 9.3). Fourth, and uniquely among surveys in this area, it converts that benchmarking critique into a concrete remedy: the Matched-Budget Evaluation protocol and its open harness (Section 10), so that the survey contributes an adoptable artifact rather than only a synthesis.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198 references in this survey, 178 are KV-cache methods or systems analysed in depth; the remaining 20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and timing side-channel attacks on KV and semantic caches (Song et al. 2024) and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40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40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reproduces the expected behaviour of the quantization family under matched budgets: eight- and four-bit key-value caches are lossless on single-needle retrieval, whereas two-bit caches collapse, consistent with the fragility discussed in Section 4.1.3; this is a functionality check, not the model-scale result, which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 low-precision quantization, attention-guided eviction, and structural merging - reduce the stored or moved bytes within the existing architecture. Architectural methods - grouped-query and latent attention, and recurrent or hybrid state-space models - bound the cache by construction. System methods - paged virtual memory, prefix sharing, and tiered offloading - raise utilisation and extend effective capacity. Hardware methods - decoding-optimised kernels, fusion, and processing-in-memory - attack the bandwidth limit at the silicon level.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 declares that no funds, grants, or other support were received during the preparation of this manuscript.</w:t>
      </w:r>
    </w:p>
    <w:p>
      <w:pPr>
        <w:jc w:val="both"/>
      </w:pPr>
      <w:r>
        <w:rPr>
          <w:b/>
        </w:rPr>
        <w:t xml:space="preserve">Competing interests. </w:t>
      </w:r>
      <w:r>
        <w:t>The author has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with the evaluation manifest and reference cards also published as a dataset at https://huggingface.co/datasets/Rohithreddybc/mbe-kv-cache;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R.R. is the sole author and is responsible for the conception, literature analysis, software (the MBE harness), visualisation, and writing of the manuscript (CRediT: Conceptualization, Investigation, Software, Visualization, Writing - original draft, Writing - review &amp; editing).</w:t>
      </w:r>
    </w:p>
    <w:p>
      <w:pPr>
        <w:jc w:val="both"/>
      </w:pPr>
      <w:r>
        <w:rPr>
          <w:b/>
        </w:rPr>
        <w:t xml:space="preserve">Use of AI tools. </w:t>
      </w:r>
      <w:r>
        <w:t>Any use of generative AI tools was limited to language editing and reference organisation; all technical content, analysis, and conclusions are the authors' own and were verified against primary sources.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et al. (2026). DualScale: energy-efficient disaggregated LLM serving via phase-aware placement and DVFS. arXiv preprint.</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