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Rohith Reddy B. C.¹  ·  [Author 2]²  ·  [Author 3]³  ·  [Author 4]⁴</w:t>
      </w:r>
    </w:p>
    <w:p>
      <w:pPr>
        <w:jc w:val="center"/>
      </w:pPr>
      <w:r>
        <w:rPr>
          <w:b w:val="0"/>
          <w:i/>
          <w:sz w:val="20"/>
        </w:rPr>
        <w:t>¹[Department], [Institution], [City], [Country]   ²[Affiliation 2]   ³[Affiliation 3]   ⁴[Affiliation 4]</w:t>
      </w:r>
    </w:p>
    <w:p>
      <w:pPr>
        <w:jc w:val="center"/>
      </w:pPr>
      <w:r>
        <w:rPr>
          <w:b w:val="0"/>
          <w:i/>
          <w:sz w:val="20"/>
        </w:rPr>
        <w:t>Corresponding author: Rohith Reddy B. C., rohithreddybc98@gmail.com  ·  ORCID: [add ORCID for each author]</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and aided by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Four things set this survey apart. Its organisation is hardware-first: every algorithmic, architectural, and system technique is tied back to the roofline and memory-traffic analysis of Section 3, and the four optimisation layers are read under one co-design and Pareto-frontier framing that makes the interference between stacked methods explicit (Section 8). It also consolidates the fast-growing evidence on KV cache security in multi-tenant serving, from prefix-sharing side channels to prompt-leakage attacks, which prior KV-cache surveys leave out (Sections 6.2 and 9.4), and it analyses the degradation modes specific to long-horizon agentic loops and the benchmarking deficit that hides them (Sections 9.2 and 9.3). Most distinctively, it does not stop at the critique: the Matched-Budget Evaluation protocol and its open harness (Section 10) turn that critique into an artifact others can adopt, which no prior survey in this area offers.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178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209 references in this survey, 178 are KV-cache methods or systems analysed in depth; the remaining 31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timing side-channel attacks on KV and semantic caches (Song et al. 2024),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shared prefix blocks are vulnerable to Rowhammer-style bit-flips with silent, persistent corruption (Yamamoto et al. 2026),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23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2386"/>
                    </a:xfrm>
                    <a:prstGeom prst="rect"/>
                  </pic:spPr>
                </pic:pic>
              </a:graphicData>
            </a:graphic>
          </wp:inline>
        </w:drawing>
      </w:r>
    </w:p>
    <w:p>
      <w:pPr>
        <w:jc w:val="center"/>
      </w:pPr>
      <w:r>
        <w:rPr>
          <w:b/>
          <w:sz w:val="18"/>
        </w:rPr>
        <w:t>Fig. 3. Surveyed references by publication year and method family (approximate single-family assignment from the reference corpus).</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comparing a quantization method against two eviction methods at matched budgets on single-needle retrieval, behaves as expected: four-bit KIVI-style quantization, which retains every token, is lossless, while budget-constrained eviction (attention-sink-plus-window, and a simplified heavy-hitter scheme) drops the mid-context needle and fails the task. This matches the known weakness of accumulated-attention eviction on retrieval that motivates the query-aware and value-aware methods of Section 4.2. These are deliberately simple reference implementations on a single-needle task: a functionality check, not the model-scale result that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namely low-precision quantization, attention-guided eviction, and structural merging, reduce the bytes stored or moved within the existing architecture. Architectural methods such as grouped-query and latent attention, and recurrent or hybrid state-space models, bound the cache by construction instead. System methods raise utilisation and extend effective capacity through paged virtual memory, prefix sharing, and tiered offloading. Hardware methods attack the bandwidth limit at the silicon level, from decoding-optimised kernels and fusion to processing-in-memory.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authors declare that no funds, grants, or other support were received during the preparation of this manuscript.</w:t>
      </w:r>
    </w:p>
    <w:p>
      <w:pPr>
        <w:jc w:val="both"/>
      </w:pPr>
      <w:r>
        <w:rPr>
          <w:b/>
        </w:rPr>
        <w:t xml:space="preserve">Competing interests. </w:t>
      </w:r>
      <w:r>
        <w:t>The authors have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https://github.com/rohithreddybc/mbe-protocol, with the evaluation manifest and reference cards also published as a dataset at https://huggingface.co/datasets/Rohithreddybc/mbe-kv-cache and a live leaderboard at https://huggingface.co/spaces/Rohithreddybc/mbe-leaderboard; all other works discussed are cited and publicly available.</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All authors contributed to the conception and design of the survey and approved the final manuscript. [Assign CRediT roles per author, e.g.: R.R.B.C. - Conceptualization, Investigation, Software (the MBE harness), Visualization, Writing - original draft; Author 2 - Investigation, Writing - review &amp; editing; Author 3 - Investigation, Validation; Author 4 - Supervision, Writing - review &amp; editing.]</w:t>
      </w:r>
    </w:p>
    <w:p>
      <w:pPr>
        <w:jc w:val="both"/>
      </w:pPr>
      <w:r>
        <w:rPr>
          <w:b/>
        </w:rPr>
        <w:t xml:space="preserve">Use of AI tools. </w:t>
      </w:r>
      <w:r>
        <w:t>Generative AI tools were used to assist with drafting, language editing, and reference organisation; the authors directed the work, take full responsibility for all technical content, analysis, and conclusions, and verified every claim and citation against primary sources. No AI system is listed as an author. The disclosure follows the journal's policy on AI use and should be adjusted by the authors to match their actual process.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Liu, Y., Kong, Z. J., &amp; Hu, Y. C. (2026). BiScale: energy-efficient disaggregated LLM serving via phase-aware placement and DVFS. arXiv preprint arXiv:2602.18755.</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Yamamoto, Y., et al. (2026). Bit-flip vulnerability of shared KV-cache blocks in LLM serving systems. arXiv preprint.</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