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[Author 1]¹  ·  [Author 2]²  ·  [Author 3]³  ·  [Author 4]⁴</w:t>
      </w:r>
    </w:p>
    <w:p>
      <w:pPr>
        <w:jc w:val="center"/>
      </w:pPr>
      <w:r>
        <w:rPr>
          <w:b w:val="0"/>
          <w:i/>
          <w:sz w:val="20"/>
        </w:rPr>
        <w:t>¹[Department], [Institution], [City], [Country]   ²[Affiliation 2]   ³[Affiliation 3]   ⁴[Affiliation 4]</w:t>
      </w:r>
    </w:p>
    <w:p>
      <w:pPr>
        <w:jc w:val="center"/>
      </w:pPr>
      <w:r>
        <w:rPr>
          <w:b w:val="0"/>
          <w:i/>
          <w:sz w:val="20"/>
        </w:rPr>
        <w:t>Corresponding author: [name], [email]  ·  ORCID: [add ORCID for each author]</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 Takeaway: this survey occupies an unfilled niche, defined by the security, agentic, and evaluation-protocol columns that are empty for every other entry.</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177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208 references in this survey, 177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 Takeaway: coverage is reproducible and selective, 177 KV-cache works analysed in depth out of roughly 612 screened.</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 Takeaway: the four layers are complementary rather than competing, and the largest gains come from co-designing across them.</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 Takeaway: the same prefix sharing that drives efficiency is the attack surface, and every known mitigation trades some of that efficiency back for isolation.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 Takeaway: architectural, system, and hardware methods are lossless but need pre-training or special hardware, whereas algorithmic methods are training-free but trade accuracy for higher compression; the column to optimise is set by the deployment's hardware bottleneck.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 Takeaway: headline gains are large across the board (2-5x compression or throughput at near-lossless quality), but because each is measured differently they cannot be ranked, which is exactly the gap MBE closes.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 Takeaway: most methods hold near-full accuracy down to roughly 10-25 percent of the cache, and the aggressive frontier (a few percent) is reached mainly by layer-adaptive and learned methods.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23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2386"/>
                    </a:xfrm>
                    <a:prstGeom prst="rect"/>
                  </pic:spPr>
                </pic:pic>
              </a:graphicData>
            </a:graphic>
          </wp:inline>
        </w:drawing>
      </w:r>
    </w:p>
    <w:p>
      <w:pPr>
        <w:jc w:val="center"/>
      </w:pPr>
      <w:r>
        <w:rPr>
          <w:b/>
          <w:sz w:val="18"/>
        </w:rPr>
        <w:t>Fig. 3. Surveyed references by publication year and method family (approximate single-family assignment from the reference corpus). Takeaway: the field expanded sharply in 2024 and stays active into 2025-2026, and the security and agentic categories appear only in the latest years, marking them as emerging and under-surveyed.</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 Takeaway: accuracy holds remarkably flat until very aggressive budgets, where a sharp knee appears, and the position of that knee is what the right method, and a matched-budget comparison, decides.</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 Takeaway: fixing the model, task, budget ladder, and system metrics is all that is needed to turn the incomparable numbers of Tables 4 and 5 into a single comparable picture.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comparing a quantization method against two eviction methods at matched budgets on single-needle retrieval, behaves as expected: four-bit KIVI-style quantization, which retains every token, is lossless, while budget-constrained eviction (attention-sink-plus-window, and a simplified heavy-hitter scheme) drops the mid-context needle and fails the task. This matches the known weakness of accumulated-attention eviction on retrieval that motivates the query-aware and value-aware methods of Section 4.2. These are deliberately simple reference implementations on a single-needle task: a functionality check, not the model-scale result that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authors declare that no funds, grants, or other support were received during the preparation of this manuscript.</w:t>
      </w:r>
    </w:p>
    <w:p>
      <w:pPr>
        <w:jc w:val="both"/>
      </w:pPr>
      <w:r>
        <w:rPr>
          <w:b/>
        </w:rPr>
        <w:t xml:space="preserve">Competing interests. </w:t>
      </w:r>
      <w:r>
        <w:t>The authors have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https://github.com/rohithreddybc/kv-cache-compression-mbe, with the evaluation manifest and reference cards also published as a dataset at https://huggingface.co/datasets/Rohithreddybc/kv-cache-compression-mbe and a live leaderboard at https://huggingface.co/spaces/Rohithreddybc/kv-cache-compression-leaderboard; all other works discussed are cited and publicly available.</w:t>
      </w:r>
    </w:p>
    <w:p>
      <w:pPr>
        <w:jc w:val="both"/>
      </w:pPr>
      <w:r>
        <w:rPr>
          <w:b/>
        </w:rPr>
        <w:t xml:space="preserve">Reproducibility. </w:t>
      </w:r>
      <w:r>
        <w:t>All claims in this survey cite publicly available works. The empirical results of Section 10 are reproducible by third parties: the released harness regenerates the reported seed results deterministically (fixed random seed), and any researcher can evaluate a new compression method, or reproduce the baselines at 7-8B scale on free cloud hardware, by supplying a single function to the provided notebook. The data behind the figures is traceable to the cited sources, and the reference list is the single source of truth for all citations.</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All authors contributed to the conception and design of the survey and approved the final manuscript. [Assign CRediT roles per author, e.g.: Author 1 - Conceptualization, Investigation, Software (the MBE harness), Visualization, Writing - original draft; Author 2 - Investigation, Writing - review &amp; editing; Author 3 - Investigation, Validation; Author 4 - Supervision, Writing - review &amp; editing.]</w:t>
      </w:r>
    </w:p>
    <w:p>
      <w:pPr>
        <w:jc w:val="both"/>
      </w:pPr>
      <w:r>
        <w:rPr>
          <w:b/>
        </w:rPr>
        <w:t xml:space="preserve">Use of AI tools. </w:t>
      </w:r>
      <w:r>
        <w:t>Generative AI tools were used to assist with drafting, language editing, and reference organisation; the authors directed the work, take full responsibility for all technical content, analysis, and conclusions, and verified every claim and citation against primary sources. No AI system is listed as an author. The disclosure follows the journal's policy on AI use and should be adjusted by the authors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Liu, Y., Kong, Z. J., &amp; Hu, Y. C. (2026). BiScale: energy-efficient disaggregated LLM serving via phase-aware placement and DVFS. arXiv preprint arXiv:2602.18755.</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