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C3A66B"/>
          <w:sz w:val="32"/>
        </w:rPr>
        <w:t>NSS VIIT (A)</w:t>
      </w:r>
    </w:p>
    <w:p>
      <w:pPr>
        <w:pStyle w:val="Title"/>
      </w:pPr>
      <w:r>
        <w:t>Implementation Plan</w:t>
      </w:r>
    </w:p>
    <w:p>
      <w:r>
        <w:rPr>
          <w:color w:val="657067"/>
          <w:sz w:val="24"/>
        </w:rPr>
        <w:t>Phases, workstreams, testing, risk management and launch readiness</w:t>
      </w:r>
    </w:p>
    <w:p>
      <w:r>
        <w:t>DESIGN PRINCIPLE  Extraordinary visual craft, purposeful motion, institutional trust and accessible interaction.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ID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DOC-06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Version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1.0 — planning baseline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Project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NSS VIIT (A) — complete website and digital platform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Status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Requirements baseline; not an implementation or testing claim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Approval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Review by both primary NSS administrators and college-authorized authority where applicable</w:t>
            </w:r>
          </w:p>
        </w:tc>
      </w:tr>
    </w:tbl>
    <w:p/>
    <w:p>
      <w:r>
        <w:br w:type="page"/>
      </w:r>
    </w:p>
    <w:p>
      <w:pPr>
        <w:pStyle w:val="Heading1"/>
      </w:pPr>
      <w:r>
        <w:t>1. Delivery approach</w:t>
      </w:r>
    </w:p>
    <w:p>
      <w:r>
        <w:t>Implement in controlled phases from a clean project. Confirm institutional/policy questions before locking providers or enabling registration. Launch only after critical workflows, security, accessibility, recovery and joint approvals pass.</w:t>
      </w:r>
    </w:p>
    <w:p>
      <w:pPr>
        <w:pStyle w:val="Heading1"/>
      </w:pPr>
      <w:r>
        <w:t>2. Delivery phases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Phase</w:t>
            </w:r>
          </w:p>
        </w:tc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Work</w:t>
            </w:r>
          </w:p>
        </w:tc>
        <w:tc>
          <w:tcPr>
            <w:tcW w:type="dxa" w:w="3331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Exit criteria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0. Governance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Confirm domain, eligibility fields, official hour/certificate rules, reviewers, privacy and ownership.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Open questions and responsible authorities documented.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1. Architecture/design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Choose stack/providers after review; define roles, tokens, components, environments and routes.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TRD and design system reviewed.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2. Public website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Build Home, About, Events, Calendar, Gallery, Team, Volunteer info, Resources, Announcements, Contact, Search and reports.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Responsive public pages; only approved content.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3. Identity/permissions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Authentication, role model, MFA, session revocation and recovery.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Positive/negative authorization tests pass.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4. Volunteer/Core Team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Manual applications, account statuses, roster and academic-year history, alumni view.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Registration remains disabled by default; lifecycle tests pass.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5. Events/attendance/hours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Proposals, capacity/deadlines, manual attendance, corrections, camps and hours.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No overbooking; audited corrections; calculations verified.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6. Collaboration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Tasks, attachments, meetings, notices, support and confidential reports.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Permissions and notification tests pass.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7. Media/reports/certificates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Review workflow, resources, Excel/PDF exports, annual reports, certificate approval.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No private leakage; exports and issuance tested.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8. Hardening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Security, accessibility, performance, backups and restoration.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Critical findings resolved and evidence recorded.</w:t>
            </w:r>
          </w:p>
        </w:tc>
      </w:tr>
      <w:tr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9. Private preview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Load approved content and test with reviewers on mobile/desktop.</w:t>
            </w:r>
          </w:p>
        </w:tc>
        <w:tc>
          <w:tcPr>
            <w:tcW w:type="dxa" w:w="3331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Both admins and college reviewer approve or record blockers.</w:t>
            </w:r>
          </w:p>
        </w:tc>
      </w:tr>
      <w:tr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10. Launch/handover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Joint approval, production deployment, monitoring and runbook transfer.</w:t>
            </w:r>
          </w:p>
        </w:tc>
        <w:tc>
          <w:tcPr>
            <w:tcW w:type="dxa" w:w="3331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Two maintainers trained; rollback/recovery available; registration opened only if separately authorized.</w:t>
            </w:r>
          </w:p>
        </w:tc>
      </w:tr>
    </w:tbl>
    <w:p/>
    <w:p>
      <w:pPr>
        <w:pStyle w:val="Heading1"/>
      </w:pPr>
      <w:r>
        <w:t>3. Workstreams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Workstream</w:t>
            </w:r>
          </w:p>
        </w:tc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Tasks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Product/content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Approved copy, official resources, event data, bios, media consent and reports.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Design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Tokens, responsive layouts, components, motion, accessibility and dashboard IA.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Frontend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Pages, dashboards, forms, filters, calendar, animations and UI states.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Backend/data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Schema, APIs, authorization, workflow rules, audit and reporting.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Operations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Domain, environments, secrets, monitoring, backups, restore and incident runbooks.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QA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Unit/integration/e2e tests, permissions, accessibility, device, performance and regression tests.</w:t>
            </w:r>
          </w:p>
        </w:tc>
      </w:tr>
    </w:tbl>
    <w:p/>
    <w:p>
      <w:pPr>
        <w:pStyle w:val="Heading1"/>
      </w:pPr>
      <w:r>
        <w:t>4. Testing strategy</w:t>
      </w:r>
    </w:p>
    <w:p>
      <w:pPr>
        <w:pStyle w:val="ListBullet"/>
        <w:spacing w:after="40"/>
      </w:pPr>
      <w:r>
        <w:t>Unit tests for hours, capacity/deadline logic, state transitions and permissions.</w:t>
      </w:r>
    </w:p>
    <w:p>
      <w:pPr>
        <w:pStyle w:val="ListBullet"/>
        <w:spacing w:after="40"/>
      </w:pPr>
      <w:r>
        <w:t>Integration tests for registration, approval, attendance corrections, notifications, media review and certificates.</w:t>
      </w:r>
    </w:p>
    <w:p>
      <w:pPr>
        <w:pStyle w:val="ListBullet"/>
        <w:spacing w:after="40"/>
      </w:pPr>
      <w:r>
        <w:t>End-to-end journeys across public site and all four access areas.</w:t>
      </w:r>
    </w:p>
    <w:p>
      <w:pPr>
        <w:pStyle w:val="ListBullet"/>
        <w:spacing w:after="40"/>
      </w:pPr>
      <w:r>
        <w:t>Negative authorization tests for wrong role, wrong record owner, revoked sessions and unpublished/private content.</w:t>
      </w:r>
    </w:p>
    <w:p>
      <w:pPr>
        <w:pStyle w:val="ListBullet"/>
        <w:spacing w:after="40"/>
      </w:pPr>
      <w:r>
        <w:t>Concurrency tests for event capacity and duplicate registration.</w:t>
      </w:r>
    </w:p>
    <w:p>
      <w:pPr>
        <w:pStyle w:val="ListBullet"/>
        <w:spacing w:after="40"/>
      </w:pPr>
      <w:r>
        <w:t>Database/media/configuration restore test.</w:t>
      </w:r>
    </w:p>
    <w:p>
      <w:pPr>
        <w:pStyle w:val="ListBullet"/>
        <w:spacing w:after="40"/>
      </w:pPr>
      <w:r>
        <w:t>Keyboard, contrast, form, carousel and reduced-motion accessibility checks.</w:t>
      </w:r>
    </w:p>
    <w:p>
      <w:pPr>
        <w:pStyle w:val="ListBullet"/>
        <w:spacing w:after="40"/>
      </w:pPr>
      <w:r>
        <w:t>Performance tests on representative mobile devices and slower networks.</w:t>
      </w:r>
    </w:p>
    <w:p>
      <w:pPr>
        <w:pStyle w:val="ListBullet"/>
        <w:spacing w:after="40"/>
      </w:pPr>
      <w:r>
        <w:t>Email failure/retry tests; never assume delivery without provider confirmation.</w:t>
      </w:r>
    </w:p>
    <w:p>
      <w:pPr>
        <w:pStyle w:val="Heading1"/>
      </w:pPr>
      <w:r>
        <w:t>5. UI animation checklist</w:t>
      </w:r>
    </w:p>
    <w:p>
      <w:pPr>
        <w:pStyle w:val="ListBullet"/>
        <w:spacing w:after="40"/>
      </w:pPr>
      <w:r>
        <w:t>Use reusable motion tokens/variants; avoid one-off effects everywhere.</w:t>
      </w:r>
    </w:p>
    <w:p>
      <w:pPr>
        <w:pStyle w:val="ListBullet"/>
        <w:spacing w:after="40"/>
      </w:pPr>
      <w:r>
        <w:t>Implement hero carousel pause/navigation/indicators and reduced-motion fallback.</w:t>
      </w:r>
    </w:p>
    <w:p>
      <w:pPr>
        <w:pStyle w:val="ListBullet"/>
        <w:spacing w:after="40"/>
      </w:pPr>
      <w:r>
        <w:t>Implement drawer focus management, Escape and backdrop close.</w:t>
      </w:r>
    </w:p>
    <w:p>
      <w:pPr>
        <w:pStyle w:val="ListBullet"/>
        <w:spacing w:after="40"/>
      </w:pPr>
      <w:r>
        <w:t>Prefer transform/opacity and avoid layout shifts/heavy scroll handlers.</w:t>
      </w:r>
    </w:p>
    <w:p>
      <w:pPr>
        <w:pStyle w:val="ListBullet"/>
        <w:spacing w:after="40"/>
      </w:pPr>
      <w:r>
        <w:t>Optimize/lazy-load below-fold images and use responsive formats.</w:t>
      </w:r>
    </w:p>
    <w:p>
      <w:pPr>
        <w:pStyle w:val="ListBullet"/>
        <w:spacing w:after="40"/>
      </w:pPr>
      <w:r>
        <w:t>Test motion on mid-range phones; interaction must remain immediate.</w:t>
      </w:r>
    </w:p>
    <w:p>
      <w:pPr>
        <w:pStyle w:val="ListBullet"/>
        <w:spacing w:after="40"/>
      </w:pPr>
      <w:r>
        <w:t>Critical text/actions remain available when animation is disabled or fails.</w:t>
      </w:r>
    </w:p>
    <w:p>
      <w:pPr>
        <w:pStyle w:val="Heading1"/>
      </w:pPr>
      <w:r>
        <w:t>6. Launch checklist</w:t>
      </w:r>
    </w:p>
    <w:p>
      <w:pPr>
        <w:pStyle w:val="ListBullet"/>
        <w:spacing w:after="40"/>
      </w:pPr>
      <w:r>
        <w:t>Official domain approved and ownership/handover documented.</w:t>
      </w:r>
    </w:p>
    <w:p>
      <w:pPr>
        <w:pStyle w:val="ListBullet"/>
        <w:spacing w:after="40"/>
      </w:pPr>
      <w:r>
        <w:t>Both primary admins use MFA; recovery procedures verified.</w:t>
      </w:r>
    </w:p>
    <w:p>
      <w:pPr>
        <w:pStyle w:val="ListBullet"/>
        <w:spacing w:after="40"/>
      </w:pPr>
      <w:r>
        <w:t>Role matrix and revoked-session behavior tested.</w:t>
      </w:r>
    </w:p>
    <w:p>
      <w:pPr>
        <w:pStyle w:val="ListBullet"/>
        <w:spacing w:after="40"/>
      </w:pPr>
      <w:r>
        <w:t>All published content, photos, contacts and resources approved; no fabricated content.</w:t>
      </w:r>
    </w:p>
    <w:p>
      <w:pPr>
        <w:pStyle w:val="ListBullet"/>
        <w:spacing w:after="40"/>
      </w:pPr>
      <w:r>
        <w:t>Registration stays closed until separately authorized.</w:t>
      </w:r>
    </w:p>
    <w:p>
      <w:pPr>
        <w:pStyle w:val="ListBullet"/>
        <w:spacing w:after="40"/>
      </w:pPr>
      <w:r>
        <w:t>Capacity/deadline, attendance correction and hour recalculation tests pass.</w:t>
      </w:r>
    </w:p>
    <w:p>
      <w:pPr>
        <w:pStyle w:val="ListBullet"/>
        <w:spacing w:after="40"/>
      </w:pPr>
      <w:r>
        <w:t>Certificate issuance requires admin approval; official rules confirmed.</w:t>
      </w:r>
    </w:p>
    <w:p>
      <w:pPr>
        <w:pStyle w:val="ListBullet"/>
        <w:spacing w:after="40"/>
      </w:pPr>
      <w:r>
        <w:t>Email/dashboard notices tested and failures reported truthfully.</w:t>
      </w:r>
    </w:p>
    <w:p>
      <w:pPr>
        <w:pStyle w:val="ListBullet"/>
        <w:spacing w:after="40"/>
      </w:pPr>
      <w:r>
        <w:t>Backup and restore test succeeds; 90-day preference checked against actual provider limits.</w:t>
      </w:r>
    </w:p>
    <w:p>
      <w:pPr>
        <w:pStyle w:val="ListBullet"/>
        <w:spacing w:after="40"/>
      </w:pPr>
      <w:r>
        <w:t>Accessibility and performance measured; critical issues resolved.</w:t>
      </w:r>
    </w:p>
    <w:p>
      <w:pPr>
        <w:pStyle w:val="ListBullet"/>
        <w:spacing w:after="40"/>
      </w:pPr>
      <w:r>
        <w:t>Both primary admins and college-authorized authority approve launch.</w:t>
      </w:r>
    </w:p>
    <w:p>
      <w:pPr>
        <w:pStyle w:val="ListBullet"/>
        <w:spacing w:after="40"/>
      </w:pPr>
      <w:r>
        <w:t>Two technical maintainers can deploy, monitor and recover; runbooks handed over.</w:t>
      </w:r>
    </w:p>
    <w:p>
      <w:pPr>
        <w:pStyle w:val="Heading1"/>
      </w:pPr>
      <w:r>
        <w:t>7. Risks and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Risk</w:t>
            </w:r>
          </w:p>
        </w:tc>
        <w:tc>
          <w:tcPr>
            <w:tcW w:type="dxa" w:w="4997"/>
            <w:shd w:fill="1A3C29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Mitigation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Free-tier limitations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Check backup/storage/email limits before commitment; budget fallback; never promise unsupported retention.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Unverified NSS policy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Obtain written confirmation from Programme Officer/institution before configuring eligibility.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Excessive admin access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Least privilege, MFA, audit and periodic review.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Accidental publication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Separate draft/published states, preview, server-side filtering and explicit approval.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Single maintainer departure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Two maintainers, documented handover and recovery tests.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Animation harms performance/accessibility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Motion tokens, reduced motion, optimized images and mobile testing.</w:t>
            </w:r>
          </w:p>
        </w:tc>
      </w:tr>
      <w:tr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Eligibility import mistake</w:t>
            </w:r>
          </w:p>
        </w:tc>
        <w:tc>
          <w:tcPr>
            <w:tcW w:type="dxa" w:w="4997"/>
            <w:shd w:fill="F8F7F3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Versioned import, compare/review, atomic apply and no automatic deletion on missing records.</w:t>
            </w:r>
          </w:p>
        </w:tc>
      </w:tr>
      <w:tr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Data loss</w:t>
            </w:r>
          </w:p>
        </w:tc>
        <w:tc>
          <w:tcPr>
            <w:tcW w:type="dxa" w:w="499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292D2A"/>
                <w:sz w:val="16"/>
              </w:rPr>
              <w:t>Alerts, backup versions where feasible and periodic restore tests.</w:t>
            </w:r>
          </w:p>
        </w:tc>
      </w:tr>
    </w:tbl>
    <w:p/>
    <w:p>
      <w:pPr>
        <w:pStyle w:val="Heading1"/>
      </w:pPr>
      <w:r>
        <w:t>8. Handover package</w:t>
      </w:r>
    </w:p>
    <w:p>
      <w:pPr>
        <w:pStyle w:val="ListBullet"/>
        <w:spacing w:after="40"/>
      </w:pPr>
      <w:r>
        <w:t>Source repository and release workflow.</w:t>
      </w:r>
    </w:p>
    <w:p>
      <w:pPr>
        <w:pStyle w:val="ListBullet"/>
        <w:spacing w:after="40"/>
      </w:pPr>
      <w:r>
        <w:t>Provider/account inventory, environment setup and secret rotation instructions.</w:t>
      </w:r>
    </w:p>
    <w:p>
      <w:pPr>
        <w:pStyle w:val="ListBullet"/>
        <w:spacing w:after="40"/>
      </w:pPr>
      <w:r>
        <w:t>Deployment/rollback steps.</w:t>
      </w:r>
    </w:p>
    <w:p>
      <w:pPr>
        <w:pStyle w:val="ListBullet"/>
        <w:spacing w:after="40"/>
      </w:pPr>
      <w:r>
        <w:t>Database/media restore runbook.</w:t>
      </w:r>
    </w:p>
    <w:p>
      <w:pPr>
        <w:pStyle w:val="ListBullet"/>
        <w:spacing w:after="40"/>
      </w:pPr>
      <w:r>
        <w:t>Admin recovery and incident response procedures.</w:t>
      </w:r>
    </w:p>
    <w:p>
      <w:pPr>
        <w:pStyle w:val="ListBullet"/>
        <w:spacing w:after="40"/>
      </w:pPr>
      <w:r>
        <w:t>Data dictionary, permission matrix and known limitations.</w:t>
      </w:r>
    </w:p>
    <w:p>
      <w:pPr>
        <w:pStyle w:val="ListBullet"/>
        <w:spacing w:after="40"/>
      </w:pPr>
      <w:r>
        <w:t>Test evidence, accessibility/performance results and launch approvals.</w:t>
      </w:r>
    </w:p>
    <w:p>
      <w:pPr>
        <w:pStyle w:val="Heading1"/>
      </w:pPr>
      <w:r>
        <w:t>9. Completion definition</w:t>
      </w:r>
    </w:p>
    <w:p>
      <w:r>
        <w:t>Launch readiness requires implementation of agreed features, passing critical tests, verified private-data boundaries, accessibility/performance review, demonstrated restore, approved content and recorded joint launch approval. Volunteer registration opens only by a separate authorized decision.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57067"/>
        <w:sz w:val="16"/>
      </w:rPr>
      <w:t xml:space="preserve">DOC-06 • NSS VIIT (A)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57067"/>
        <w:sz w:val="16"/>
      </w:rPr>
      <w:t>NSS VIIT (A)  •  PROJECT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92D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A3C2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