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r>
        <w:t>NSS VIIT (A)</w:t>
      </w:r>
    </w:p>
    <w:p>
      <w:pPr>
        <w:pStyle w:val="Title"/>
      </w:pPr>
      <w:r>
        <w:t>Technical Requirements Document (TRD)</w:t>
      </w:r>
    </w:p>
    <w:p>
      <w:r>
        <w:t>Proposed architecture, security, integrations, deployment and quality requirements (Integrated with MY Bharat)</w:t>
      </w:r>
    </w:p>
    <w:p>
      <w:r>
        <w:t>DESIGN PRINCIPLE  Extraordinary visual craft, purposeful motion, institutional trust and accessible interaction.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3000"/>
        <w:gridCol w:w="6500"/>
      </w:tblGrid>
      <w:tr>
        <w:trPr/>
        <w:tc>
          <w:tcPr>
            <w:tcW w:type="dxa" w:w="3000"/>
          </w:tcPr>
          <w:p>
            <w:r>
              <w:rPr>
                <w:b/>
              </w:rPr>
              <w:t>Document control</w:t>
            </w:r>
          </w:p>
        </w:tc>
        <w:tc>
          <w:tcPr>
            <w:tcW w:type="dxa" w:w="6500"/>
          </w:tcPr>
          <w:p>
            <w:r>
              <w:rPr>
                <w:b/>
              </w:rPr>
              <w:t>Value</w:t>
            </w:r>
          </w:p>
        </w:tc>
      </w:tr>
      <w:tr>
        <w:trPr/>
        <w:tc>
          <w:tcPr>
            <w:tcW w:type="dxa" w:w="3000"/>
          </w:tcPr>
          <w:p>
            <w:r>
              <w:t>ID</w:t>
            </w:r>
          </w:p>
        </w:tc>
        <w:tc>
          <w:tcPr>
            <w:tcW w:type="dxa" w:w="6500"/>
          </w:tcPr>
          <w:p>
            <w:r>
              <w:t>DOC-02</w:t>
            </w:r>
          </w:p>
        </w:tc>
      </w:tr>
      <w:tr>
        <w:trPr/>
        <w:tc>
          <w:tcPr>
            <w:tcW w:type="dxa" w:w="3000"/>
          </w:tcPr>
          <w:p>
            <w:r>
              <w:t>Version</w:t>
            </w:r>
          </w:p>
        </w:tc>
        <w:tc>
          <w:tcPr>
            <w:tcW w:type="dxa" w:w="6500"/>
          </w:tcPr>
          <w:p>
            <w:r>
              <w:t>2.0 — integrated baseline (with MY Bharat expansion)</w:t>
            </w:r>
          </w:p>
        </w:tc>
      </w:tr>
      <w:tr>
        <w:trPr/>
        <w:tc>
          <w:tcPr>
            <w:tcW w:type="dxa" w:w="3000"/>
          </w:tcPr>
          <w:p>
            <w:r>
              <w:t>Project</w:t>
            </w:r>
          </w:p>
        </w:tc>
        <w:tc>
          <w:tcPr>
            <w:tcW w:type="dxa" w:w="6500"/>
          </w:tcPr>
          <w:p>
            <w:r>
              <w:t>NSS VIIT (A) — complete website and digital platform</w:t>
            </w:r>
          </w:p>
        </w:tc>
      </w:tr>
      <w:tr>
        <w:trPr/>
        <w:tc>
          <w:tcPr>
            <w:tcW w:type="dxa" w:w="3000"/>
          </w:tcPr>
          <w:p>
            <w:r>
              <w:t>Status</w:t>
            </w:r>
          </w:p>
        </w:tc>
        <w:tc>
          <w:tcPr>
            <w:tcW w:type="dxa" w:w="6500"/>
          </w:tcPr>
          <w:p>
            <w:r>
              <w:t>Requirements baseline; not an implementation or testing claim</w:t>
            </w:r>
          </w:p>
        </w:tc>
      </w:tr>
      <w:tr>
        <w:trPr/>
        <w:tc>
          <w:tcPr>
            <w:tcW w:type="dxa" w:w="3000"/>
          </w:tcPr>
          <w:p>
            <w:r>
              <w:t>Approval</w:t>
            </w:r>
          </w:p>
        </w:tc>
        <w:tc>
          <w:tcPr>
            <w:tcW w:type="dxa" w:w="6500"/>
          </w:tcPr>
          <w:p>
            <w:r>
              <w:t>Review by both primary NSS administrators and college-authorized authority where applicable</w:t>
            </w:r>
          </w:p>
        </w:tc>
      </w:tr>
    </w:tbl>
    <w:p>
      <w:pPr>
        <w:pStyle w:val="Heading1"/>
      </w:pPr>
      <w:r>
        <w:t>1. Technical goals</w:t>
      </w:r>
    </w:p>
    <w:p>
      <w:r>
        <w:t>Build a secure, maintainable responsive platform with a public content surface and private role-based application areas. Technology choices are provisional until provider pricing, free-tier limits, data ownership and institutional requirements are reviewed. Integrates MY Bharat natively without assuming direct external government API connectivity.</w:t>
      </w:r>
    </w:p>
    <w:p>
      <w:pPr>
        <w:pStyle w:val="Heading1"/>
      </w:pPr>
      <w:r>
        <w:t>2. Proposed architecture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2000"/>
        <w:gridCol w:w="3200"/>
        <w:gridCol w:w="4300"/>
      </w:tblGrid>
      <w:tr>
        <w:trPr/>
        <w:tc>
          <w:tcPr>
            <w:tcW w:type="dxa" w:w="200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200"/>
          </w:tcPr>
          <w:p>
            <w:r>
              <w:rPr>
                <w:b/>
              </w:rPr>
              <w:t>Candidate direction</w:t>
            </w:r>
          </w:p>
        </w:tc>
        <w:tc>
          <w:tcPr>
            <w:tcW w:type="dxa" w:w="4300"/>
          </w:tcPr>
          <w:p>
            <w:r>
              <w:rPr>
                <w:b/>
              </w:rPr>
              <w:t>Responsibilities</w:t>
            </w:r>
          </w:p>
        </w:tc>
      </w:tr>
      <w:tr>
        <w:trPr/>
        <w:tc>
          <w:tcPr>
            <w:tcW w:type="dxa" w:w="2000"/>
          </w:tcPr>
          <w:p>
            <w:r>
              <w:t>Frontend</w:t>
            </w:r>
          </w:p>
        </w:tc>
        <w:tc>
          <w:tcPr>
            <w:tcW w:type="dxa" w:w="3200"/>
          </w:tcPr>
          <w:p>
            <w:r>
              <w:t>React + TypeScript + Vite candidate.</w:t>
            </w:r>
          </w:p>
        </w:tc>
        <w:tc>
          <w:tcPr>
            <w:tcW w:type="dxa" w:w="4300"/>
          </w:tcPr>
          <w:p>
            <w:r>
              <w:t>Public pages, MY Bharat section, dashboards, forms, animations, accessibility.</w:t>
            </w:r>
          </w:p>
        </w:tc>
      </w:tr>
      <w:tr>
        <w:trPr/>
        <w:tc>
          <w:tcPr>
            <w:tcW w:type="dxa" w:w="2000"/>
          </w:tcPr>
          <w:p>
            <w:r>
              <w:t>API/business layer</w:t>
            </w:r>
          </w:p>
        </w:tc>
        <w:tc>
          <w:tcPr>
            <w:tcW w:type="dxa" w:w="3200"/>
          </w:tcPr>
          <w:p>
            <w:r>
              <w:t>Server-side API.</w:t>
            </w:r>
          </w:p>
        </w:tc>
        <w:tc>
          <w:tcPr>
            <w:tcW w:type="dxa" w:w="4300"/>
          </w:tcPr>
          <w:p>
            <w:r>
              <w:t>Authorization, validation, multi-track registration, hour calculations, notifications and audit.</w:t>
            </w:r>
          </w:p>
        </w:tc>
      </w:tr>
      <w:tr>
        <w:trPr/>
        <w:tc>
          <w:tcPr>
            <w:tcW w:type="dxa" w:w="2000"/>
          </w:tcPr>
          <w:p>
            <w:r>
              <w:t>Database</w:t>
            </w:r>
          </w:p>
        </w:tc>
        <w:tc>
          <w:tcPr>
            <w:tcW w:type="dxa" w:w="3200"/>
          </w:tcPr>
          <w:p>
            <w:r>
              <w:t>Managed PostgreSQL preferred (Supabase candidate).</w:t>
            </w:r>
          </w:p>
        </w:tc>
        <w:tc>
          <w:tcPr>
            <w:tcW w:type="dxa" w:w="4300"/>
          </w:tcPr>
          <w:p>
            <w:r>
              <w:t>Users, roles, multi-track registration, events (NSS/Bharat/Joint), attendance, separate hour ledgers, tasks, content history.</w:t>
            </w:r>
          </w:p>
        </w:tc>
      </w:tr>
      <w:tr>
        <w:trPr/>
        <w:tc>
          <w:tcPr>
            <w:tcW w:type="dxa" w:w="2000"/>
          </w:tcPr>
          <w:p>
            <w:r>
              <w:t>Authentication</w:t>
            </w:r>
          </w:p>
        </w:tc>
        <w:tc>
          <w:tcPr>
            <w:tcW w:type="dxa" w:w="3200"/>
          </w:tcPr>
          <w:p>
            <w:r>
              <w:t>Managed authentication candidate.</w:t>
            </w:r>
          </w:p>
        </w:tc>
        <w:tc>
          <w:tcPr>
            <w:tcW w:type="dxa" w:w="4300"/>
          </w:tcPr>
          <w:p>
            <w:r>
              <w:t>Email verification, password reset, MFA for admins, sessions and recovery.</w:t>
            </w:r>
          </w:p>
        </w:tc>
      </w:tr>
      <w:tr>
        <w:trPr/>
        <w:tc>
          <w:tcPr>
            <w:tcW w:type="dxa" w:w="2000"/>
          </w:tcPr>
          <w:p>
            <w:r>
              <w:t>Object storage</w:t>
            </w:r>
          </w:p>
        </w:tc>
        <w:tc>
          <w:tcPr>
            <w:tcW w:type="dxa" w:w="3200"/>
          </w:tcPr>
          <w:p>
            <w:r>
              <w:t>Managed private storage.</w:t>
            </w:r>
          </w:p>
        </w:tc>
        <w:tc>
          <w:tcPr>
            <w:tcW w:type="dxa" w:w="4300"/>
          </w:tcPr>
          <w:p>
            <w:r>
              <w:t>Media, reports, task files and resources; publish only approved assets.</w:t>
            </w:r>
          </w:p>
        </w:tc>
      </w:tr>
      <w:tr>
        <w:trPr/>
        <w:tc>
          <w:tcPr>
            <w:tcW w:type="dxa" w:w="2000"/>
          </w:tcPr>
          <w:p>
            <w:r>
              <w:t>Email</w:t>
            </w:r>
          </w:p>
        </w:tc>
        <w:tc>
          <w:tcPr>
            <w:tcW w:type="dxa" w:w="3200"/>
          </w:tcPr>
          <w:p>
            <w:r>
              <w:t>Transactional provider.</w:t>
            </w:r>
          </w:p>
        </w:tc>
        <w:tc>
          <w:tcPr>
            <w:tcW w:type="dxa" w:w="4300"/>
          </w:tcPr>
          <w:p>
            <w:r>
              <w:t>Verification, notifications, support updates and alerts.</w:t>
            </w:r>
          </w:p>
        </w:tc>
      </w:tr>
      <w:tr>
        <w:trPr/>
        <w:tc>
          <w:tcPr>
            <w:tcW w:type="dxa" w:w="2000"/>
          </w:tcPr>
          <w:p>
            <w:r>
              <w:t>Hosting/monitoring</w:t>
            </w:r>
          </w:p>
        </w:tc>
        <w:tc>
          <w:tcPr>
            <w:tcW w:type="dxa" w:w="3200"/>
          </w:tcPr>
          <w:p>
            <w:r>
              <w:t>Choose after review.</w:t>
            </w:r>
          </w:p>
        </w:tc>
        <w:tc>
          <w:tcPr>
            <w:tcW w:type="dxa" w:w="4300"/>
          </w:tcPr>
          <w:p>
            <w:r>
              <w:t>HTTPS, deploys, secrets, availability, errors, backups and email status.</w:t>
            </w:r>
          </w:p>
        </w:tc>
      </w:tr>
    </w:tbl>
    <w:p>
      <w:pPr>
        <w:pStyle w:val="Heading1"/>
      </w:pPr>
      <w:r>
        <w:t>3. Security architecture</w:t>
      </w:r>
    </w:p>
    <w:p>
      <w:pPr>
        <w:pStyle w:val="ListBullet"/>
      </w:pPr>
      <w:r>
        <w:t>Deny by default: each protected API validates identity, role, module permission and object-level access.</w:t>
      </w:r>
    </w:p>
    <w:p>
      <w:pPr>
        <w:pStyle w:val="ListBullet"/>
      </w:pPr>
      <w:r>
        <w:t>Do not trust client-side role flags, hidden buttons or route guards as authorization; enforce strictly on the server and database (RLS).</w:t>
      </w:r>
    </w:p>
    <w:p>
      <w:pPr>
        <w:pStyle w:val="ListBullet"/>
      </w:pPr>
      <w:r>
        <w:t>Separate account status, volunteer lifecycle, initiative track, role assignment and active sessions.</w:t>
      </w:r>
    </w:p>
    <w:p>
      <w:pPr>
        <w:pStyle w:val="ListBullet"/>
      </w:pPr>
      <w:r>
        <w:t>MFA mandatory for primary administrators (Main Website Admin, NSS Operations Admin, and Faculty/PO Reviewer).</w:t>
      </w:r>
    </w:p>
    <w:p>
      <w:pPr>
        <w:pStyle w:val="ListBullet"/>
      </w:pPr>
      <w:r>
        <w:t>Admin revocation invalidates sessions/tokens and immediately blocks later privileged requests.</w:t>
      </w:r>
    </w:p>
    <w:p>
      <w:pPr>
        <w:pStyle w:val="ListBullet"/>
      </w:pPr>
      <w:r>
        <w:t>Audit critical actions with actor, action, time, target, prior/new state and reason; avoid unnecessary personal data in logs.</w:t>
      </w:r>
    </w:p>
    <w:p>
      <w:pPr>
        <w:pStyle w:val="ListBullet"/>
      </w:pPr>
      <w:r>
        <w:t>Keep secrets in deployment secret management, never in source control or client bundles.</w:t>
      </w:r>
    </w:p>
    <w:p>
      <w:pPr>
        <w:pStyle w:val="Heading1"/>
      </w:pPr>
      <w:r>
        <w:t>4. Integrity rules</w:t>
      </w:r>
    </w:p>
    <w:p>
      <w:pPr>
        <w:pStyle w:val="ListBullet"/>
      </w:pPr>
      <w:r>
        <w:t>Attendance corrections only by authorized administrators/coordinators; preserve previous/new values, actor, timestamp and reason in attendance_change_log.</w:t>
      </w:r>
    </w:p>
    <w:p>
      <w:pPr>
        <w:pStyle w:val="ListBullet"/>
      </w:pPr>
      <w:r>
        <w:t>Service hours derive strictly from approved attendance; maintained in distinct ledgers (nss_hours vs my_bharat_hours).</w:t>
      </w:r>
    </w:p>
    <w:p>
      <w:pPr>
        <w:pStyle w:val="ListBullet"/>
      </w:pPr>
      <w:r>
        <w:t>CRITICAL: Joint-event hours must NEVER be double-counted. Calculation formulas remain pending Programme Officer confirmation.</w:t>
      </w:r>
    </w:p>
    <w:p>
      <w:pPr>
        <w:pStyle w:val="ListBullet"/>
      </w:pPr>
      <w:r>
        <w:t>Registration checks track eligibility, time window and capacity transactionally to prevent overbooking.</w:t>
      </w:r>
    </w:p>
    <w:p>
      <w:pPr>
        <w:pStyle w:val="ListBullet"/>
      </w:pPr>
      <w:r>
        <w:t>Roster integrity check: administrative validation verifies 28 Core Team members (24 NSS, 4 MY Bharat) prior to public roster publishing; no brittle database constraints.</w:t>
      </w:r>
    </w:p>
    <w:p>
      <w:pPr>
        <w:pStyle w:val="ListBullet"/>
      </w:pPr>
      <w:r>
        <w:t>Academic-year changes never reset historical service or role records.</w:t>
      </w:r>
    </w:p>
    <w:p>
      <w:pPr>
        <w:pStyle w:val="Heading1"/>
      </w:pPr>
      <w:r>
        <w:t>5. Access model and technical controls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3000"/>
        <w:gridCol w:w="6500"/>
      </w:tblGrid>
      <w:tr>
        <w:trPr/>
        <w:tc>
          <w:tcPr>
            <w:tcW w:type="dxa" w:w="3000"/>
          </w:tcPr>
          <w:p>
            <w:r>
              <w:rPr>
                <w:b/>
              </w:rPr>
              <w:t>Area / Role</w:t>
            </w:r>
          </w:p>
        </w:tc>
        <w:tc>
          <w:tcPr>
            <w:tcW w:type="dxa" w:w="6500"/>
          </w:tcPr>
          <w:p>
            <w:r>
              <w:rPr>
                <w:b/>
              </w:rPr>
              <w:t>Technical control</w:t>
            </w:r>
          </w:p>
        </w:tc>
      </w:tr>
      <w:tr>
        <w:trPr/>
        <w:tc>
          <w:tcPr>
            <w:tcW w:type="dxa" w:w="3000"/>
          </w:tcPr>
          <w:p>
            <w:r>
              <w:t>Main Website Admin</w:t>
            </w:r>
          </w:p>
        </w:tc>
        <w:tc>
          <w:tcPr>
            <w:tcW w:type="dxa" w:w="6500"/>
          </w:tcPr>
          <w:p>
            <w:r>
              <w:t>Scoped content, homepage, MY Bharat public page, preview/publish and version permissions.</w:t>
            </w:r>
          </w:p>
        </w:tc>
      </w:tr>
      <w:tr>
        <w:trPr/>
        <w:tc>
          <w:tcPr>
            <w:tcW w:type="dxa" w:w="3000"/>
          </w:tcPr>
          <w:p>
            <w:r>
              <w:t>NSS Operations Admin</w:t>
            </w:r>
          </w:p>
        </w:tc>
        <w:tc>
          <w:tcPr>
            <w:tcW w:type="dxa" w:w="6500"/>
          </w:tcPr>
          <w:p>
            <w:r>
              <w:t>NSS volunteer approval, NSS events, attendance correction, NSS hours and operational reports.</w:t>
            </w:r>
          </w:p>
        </w:tc>
      </w:tr>
      <w:tr>
        <w:trPr/>
        <w:tc>
          <w:tcPr>
            <w:tcW w:type="dxa" w:w="3000"/>
          </w:tcPr>
          <w:p>
            <w:r>
              <w:t>MY Bharat Coordinator (Proposed)</w:t>
            </w:r>
          </w:p>
        </w:tc>
        <w:tc>
          <w:tcPr>
            <w:tcW w:type="dxa" w:w="6500"/>
          </w:tcPr>
          <w:p>
            <w:r>
              <w:t>MY Bharat volunteer approval, MY Bharat events, attendance logging and cell announcements.</w:t>
            </w:r>
          </w:p>
        </w:tc>
      </w:tr>
      <w:tr>
        <w:trPr/>
        <w:tc>
          <w:tcPr>
            <w:tcW w:type="dxa" w:w="3000"/>
          </w:tcPr>
          <w:p>
            <w:r>
              <w:t>Faculty / PO Reviewer (Proposed)</w:t>
            </w:r>
          </w:p>
        </w:tc>
        <w:tc>
          <w:tcPr>
            <w:tcW w:type="dxa" w:w="6500"/>
          </w:tcPr>
          <w:p>
            <w:r>
              <w:t>High-level review: Joint event approvals, certificate eligibility sign-offs, annual report audits.</w:t>
            </w:r>
          </w:p>
        </w:tc>
      </w:tr>
      <w:tr>
        <w:trPr/>
        <w:tc>
          <w:tcPr>
            <w:tcW w:type="dxa" w:w="3000"/>
          </w:tcPr>
          <w:p>
            <w:r>
              <w:t>Core Team (28 Members)</w:t>
            </w:r>
          </w:p>
        </w:tc>
        <w:tc>
          <w:tcPr>
            <w:tcW w:type="dxa" w:w="6500"/>
          </w:tcPr>
          <w:p>
            <w:r>
              <w:t>Individual accounts with role-specific task permissions; title or wing designation does not imply admin rights.</w:t>
            </w:r>
          </w:p>
        </w:tc>
      </w:tr>
      <w:tr>
        <w:trPr/>
        <w:tc>
          <w:tcPr>
            <w:tcW w:type="dxa" w:w="3000"/>
          </w:tcPr>
          <w:p>
            <w:r>
              <w:t>Volunteer</w:t>
            </w:r>
          </w:p>
        </w:tc>
        <w:tc>
          <w:tcPr>
            <w:tcW w:type="dxa" w:w="6500"/>
          </w:tcPr>
          <w:p>
            <w:r>
              <w:t>Own-record access only (registered track, attendance, separate hour breakdown, certificates).</w:t>
            </w:r>
          </w:p>
        </w:tc>
      </w:tr>
      <w:tr>
        <w:trPr/>
        <w:tc>
          <w:tcPr>
            <w:tcW w:type="dxa" w:w="3000"/>
          </w:tcPr>
          <w:p>
            <w:r>
              <w:t>Alumni</w:t>
            </w:r>
          </w:p>
        </w:tc>
        <w:tc>
          <w:tcPr>
            <w:tcW w:type="dxa" w:w="6500"/>
          </w:tcPr>
          <w:p>
            <w:r>
              <w:t>Read-only own history and issued certificates.</w:t>
            </w:r>
          </w:p>
        </w:tc>
      </w:tr>
    </w:tbl>
    <w:p>
      <w:pPr>
        <w:pStyle w:val="Heading1"/>
      </w:pPr>
      <w:r>
        <w:t>6. Integrations</w:t>
      </w:r>
    </w:p>
    <w:tbl>
      <w:tblPr>
        <w:tblStyle w:val="TableGrid"/>
        <w:tblW w:type="auto" w:w="0"/>
        <w:jc w:val="center"/>
        <w:tblLook w:firstRow="1" w:lastRow="0" w:firstColumn="1" w:lastColumn="0" w:noHBand="0" w:noVBand="1" w:val="04A0"/>
      </w:tblPr>
      <w:tblGrid>
        <w:gridCol w:w="2500"/>
        <w:gridCol w:w="4800"/>
        <w:gridCol w:w="2200"/>
      </w:tblGrid>
      <w:tr>
        <w:trPr/>
        <w:tc>
          <w:tcPr>
            <w:tcW w:type="dxa" w:w="2500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4800"/>
          </w:tcPr>
          <w:p>
            <w:r>
              <w:rPr>
                <w:b/>
              </w:rPr>
              <w:t>Behavior</w:t>
            </w:r>
          </w:p>
        </w:tc>
        <w:tc>
          <w:tcPr>
            <w:tcW w:type="dxa" w:w="2200"/>
          </w:tcPr>
          <w:p>
            <w:r>
              <w:rPr>
                <w:b/>
              </w:rPr>
              <w:t>Status</w:t>
            </w:r>
          </w:p>
        </w:tc>
      </w:tr>
      <w:tr>
        <w:trPr/>
        <w:tc>
          <w:tcPr>
            <w:tcW w:type="dxa" w:w="2500"/>
          </w:tcPr>
          <w:p>
            <w:r>
              <w:t>MY Bharat External API</w:t>
            </w:r>
          </w:p>
        </w:tc>
        <w:tc>
          <w:tcPr>
            <w:tcW w:type="dxa" w:w="4800"/>
          </w:tcPr>
          <w:p>
            <w:r>
              <w:t>No direct external government API integration at launch; all cell data tracked natively.</w:t>
            </w:r>
          </w:p>
        </w:tc>
        <w:tc>
          <w:tcPr>
            <w:tcW w:type="dxa" w:w="2200"/>
          </w:tcPr>
          <w:p>
            <w:r>
              <w:t>Explicit Exclusion</w:t>
            </w:r>
          </w:p>
        </w:tc>
      </w:tr>
      <w:tr>
        <w:trPr/>
        <w:tc>
          <w:tcPr>
            <w:tcW w:type="dxa" w:w="2500"/>
          </w:tcPr>
          <w:p>
            <w:r>
              <w:t>SAC Integration</w:t>
            </w:r>
          </w:p>
        </w:tc>
        <w:tc>
          <w:tcPr>
            <w:tcW w:type="dxa" w:w="4800"/>
          </w:tcPr>
          <w:p>
            <w:r>
              <w:t>No Student Activity Council integration or links.</w:t>
            </w:r>
          </w:p>
        </w:tc>
        <w:tc>
          <w:tcPr>
            <w:tcW w:type="dxa" w:w="2200"/>
          </w:tcPr>
          <w:p>
            <w:r>
              <w:t>Explicit Exclusion</w:t>
            </w:r>
          </w:p>
        </w:tc>
      </w:tr>
      <w:tr>
        <w:trPr/>
        <w:tc>
          <w:tcPr>
            <w:tcW w:type="dxa" w:w="2500"/>
          </w:tcPr>
          <w:p>
            <w:r>
              <w:t>Public Cert Verification</w:t>
            </w:r>
          </w:p>
        </w:tc>
        <w:tc>
          <w:tcPr>
            <w:tcW w:type="dxa" w:w="4800"/>
          </w:tcPr>
          <w:p>
            <w:r>
              <w:t>No public verification portal, QR codes or public verification IDs.</w:t>
            </w:r>
          </w:p>
        </w:tc>
        <w:tc>
          <w:tcPr>
            <w:tcW w:type="dxa" w:w="2200"/>
          </w:tcPr>
          <w:p>
            <w:r>
              <w:t>Explicit Exclusion</w:t>
            </w:r>
          </w:p>
        </w:tc>
      </w:tr>
      <w:tr>
        <w:trPr/>
        <w:tc>
          <w:tcPr>
            <w:tcW w:type="dxa" w:w="2500"/>
          </w:tcPr>
          <w:p>
            <w:r>
              <w:t>Email</w:t>
            </w:r>
          </w:p>
        </w:tc>
        <w:tc>
          <w:tcPr>
            <w:tcW w:type="dxa" w:w="4800"/>
          </w:tcPr>
          <w:p>
            <w:r>
              <w:t>Template-based messages, delivery state and failure handling.</w:t>
            </w:r>
          </w:p>
        </w:tc>
        <w:tc>
          <w:tcPr>
            <w:tcW w:type="dxa" w:w="2200"/>
          </w:tcPr>
          <w:p>
            <w:r>
              <w:t>Provider pending.</w:t>
            </w:r>
          </w:p>
        </w:tc>
      </w:tr>
      <w:tr>
        <w:trPr/>
        <w:tc>
          <w:tcPr>
            <w:tcW w:type="dxa" w:w="2500"/>
          </w:tcPr>
          <w:p>
            <w:r>
              <w:t>Storage</w:t>
            </w:r>
          </w:p>
        </w:tc>
        <w:tc>
          <w:tcPr>
            <w:tcW w:type="dxa" w:w="4800"/>
          </w:tcPr>
          <w:p>
            <w:r>
              <w:t>Private uploads, approved public assets, access control and backups.</w:t>
            </w:r>
          </w:p>
        </w:tc>
        <w:tc>
          <w:tcPr>
            <w:tcW w:type="dxa" w:w="2200"/>
          </w:tcPr>
          <w:p>
            <w:r>
              <w:t>Provider pending.</w:t>
            </w:r>
          </w:p>
        </w:tc>
      </w:tr>
      <w:tr>
        <w:trPr/>
        <w:tc>
          <w:tcPr>
            <w:tcW w:type="dxa" w:w="2500"/>
          </w:tcPr>
          <w:p>
            <w:r>
              <w:t>Authentication</w:t>
            </w:r>
          </w:p>
        </w:tc>
        <w:tc>
          <w:tcPr>
            <w:tcW w:type="dxa" w:w="4800"/>
          </w:tcPr>
          <w:p>
            <w:r>
              <w:t>Email verification, reset, MFA, session revocation.</w:t>
            </w:r>
          </w:p>
        </w:tc>
        <w:tc>
          <w:tcPr>
            <w:tcW w:type="dxa" w:w="2200"/>
          </w:tcPr>
          <w:p>
            <w:r>
              <w:t>Provider pending.</w:t>
            </w:r>
          </w:p>
        </w:tc>
      </w:tr>
      <w:tr>
        <w:trPr/>
        <w:tc>
          <w:tcPr>
            <w:tcW w:type="dxa" w:w="2500"/>
          </w:tcPr>
          <w:p>
            <w:r>
              <w:t>Calendar</w:t>
            </w:r>
          </w:p>
        </w:tc>
        <w:tc>
          <w:tcPr>
            <w:tcW w:type="dxa" w:w="4800"/>
          </w:tcPr>
          <w:p>
            <w:r>
              <w:t>Generate .ics files for published events across all initiatives.</w:t>
            </w:r>
          </w:p>
        </w:tc>
        <w:tc>
          <w:tcPr>
            <w:tcW w:type="dxa" w:w="2200"/>
          </w:tcPr>
          <w:p>
            <w:r>
              <w:t>No paid integration required.</w:t>
            </w:r>
          </w:p>
        </w:tc>
      </w:tr>
    </w:tbl>
    <w:p>
      <w:pPr>
        <w:pStyle w:val="Heading1"/>
      </w:pPr>
      <w:r>
        <w:t>7. Backup and recovery</w:t>
      </w:r>
    </w:p>
    <w:p>
      <w:pPr>
        <w:pStyle w:val="ListBullet"/>
      </w:pPr>
      <w:r>
        <w:t>Daily database backup target; 90-day retention preference subject to provider limits and institutional policy.</w:t>
      </w:r>
    </w:p>
    <w:p>
      <w:pPr>
        <w:pStyle w:val="ListBullet"/>
      </w:pPr>
      <w:r>
        <w:t>Include media and essential configuration; encrypt backups and restrict restore permissions.</w:t>
      </w:r>
    </w:p>
    <w:p>
      <w:pPr>
        <w:pStyle w:val="ListBullet"/>
      </w:pPr>
      <w:r>
        <w:t>Periodically restore in an isolated environment and record results.</w:t>
      </w:r>
    </w:p>
    <w:p>
      <w:pPr>
        <w:pStyle w:val="ListBullet"/>
      </w:pPr>
      <w:r>
        <w:t>At least two technical maintainers must be able to deploy and recover.</w:t>
      </w:r>
    </w:p>
    <w:p>
      <w:pPr>
        <w:pStyle w:val="Heading1"/>
      </w:pPr>
      <w:r>
        <w:t>8. Performance and accessibility</w:t>
      </w:r>
    </w:p>
    <w:p>
      <w:pPr>
        <w:pStyle w:val="ListBullet"/>
      </w:pPr>
      <w:r>
        <w:t>Set numerical Core Web Vitals and response-time thresholds before implementation completion.</w:t>
      </w:r>
    </w:p>
    <w:p>
      <w:pPr>
        <w:pStyle w:val="ListBullet"/>
      </w:pPr>
      <w:r>
        <w:t>Optimize images, use responsive formats, lazy-load below-the-fold assets, code split and cache sensibly.</w:t>
      </w:r>
    </w:p>
    <w:p>
      <w:pPr>
        <w:pStyle w:val="ListBullet"/>
      </w:pPr>
      <w:r>
        <w:t>Target WCAG 2.2 AA with automated and manual review; verify visible focus, contrast and screen-reader support.</w:t>
      </w:r>
    </w:p>
    <w:p>
      <w:pPr>
        <w:pStyle w:val="ListBullet"/>
      </w:pPr>
      <w:r>
        <w:t>Animations must respect prefers-reduced-motion; no blocking spinners or faked progress.</w:t>
      </w:r>
    </w:p>
    <w:p>
      <w:pPr>
        <w:pStyle w:val="Heading1"/>
      </w:pPr>
      <w:r>
        <w:t>9. Environments</w:t>
      </w:r>
    </w:p>
    <w:p>
      <w:pPr>
        <w:pStyle w:val="ListBullet"/>
      </w:pPr>
      <w:r>
        <w:t>Development: implementation and local testing with test data; registration stays closed.</w:t>
      </w:r>
    </w:p>
    <w:p>
      <w:pPr>
        <w:pStyle w:val="ListBullet"/>
      </w:pPr>
      <w:r>
        <w:t>Preview/staging: review multi-track registration, dual queues and responsive UI; restricted access.</w:t>
      </w:r>
    </w:p>
    <w:p>
      <w:pPr>
        <w:pStyle w:val="ListBullet"/>
      </w:pPr>
      <w:r>
        <w:t>Production: approved live website/portals; HTTPS, secret management, monitoring and backups.</w:t>
      </w:r>
    </w:p>
    <w:p>
      <w:pPr>
        <w:pStyle w:val="Heading1"/>
      </w:pPr>
      <w:r>
        <w:t>10. Pending institutional confirmation</w:t>
      </w:r>
    </w:p>
    <w:p>
      <w:pPr>
        <w:pStyle w:val="ListBullet"/>
      </w:pPr>
      <w:r>
        <w:t>Pending Institutional Confirmation: Joint event service-hour crediting rules (no double-counting).</w:t>
      </w:r>
    </w:p>
    <w:p>
      <w:pPr>
        <w:pStyle w:val="ListBullet"/>
      </w:pPr>
      <w:r>
        <w:t>Pending Institutional Confirmation: Official service-hour targets (120-hour benchmark) and certificate policies.</w:t>
      </w:r>
    </w:p>
    <w:p>
      <w:pPr>
        <w:pStyle w:val="ListBullet"/>
      </w:pPr>
      <w:r>
        <w:t>Pending Institutional Confirmation: Approval authority workflow for dual-track volunteer applicants (Both).</w:t>
      </w:r>
    </w:p>
    <w:p>
      <w:pPr>
        <w:pStyle w:val="ListBullet"/>
      </w:pPr>
      <w:r>
        <w:t>Pending Institutional Confirmation: Database and hosting vendor selection (Supabase pricing/limits review).</w:t>
      </w:r>
    </w:p>
    <w:p>
      <w:pPr>
        <w:pStyle w:val="ListBullet"/>
      </w:pPr>
      <w:r>
        <w:t>Pending Institutional Confirmation: Domain and DNS ownership handover.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067"/>
        <w:sz w:val="16"/>
      </w:rPr>
      <w:t xml:space="preserve">DOC-02 • NSS VIIT (A)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57067"/>
        <w:sz w:val="16"/>
      </w:rPr>
      <w:t>NSS VIIT (A)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92D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A3C2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C2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