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NSS VIIT (A)</w:t>
      </w:r>
    </w:p>
    <w:p>
      <w:pPr>
        <w:pStyle w:val="Title"/>
      </w:pPr>
      <w:r>
        <w:t>Implementation Plan</w:t>
      </w:r>
    </w:p>
    <w:p>
      <w:r>
        <w:t>Phases, workstreams, testing, risk management and launch readiness (Integrated with MY Bharat)</w:t>
      </w:r>
    </w:p>
    <w:p>
      <w:r>
        <w:t>DESIGN PRINCIPLE  Extraordinary visual craft, purposeful motion, institutional trust and accessible interaction.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3000"/>
        <w:gridCol w:w="6500"/>
      </w:tblGrid>
      <w:tr>
        <w:trPr/>
        <w:tc>
          <w:tcPr>
            <w:tcW w:type="dxa" w:w="3000"/>
          </w:tcPr>
          <w:p>
            <w:r>
              <w:rPr>
                <w:b/>
              </w:rPr>
              <w:t>Document control</w:t>
            </w:r>
          </w:p>
        </w:tc>
        <w:tc>
          <w:tcPr>
            <w:tcW w:type="dxa" w:w="6500"/>
          </w:tcPr>
          <w:p>
            <w:r>
              <w:rPr>
                <w:b/>
              </w:rPr>
              <w:t>Value</w:t>
            </w:r>
          </w:p>
        </w:tc>
      </w:tr>
      <w:tr>
        <w:trPr/>
        <w:tc>
          <w:tcPr>
            <w:tcW w:type="dxa" w:w="3000"/>
          </w:tcPr>
          <w:p>
            <w:r>
              <w:t>ID</w:t>
            </w:r>
          </w:p>
        </w:tc>
        <w:tc>
          <w:tcPr>
            <w:tcW w:type="dxa" w:w="6500"/>
          </w:tcPr>
          <w:p>
            <w:r>
              <w:t>DOC-06</w:t>
            </w:r>
          </w:p>
        </w:tc>
      </w:tr>
      <w:tr>
        <w:trPr/>
        <w:tc>
          <w:tcPr>
            <w:tcW w:type="dxa" w:w="3000"/>
          </w:tcPr>
          <w:p>
            <w:r>
              <w:t>Version</w:t>
            </w:r>
          </w:p>
        </w:tc>
        <w:tc>
          <w:tcPr>
            <w:tcW w:type="dxa" w:w="6500"/>
          </w:tcPr>
          <w:p>
            <w:r>
              <w:t>2.0 — integrated baseline (with MY Bharat expansion)</w:t>
            </w:r>
          </w:p>
        </w:tc>
      </w:tr>
      <w:tr>
        <w:trPr/>
        <w:tc>
          <w:tcPr>
            <w:tcW w:type="dxa" w:w="3000"/>
          </w:tcPr>
          <w:p>
            <w:r>
              <w:t>Project</w:t>
            </w:r>
          </w:p>
        </w:tc>
        <w:tc>
          <w:tcPr>
            <w:tcW w:type="dxa" w:w="6500"/>
          </w:tcPr>
          <w:p>
            <w:r>
              <w:t>NSS VIIT (A) — complete website and digital platform</w:t>
            </w:r>
          </w:p>
        </w:tc>
      </w:tr>
      <w:tr>
        <w:trPr/>
        <w:tc>
          <w:tcPr>
            <w:tcW w:type="dxa" w:w="3000"/>
          </w:tcPr>
          <w:p>
            <w:r>
              <w:t>Status</w:t>
            </w:r>
          </w:p>
        </w:tc>
        <w:tc>
          <w:tcPr>
            <w:tcW w:type="dxa" w:w="6500"/>
          </w:tcPr>
          <w:p>
            <w:r>
              <w:t>Requirements baseline; not an implementation or testing claim</w:t>
            </w:r>
          </w:p>
        </w:tc>
      </w:tr>
      <w:tr>
        <w:trPr/>
        <w:tc>
          <w:tcPr>
            <w:tcW w:type="dxa" w:w="3000"/>
          </w:tcPr>
          <w:p>
            <w:r>
              <w:t>Approval</w:t>
            </w:r>
          </w:p>
        </w:tc>
        <w:tc>
          <w:tcPr>
            <w:tcW w:type="dxa" w:w="6500"/>
          </w:tcPr>
          <w:p>
            <w:r>
              <w:t>Review by both primary NSS administrators and college-authorized authority where applicable</w:t>
            </w:r>
          </w:p>
        </w:tc>
      </w:tr>
    </w:tbl>
    <w:p>
      <w:pPr>
        <w:pStyle w:val="Heading1"/>
      </w:pPr>
      <w:r>
        <w:t>1. Delivery approach</w:t>
      </w:r>
    </w:p>
    <w:p>
      <w:r>
        <w:t>Implement in controlled phases from a clean project. Confirm institutional and policy questions before locking providers or enabling registration. Incorporate MY Bharat natively into public pages, multi-track registration, event management and attendance auditing. Launch only after critical workflows, security, accessibility, recovery and joint approvals pass.</w:t>
      </w:r>
    </w:p>
    <w:p>
      <w:pPr>
        <w:pStyle w:val="Heading1"/>
      </w:pPr>
      <w:r>
        <w:t>2. Delivery phases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2000"/>
        <w:gridCol w:w="4800"/>
        <w:gridCol w:w="2700"/>
      </w:tblGrid>
      <w:tr>
        <w:trPr/>
        <w:tc>
          <w:tcPr>
            <w:tcW w:type="dxa" w:w="200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800"/>
          </w:tcPr>
          <w:p>
            <w:r>
              <w:rPr>
                <w:b/>
              </w:rPr>
              <w:t>Work Description</w:t>
            </w:r>
          </w:p>
        </w:tc>
        <w:tc>
          <w:tcPr>
            <w:tcW w:type="dxa" w:w="2700"/>
          </w:tcPr>
          <w:p>
            <w:r>
              <w:rPr>
                <w:b/>
              </w:rPr>
              <w:t>Exit Criteria</w:t>
            </w:r>
          </w:p>
        </w:tc>
      </w:tr>
      <w:tr>
        <w:trPr/>
        <w:tc>
          <w:tcPr>
            <w:tcW w:type="dxa" w:w="2000"/>
          </w:tcPr>
          <w:p>
            <w:r>
              <w:t>0. Governance</w:t>
            </w:r>
          </w:p>
        </w:tc>
        <w:tc>
          <w:tcPr>
            <w:tcW w:type="dxa" w:w="4800"/>
          </w:tcPr>
          <w:p>
            <w:r>
              <w:t>Confirm domain, eligibility fields, joint-event hour formula, certificate rules, MY Bharat cell intake rules, privacy.</w:t>
            </w:r>
          </w:p>
        </w:tc>
        <w:tc>
          <w:tcPr>
            <w:tcW w:type="dxa" w:w="2700"/>
          </w:tcPr>
          <w:p>
            <w:r>
              <w:t>Open questions and responsible authorities documented.</w:t>
            </w:r>
          </w:p>
        </w:tc>
      </w:tr>
      <w:tr>
        <w:trPr/>
        <w:tc>
          <w:tcPr>
            <w:tcW w:type="dxa" w:w="2000"/>
          </w:tcPr>
          <w:p>
            <w:r>
              <w:t>1. Architecture &amp; Design</w:t>
            </w:r>
          </w:p>
        </w:tc>
        <w:tc>
          <w:tcPr>
            <w:tcW w:type="dxa" w:w="4800"/>
          </w:tcPr>
          <w:p>
            <w:r>
              <w:t>Confirm React + TS + Tailwind tokens; define RBAC, environments, routes (/my-bharat), and incorporate Stitch UI.</w:t>
            </w:r>
          </w:p>
        </w:tc>
        <w:tc>
          <w:tcPr>
            <w:tcW w:type="dxa" w:w="2700"/>
          </w:tcPr>
          <w:p>
            <w:r>
              <w:t>TRD, Stitch design system and token baseline reviewed.</w:t>
            </w:r>
          </w:p>
        </w:tc>
      </w:tr>
      <w:tr>
        <w:trPr/>
        <w:tc>
          <w:tcPr>
            <w:tcW w:type="dxa" w:w="2000"/>
          </w:tcPr>
          <w:p>
            <w:r>
              <w:t>2. Public Website</w:t>
            </w:r>
          </w:p>
        </w:tc>
        <w:tc>
          <w:tcPr>
            <w:tcW w:type="dxa" w:w="4800"/>
          </w:tcPr>
          <w:p>
            <w:r>
              <w:t>Build Home, About NSS, MY Bharat (dedicated page), Events, Calendar, Gallery, Team (28 members), Volunteer Info, Resources, Contact.</w:t>
            </w:r>
          </w:p>
        </w:tc>
        <w:tc>
          <w:tcPr>
            <w:tcW w:type="dxa" w:w="2700"/>
          </w:tcPr>
          <w:p>
            <w:r>
              <w:t>Responsive public pages; only approved content; registration closed banner visible.</w:t>
            </w:r>
          </w:p>
        </w:tc>
      </w:tr>
      <w:tr>
        <w:trPr/>
        <w:tc>
          <w:tcPr>
            <w:tcW w:type="dxa" w:w="2000"/>
          </w:tcPr>
          <w:p>
            <w:r>
              <w:t>3. Identity &amp; Permissions</w:t>
            </w:r>
          </w:p>
        </w:tc>
        <w:tc>
          <w:tcPr>
            <w:tcW w:type="dxa" w:w="4800"/>
          </w:tcPr>
          <w:p>
            <w:r>
              <w:t>Authentication, role model (including MY Bharat Coordinator &amp; PO Reviewer), admin MFA, session revocation.</w:t>
            </w:r>
          </w:p>
        </w:tc>
        <w:tc>
          <w:tcPr>
            <w:tcW w:type="dxa" w:w="2700"/>
          </w:tcPr>
          <w:p>
            <w:r>
              <w:t>Positive and negative authorization tests pass.</w:t>
            </w:r>
          </w:p>
        </w:tc>
      </w:tr>
      <w:tr>
        <w:trPr/>
        <w:tc>
          <w:tcPr>
            <w:tcW w:type="dxa" w:w="2000"/>
          </w:tcPr>
          <w:p>
            <w:r>
              <w:t>4. Multi-Track Registration</w:t>
            </w:r>
          </w:p>
        </w:tc>
        <w:tc>
          <w:tcPr>
            <w:tcW w:type="dxa" w:w="4800"/>
          </w:tcPr>
          <w:p>
            <w:r>
              <w:t>Unified registration flow (NSS/Bharat/Both), admin review queues, account statuses, alumni history.</w:t>
            </w:r>
          </w:p>
        </w:tc>
        <w:tc>
          <w:tcPr>
            <w:tcW w:type="dxa" w:w="2700"/>
          </w:tcPr>
          <w:p>
            <w:r>
              <w:t>Registration remains disabled by default; lifecycle tests pass.</w:t>
            </w:r>
          </w:p>
        </w:tc>
      </w:tr>
      <w:tr>
        <w:trPr/>
        <w:tc>
          <w:tcPr>
            <w:tcW w:type="dxa" w:w="2000"/>
          </w:tcPr>
          <w:p>
            <w:r>
              <w:t>5. Events, Attendance &amp; Hours</w:t>
            </w:r>
          </w:p>
        </w:tc>
        <w:tc>
          <w:tcPr>
            <w:tcW w:type="dxa" w:w="4800"/>
          </w:tcPr>
          <w:p>
            <w:r>
              <w:t>Event proposals (NSS/Bharat/Joint), capacity rules, manual attendance, audit log, distinct hour ledgers (no double-counting).</w:t>
            </w:r>
          </w:p>
        </w:tc>
        <w:tc>
          <w:tcPr>
            <w:tcW w:type="dxa" w:w="2700"/>
          </w:tcPr>
          <w:p>
            <w:r>
              <w:t>No overbooking; audited corrections; zero double-counting verified.</w:t>
            </w:r>
          </w:p>
        </w:tc>
      </w:tr>
      <w:tr>
        <w:trPr/>
        <w:tc>
          <w:tcPr>
            <w:tcW w:type="dxa" w:w="2000"/>
          </w:tcPr>
          <w:p>
            <w:r>
              <w:t>6. Collaboration Workspaces</w:t>
            </w:r>
          </w:p>
        </w:tc>
        <w:tc>
          <w:tcPr>
            <w:tcW w:type="dxa" w:w="4800"/>
          </w:tcPr>
          <w:p>
            <w:r>
              <w:t>Core Team tasks, restricted attachments, meeting minutes, notices, support tickets, confidential reports.</w:t>
            </w:r>
          </w:p>
        </w:tc>
        <w:tc>
          <w:tcPr>
            <w:tcW w:type="dxa" w:w="2700"/>
          </w:tcPr>
          <w:p>
            <w:r>
              <w:t>Permissions and notification delivery tests pass.</w:t>
            </w:r>
          </w:p>
        </w:tc>
      </w:tr>
      <w:tr>
        <w:trPr/>
        <w:tc>
          <w:tcPr>
            <w:tcW w:type="dxa" w:w="2000"/>
          </w:tcPr>
          <w:p>
            <w:r>
              <w:t>7. Media, Reports &amp; Certs</w:t>
            </w:r>
          </w:p>
        </w:tc>
        <w:tc>
          <w:tcPr>
            <w:tcW w:type="dxa" w:w="4800"/>
          </w:tcPr>
          <w:p>
            <w:r>
              <w:t>Media review workflow, album curation, PDF exports, annual reports, certificate approval workflows.</w:t>
            </w:r>
          </w:p>
        </w:tc>
        <w:tc>
          <w:tcPr>
            <w:tcW w:type="dxa" w:w="2700"/>
          </w:tcPr>
          <w:p>
            <w:r>
              <w:t>No private leakage; exports and issuance tested.</w:t>
            </w:r>
          </w:p>
        </w:tc>
      </w:tr>
      <w:tr>
        <w:trPr/>
        <w:tc>
          <w:tcPr>
            <w:tcW w:type="dxa" w:w="2000"/>
          </w:tcPr>
          <w:p>
            <w:r>
              <w:t>8. Hardening &amp; Quality</w:t>
            </w:r>
          </w:p>
        </w:tc>
        <w:tc>
          <w:tcPr>
            <w:tcW w:type="dxa" w:w="4800"/>
          </w:tcPr>
          <w:p>
            <w:r>
              <w:t>Security audit, WCAG 2.2 AA accessibility, performance profiling, backup restore test.</w:t>
            </w:r>
          </w:p>
        </w:tc>
        <w:tc>
          <w:tcPr>
            <w:tcW w:type="dxa" w:w="2700"/>
          </w:tcPr>
          <w:p>
            <w:r>
              <w:t>Critical findings resolved; restore drill evidence recorded.</w:t>
            </w:r>
          </w:p>
        </w:tc>
      </w:tr>
      <w:tr>
        <w:trPr/>
        <w:tc>
          <w:tcPr>
            <w:tcW w:type="dxa" w:w="2000"/>
          </w:tcPr>
          <w:p>
            <w:r>
              <w:t>9. Private Preview</w:t>
            </w:r>
          </w:p>
        </w:tc>
        <w:tc>
          <w:tcPr>
            <w:tcW w:type="dxa" w:w="4800"/>
          </w:tcPr>
          <w:p>
            <w:r>
              <w:t>Load approved content; test with primary NSS admins, MY Bharat coordinators, and college authority on mobile/desktop.</w:t>
            </w:r>
          </w:p>
        </w:tc>
        <w:tc>
          <w:tcPr>
            <w:tcW w:type="dxa" w:w="2700"/>
          </w:tcPr>
          <w:p>
            <w:r>
              <w:t>Both admins and college reviewer approve or record blockers.</w:t>
            </w:r>
          </w:p>
        </w:tc>
      </w:tr>
      <w:tr>
        <w:trPr/>
        <w:tc>
          <w:tcPr>
            <w:tcW w:type="dxa" w:w="2000"/>
          </w:tcPr>
          <w:p>
            <w:r>
              <w:t>10. Launch &amp; Handover</w:t>
            </w:r>
          </w:p>
        </w:tc>
        <w:tc>
          <w:tcPr>
            <w:tcW w:type="dxa" w:w="4800"/>
          </w:tcPr>
          <w:p>
            <w:r>
              <w:t>Joint approval, production deployment, monitoring and runbook transfer.</w:t>
            </w:r>
          </w:p>
        </w:tc>
        <w:tc>
          <w:tcPr>
            <w:tcW w:type="dxa" w:w="2700"/>
          </w:tcPr>
          <w:p>
            <w:r>
              <w:t>Two maintainers trained; rollback available; registration opens only by separate authorized decision.</w:t>
            </w:r>
          </w:p>
        </w:tc>
      </w:tr>
    </w:tbl>
    <w:p>
      <w:pPr>
        <w:pStyle w:val="Heading1"/>
      </w:pPr>
      <w:r>
        <w:t>3. Workstreams</w:t>
      </w:r>
    </w:p>
    <w:p>
      <w:pPr>
        <w:pStyle w:val="ListBullet"/>
      </w:pPr>
      <w:r>
        <w:t>Product &amp; Content: approved copy, official resources, event data, bios (24 NSS, 4 Bharat), media consent and reports.</w:t>
      </w:r>
    </w:p>
    <w:p>
      <w:pPr>
        <w:pStyle w:val="ListBullet"/>
      </w:pPr>
      <w:r>
        <w:t>Design: tokens, responsive layouts, motion system, Stitch UI incorporation, accessibility and dashboard IA.</w:t>
      </w:r>
    </w:p>
    <w:p>
      <w:pPr>
        <w:pStyle w:val="ListBullet"/>
      </w:pPr>
      <w:r>
        <w:t>Frontend: pages, dedicated MY Bharat landing, dashboards, forms, filters, calendar, animations and UI states.</w:t>
      </w:r>
    </w:p>
    <w:p>
      <w:pPr>
        <w:pStyle w:val="ListBullet"/>
      </w:pPr>
      <w:r>
        <w:t>Backend &amp; Data: schema, RLS policies, multi-track authorization, workflow rules, audit and reporting.</w:t>
      </w:r>
    </w:p>
    <w:p>
      <w:pPr>
        <w:pStyle w:val="ListBullet"/>
      </w:pPr>
      <w:r>
        <w:t>Operations: domain, environments, secrets, monitoring, backups, restore and incident runbooks.</w:t>
      </w:r>
    </w:p>
    <w:p>
      <w:pPr>
        <w:pStyle w:val="ListBullet"/>
      </w:pPr>
      <w:r>
        <w:t>QA: unit, integration, e2e, permissions, accessibility, device and performance testing.</w:t>
      </w:r>
    </w:p>
    <w:p>
      <w:pPr>
        <w:pStyle w:val="Heading1"/>
      </w:pPr>
      <w:r>
        <w:t>4. Testing strategy</w:t>
      </w:r>
    </w:p>
    <w:p>
      <w:pPr>
        <w:pStyle w:val="ListBullet"/>
      </w:pPr>
      <w:r>
        <w:t>Unit tests: service-hour calculation (verifying zero double-counting for joint events), multi-track filtering, state transitions and permissions.</w:t>
      </w:r>
    </w:p>
    <w:p>
      <w:pPr>
        <w:pStyle w:val="ListBullet"/>
      </w:pPr>
      <w:r>
        <w:t>Integration tests: multi-track registration, dual approval queues, attendance corrections, notifications, media review and certificates.</w:t>
      </w:r>
    </w:p>
    <w:p>
      <w:pPr>
        <w:pStyle w:val="ListBullet"/>
      </w:pPr>
      <w:r>
        <w:t>End-to-end tests: user journeys across public site (including /my-bharat) and all private workspaces.</w:t>
      </w:r>
    </w:p>
    <w:p>
      <w:pPr>
        <w:pStyle w:val="ListBullet"/>
      </w:pPr>
      <w:r>
        <w:t>Negative authorization tests: MY Bharat coordinator attempting to edit NSS unit records; volunteer attempting peer record access; revoked sessions.</w:t>
      </w:r>
    </w:p>
    <w:p>
      <w:pPr>
        <w:pStyle w:val="ListBullet"/>
      </w:pPr>
      <w:r>
        <w:t>Concurrency tests: event registration capacity limits under load.</w:t>
      </w:r>
    </w:p>
    <w:p>
      <w:pPr>
        <w:pStyle w:val="ListBullet"/>
      </w:pPr>
      <w:r>
        <w:t>Accessibility &amp; Performance: WCAG 2.2 AA automated/manual checks; mobile responsiveness on mid-range devices; reduced motion tests.</w:t>
      </w:r>
    </w:p>
    <w:p>
      <w:pPr>
        <w:pStyle w:val="ListBullet"/>
      </w:pPr>
      <w:r>
        <w:t>Email failure &amp; recovery: transactional retry tests; never assume delivery without confirmation.</w:t>
      </w:r>
    </w:p>
    <w:p>
      <w:pPr>
        <w:pStyle w:val="Heading1"/>
      </w:pPr>
      <w:r>
        <w:t>5. UI animation checklist</w:t>
      </w:r>
    </w:p>
    <w:p>
      <w:pPr>
        <w:pStyle w:val="ListBullet"/>
      </w:pPr>
      <w:r>
        <w:t>Use reusable motion tokens/variants; avoid one-off effects everywhere.</w:t>
      </w:r>
    </w:p>
    <w:p>
      <w:pPr>
        <w:pStyle w:val="ListBullet"/>
      </w:pPr>
      <w:r>
        <w:t>Hero carousel: pause/play, previous/next, indicators, keyboard control and reduced-motion fallback.</w:t>
      </w:r>
    </w:p>
    <w:p>
      <w:pPr>
        <w:pStyle w:val="ListBullet"/>
      </w:pPr>
      <w:r>
        <w:t>Navigation drawer: focus management, Escape key listener, backdrop close and body scroll lock.</w:t>
      </w:r>
    </w:p>
    <w:p>
      <w:pPr>
        <w:pStyle w:val="ListBullet"/>
      </w:pPr>
      <w:r>
        <w:t>Prefer transform and opacity; avoid layout recalculations and heavy scroll listeners.</w:t>
      </w:r>
    </w:p>
    <w:p>
      <w:pPr>
        <w:pStyle w:val="ListBullet"/>
      </w:pPr>
      <w:r>
        <w:t>Test on mid-range mobile devices; critical actions must remain immediate without animation delays.</w:t>
      </w:r>
    </w:p>
    <w:p>
      <w:pPr>
        <w:pStyle w:val="Heading1"/>
      </w:pPr>
      <w:r>
        <w:t>6. Launch checklist</w:t>
      </w:r>
    </w:p>
    <w:p>
      <w:pPr>
        <w:pStyle w:val="ListBullet"/>
      </w:pPr>
      <w:r>
        <w:t>Official domain approved; ownership and handover documented.</w:t>
      </w:r>
    </w:p>
    <w:p>
      <w:pPr>
        <w:pStyle w:val="ListBullet"/>
      </w:pPr>
      <w:r>
        <w:t>Primary administrators use MFA; recovery procedures verified.</w:t>
      </w:r>
    </w:p>
    <w:p>
      <w:pPr>
        <w:pStyle w:val="ListBullet"/>
      </w:pPr>
      <w:r>
        <w:t>Role matrix and revoked-session behavior tested across all roles.</w:t>
      </w:r>
    </w:p>
    <w:p>
      <w:pPr>
        <w:pStyle w:val="ListBullet"/>
      </w:pPr>
      <w:r>
        <w:t>All published content, photos, contacts and resources approved; zero fabricated content.</w:t>
      </w:r>
    </w:p>
    <w:p>
      <w:pPr>
        <w:pStyle w:val="ListBullet"/>
      </w:pPr>
      <w:r>
        <w:t>Volunteer registration stays closed until separately authorized.</w:t>
      </w:r>
    </w:p>
    <w:p>
      <w:pPr>
        <w:pStyle w:val="ListBullet"/>
      </w:pPr>
      <w:r>
        <w:t>Roster verification: 28 Core Team members confirmed (24 NSS, 4 MY Bharat) prior to team page release.</w:t>
      </w:r>
    </w:p>
    <w:p>
      <w:pPr>
        <w:pStyle w:val="ListBullet"/>
      </w:pPr>
      <w:r>
        <w:t>Service-hour calculation rules and joint-event crediting formula confirmed by Programme Officer.</w:t>
      </w:r>
    </w:p>
    <w:p>
      <w:pPr>
        <w:pStyle w:val="ListBullet"/>
      </w:pPr>
      <w:r>
        <w:t>Backup and restore test succeeds; actual provider limits verified.</w:t>
      </w:r>
    </w:p>
    <w:p>
      <w:pPr>
        <w:pStyle w:val="ListBullet"/>
      </w:pPr>
      <w:r>
        <w:t>Both primary admins and college authority grant explicit written launch approval.</w:t>
      </w:r>
    </w:p>
    <w:p>
      <w:pPr>
        <w:pStyle w:val="ListBullet"/>
      </w:pPr>
      <w:r>
        <w:t>Two technical maintainers trained and runbooks handed over.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3500"/>
        <w:gridCol w:w="6000"/>
      </w:tblGrid>
      <w:tr>
        <w:trPr/>
        <w:tc>
          <w:tcPr>
            <w:tcW w:type="dxa" w:w="350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6000"/>
          </w:tcPr>
          <w:p>
            <w:r>
              <w:rPr>
                <w:b/>
              </w:rPr>
              <w:t>Mitigation Strategy</w:t>
            </w:r>
          </w:p>
        </w:tc>
      </w:tr>
      <w:tr>
        <w:trPr/>
        <w:tc>
          <w:tcPr>
            <w:tcW w:type="dxa" w:w="3500"/>
          </w:tcPr>
          <w:p>
            <w:r>
              <w:t>Double-counting joint event hours</w:t>
            </w:r>
          </w:p>
        </w:tc>
        <w:tc>
          <w:tcPr>
            <w:tcW w:type="dxa" w:w="6000"/>
          </w:tcPr>
          <w:p>
            <w:r>
              <w:t>Strictly separate hour ledgers (nss_hours vs my_bharat_hours); enforce calculation rules in server-side workflows.</w:t>
            </w:r>
          </w:p>
        </w:tc>
      </w:tr>
      <w:tr>
        <w:trPr/>
        <w:tc>
          <w:tcPr>
            <w:tcW w:type="dxa" w:w="3500"/>
          </w:tcPr>
          <w:p>
            <w:r>
              <w:t>Brittle team count constraint</w:t>
            </w:r>
          </w:p>
        </w:tc>
        <w:tc>
          <w:tcPr>
            <w:tcW w:type="dxa" w:w="6000"/>
          </w:tcPr>
          <w:p>
            <w:r>
              <w:t>Use administrative pre-publish validation checks instead of hard database constraints to prevent editing deadlocks.</w:t>
            </w:r>
          </w:p>
        </w:tc>
      </w:tr>
      <w:tr>
        <w:trPr/>
        <w:tc>
          <w:tcPr>
            <w:tcW w:type="dxa" w:w="3500"/>
          </w:tcPr>
          <w:p>
            <w:r>
              <w:t>Unverified institutional policy</w:t>
            </w:r>
          </w:p>
        </w:tc>
        <w:tc>
          <w:tcPr>
            <w:tcW w:type="dxa" w:w="6000"/>
          </w:tcPr>
          <w:p>
            <w:r>
              <w:t>Preserve open questions as 'Pending Institutional Confirmation'; obtain written sign-off before configuring thresholds.</w:t>
            </w:r>
          </w:p>
        </w:tc>
      </w:tr>
      <w:tr>
        <w:trPr/>
        <w:tc>
          <w:tcPr>
            <w:tcW w:type="dxa" w:w="3500"/>
          </w:tcPr>
          <w:p>
            <w:r>
              <w:t>Accidental registration opening</w:t>
            </w:r>
          </w:p>
        </w:tc>
        <w:tc>
          <w:tcPr>
            <w:tcW w:type="dxa" w:w="6000"/>
          </w:tcPr>
          <w:p>
            <w:r>
              <w:t>Enforce feature flag defaulting to false; show persistent closed banner in UI.</w:t>
            </w:r>
          </w:p>
        </w:tc>
      </w:tr>
      <w:tr>
        <w:trPr/>
        <w:tc>
          <w:tcPr>
            <w:tcW w:type="dxa" w:w="3500"/>
          </w:tcPr>
          <w:p>
            <w:r>
              <w:t>Excessive admin privilege</w:t>
            </w:r>
          </w:p>
        </w:tc>
        <w:tc>
          <w:tcPr>
            <w:tcW w:type="dxa" w:w="6000"/>
          </w:tcPr>
          <w:p>
            <w:r>
              <w:t>Strict least-privilege RBAC; separate Website Admin, Operations Admin, and MY Bharat Coordinator roles.</w:t>
            </w:r>
          </w:p>
        </w:tc>
      </w:tr>
    </w:tbl>
    <w:p>
      <w:pPr>
        <w:pStyle w:val="Heading1"/>
      </w:pPr>
      <w:r>
        <w:t>8. Handover package</w:t>
      </w:r>
    </w:p>
    <w:p>
      <w:pPr>
        <w:pStyle w:val="ListBullet"/>
      </w:pPr>
      <w:r>
        <w:t>Source repository and release workflow.</w:t>
      </w:r>
    </w:p>
    <w:p>
      <w:pPr>
        <w:pStyle w:val="ListBullet"/>
      </w:pPr>
      <w:r>
        <w:t>Provider/account inventory, environment setup and secret rotation instructions.</w:t>
      </w:r>
    </w:p>
    <w:p>
      <w:pPr>
        <w:pStyle w:val="ListBullet"/>
      </w:pPr>
      <w:r>
        <w:t>Database restore runbooks and incident response procedures.</w:t>
      </w:r>
    </w:p>
    <w:p>
      <w:pPr>
        <w:pStyle w:val="ListBullet"/>
      </w:pPr>
      <w:r>
        <w:t>Data dictionary, permission matrix, test evidence and signed launch approvals.</w:t>
      </w:r>
    </w:p>
    <w:p>
      <w:pPr>
        <w:pStyle w:val="Heading1"/>
      </w:pPr>
      <w:r>
        <w:t>9. Completion definition</w:t>
      </w:r>
    </w:p>
    <w:p>
      <w:r>
        <w:t>Launch readiness requires complete implementation of approved NSS and MY Bharat features, passing critical security and accessibility tests, verified private-data boundaries, demonstrated backup restoration, approved authentic content, and recorded joint launch approval. Volunteer registration opens exclusively by separate authorized decision.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067"/>
        <w:sz w:val="16"/>
      </w:rPr>
      <w:t xml:space="preserve">DOC-06 • NSS VIIT (A)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067"/>
        <w:sz w:val="16"/>
      </w:rPr>
      <w:t>NSS VIIT (A)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C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