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rPr>
          <w:b/>
          <w:color w:val="C3A66B"/>
          <w:sz w:val="32"/>
        </w:rPr>
        <w:t>NSS VIIT (A)</w:t>
      </w:r>
    </w:p>
    <w:p>
      <w:pPr>
        <w:pStyle w:val="Title"/>
      </w:pPr>
      <w:r>
        <w:t>Product Requirements Document (PRD)</w:t>
      </w:r>
    </w:p>
    <w:p>
      <w:r>
        <w:rPr>
          <w:color w:val="657067"/>
          <w:sz w:val="24"/>
        </w:rPr>
        <w:t>Product scope, user groups, capabilities, workflows and acceptance criteria</w:t>
      </w:r>
    </w:p>
    <w:p>
      <w:r>
        <w:t>DESIGN PRINCIPLE  Extraordinary visual craft, purposeful motion, institutional trust and accessible interaction.</w:t>
      </w:r>
    </w:p>
    <w:tbl>
      <w:tblPr>
        <w:tblStyle w:val="TableGrid"/>
        <w:tblW w:type="auto" w:w="0"/>
        <w:jc w:val="center"/>
        <w:tblLook w:firstColumn="1" w:firstRow="1" w:lastColumn="0" w:lastRow="0" w:noHBand="0" w:noVBand="1" w:val="04A0"/>
      </w:tblPr>
      <w:tblGrid>
        <w:gridCol w:w="4997"/>
        <w:gridCol w:w="4997"/>
      </w:tblGrid>
      <w:tr>
        <w:tc>
          <w:tcPr>
            <w:tcW w:type="dxa" w:w="4997"/>
            <w:shd w:fill="1A3C29"/>
          </w:tcPr>
          <w:p>
            <w:pPr>
              <w:spacing w:after="40"/>
            </w:pPr>
            <w:r/>
            <w:r>
              <w:rPr>
                <w:rFonts w:ascii="Aptos" w:hAnsi="Aptos"/>
                <w:b/>
                <w:color w:val="FFFFFF"/>
                <w:sz w:val="16"/>
              </w:rPr>
              <w:t>Document control</w:t>
            </w:r>
          </w:p>
        </w:tc>
        <w:tc>
          <w:tcPr>
            <w:tcW w:type="dxa" w:w="4997"/>
            <w:shd w:fill="1A3C29"/>
          </w:tcPr>
          <w:p>
            <w:pPr>
              <w:spacing w:after="40"/>
            </w:pPr>
            <w:r/>
            <w:r>
              <w:rPr>
                <w:rFonts w:ascii="Aptos" w:hAnsi="Aptos"/>
                <w:b/>
                <w:color w:val="FFFFFF"/>
                <w:sz w:val="16"/>
              </w:rPr>
              <w:t>Value</w:t>
            </w:r>
          </w:p>
        </w:tc>
      </w:tr>
      <w:tr>
        <w:tc>
          <w:tcPr>
            <w:tcW w:type="dxa" w:w="4997"/>
            <w:shd w:fill="F8F7F3"/>
          </w:tcPr>
          <w:p>
            <w:pPr>
              <w:spacing w:after="40"/>
            </w:pPr>
            <w:r/>
            <w:r>
              <w:rPr>
                <w:rFonts w:ascii="Aptos" w:hAnsi="Aptos"/>
                <w:b w:val="0"/>
                <w:color w:val="292D2A"/>
                <w:sz w:val="16"/>
              </w:rPr>
              <w:t>ID</w:t>
            </w:r>
          </w:p>
        </w:tc>
        <w:tc>
          <w:tcPr>
            <w:tcW w:type="dxa" w:w="4997"/>
            <w:shd w:fill="F8F7F3"/>
          </w:tcPr>
          <w:p>
            <w:pPr>
              <w:spacing w:after="40"/>
            </w:pPr>
            <w:r/>
            <w:r>
              <w:rPr>
                <w:rFonts w:ascii="Aptos" w:hAnsi="Aptos"/>
                <w:b w:val="0"/>
                <w:color w:val="292D2A"/>
                <w:sz w:val="16"/>
              </w:rPr>
              <w:t>DOC-01</w:t>
            </w:r>
          </w:p>
        </w:tc>
      </w:tr>
      <w:tr>
        <w:tc>
          <w:tcPr>
            <w:tcW w:type="dxa" w:w="4997"/>
          </w:tcPr>
          <w:p>
            <w:pPr>
              <w:spacing w:after="40"/>
            </w:pPr>
            <w:r/>
            <w:r>
              <w:rPr>
                <w:rFonts w:ascii="Aptos" w:hAnsi="Aptos"/>
                <w:b w:val="0"/>
                <w:color w:val="292D2A"/>
                <w:sz w:val="16"/>
              </w:rPr>
              <w:t>Version</w:t>
            </w:r>
          </w:p>
        </w:tc>
        <w:tc>
          <w:tcPr>
            <w:tcW w:type="dxa" w:w="4997"/>
          </w:tcPr>
          <w:p>
            <w:pPr>
              <w:spacing w:after="40"/>
            </w:pPr>
            <w:r/>
            <w:r>
              <w:rPr>
                <w:rFonts w:ascii="Aptos" w:hAnsi="Aptos"/>
                <w:b w:val="0"/>
                <w:color w:val="292D2A"/>
                <w:sz w:val="16"/>
              </w:rPr>
              <w:t>1.0 — planning baseline</w:t>
            </w:r>
          </w:p>
        </w:tc>
      </w:tr>
      <w:tr>
        <w:tc>
          <w:tcPr>
            <w:tcW w:type="dxa" w:w="4997"/>
            <w:shd w:fill="F8F7F3"/>
          </w:tcPr>
          <w:p>
            <w:pPr>
              <w:spacing w:after="40"/>
            </w:pPr>
            <w:r/>
            <w:r>
              <w:rPr>
                <w:rFonts w:ascii="Aptos" w:hAnsi="Aptos"/>
                <w:b w:val="0"/>
                <w:color w:val="292D2A"/>
                <w:sz w:val="16"/>
              </w:rPr>
              <w:t>Project</w:t>
            </w:r>
          </w:p>
        </w:tc>
        <w:tc>
          <w:tcPr>
            <w:tcW w:type="dxa" w:w="4997"/>
            <w:shd w:fill="F8F7F3"/>
          </w:tcPr>
          <w:p>
            <w:pPr>
              <w:spacing w:after="40"/>
            </w:pPr>
            <w:r/>
            <w:r>
              <w:rPr>
                <w:rFonts w:ascii="Aptos" w:hAnsi="Aptos"/>
                <w:b w:val="0"/>
                <w:color w:val="292D2A"/>
                <w:sz w:val="16"/>
              </w:rPr>
              <w:t>NSS VIIT (A) — complete website and digital platform</w:t>
            </w:r>
          </w:p>
        </w:tc>
      </w:tr>
      <w:tr>
        <w:tc>
          <w:tcPr>
            <w:tcW w:type="dxa" w:w="4997"/>
          </w:tcPr>
          <w:p>
            <w:pPr>
              <w:spacing w:after="40"/>
            </w:pPr>
            <w:r/>
            <w:r>
              <w:rPr>
                <w:rFonts w:ascii="Aptos" w:hAnsi="Aptos"/>
                <w:b w:val="0"/>
                <w:color w:val="292D2A"/>
                <w:sz w:val="16"/>
              </w:rPr>
              <w:t>Status</w:t>
            </w:r>
          </w:p>
        </w:tc>
        <w:tc>
          <w:tcPr>
            <w:tcW w:type="dxa" w:w="4997"/>
          </w:tcPr>
          <w:p>
            <w:pPr>
              <w:spacing w:after="40"/>
            </w:pPr>
            <w:r/>
            <w:r>
              <w:rPr>
                <w:rFonts w:ascii="Aptos" w:hAnsi="Aptos"/>
                <w:b w:val="0"/>
                <w:color w:val="292D2A"/>
                <w:sz w:val="16"/>
              </w:rPr>
              <w:t>Requirements baseline; not an implementation or testing claim</w:t>
            </w:r>
          </w:p>
        </w:tc>
      </w:tr>
      <w:tr>
        <w:tc>
          <w:tcPr>
            <w:tcW w:type="dxa" w:w="4997"/>
            <w:shd w:fill="F8F7F3"/>
          </w:tcPr>
          <w:p>
            <w:pPr>
              <w:spacing w:after="40"/>
            </w:pPr>
            <w:r/>
            <w:r>
              <w:rPr>
                <w:rFonts w:ascii="Aptos" w:hAnsi="Aptos"/>
                <w:b w:val="0"/>
                <w:color w:val="292D2A"/>
                <w:sz w:val="16"/>
              </w:rPr>
              <w:t>Approval</w:t>
            </w:r>
          </w:p>
        </w:tc>
        <w:tc>
          <w:tcPr>
            <w:tcW w:type="dxa" w:w="4997"/>
            <w:shd w:fill="F8F7F3"/>
          </w:tcPr>
          <w:p>
            <w:pPr>
              <w:spacing w:after="40"/>
            </w:pPr>
            <w:r/>
            <w:r>
              <w:rPr>
                <w:rFonts w:ascii="Aptos" w:hAnsi="Aptos"/>
                <w:b w:val="0"/>
                <w:color w:val="292D2A"/>
                <w:sz w:val="16"/>
              </w:rPr>
              <w:t>Review by both primary NSS administrators and college-authorized authority where applicable</w:t>
            </w:r>
          </w:p>
        </w:tc>
      </w:tr>
    </w:tbl>
    <w:p/>
    <w:p>
      <w:r>
        <w:br w:type="page"/>
      </w:r>
    </w:p>
    <w:p>
      <w:pPr>
        <w:pStyle w:val="Heading1"/>
      </w:pPr>
      <w:r>
        <w:t>1. Product vision</w:t>
      </w:r>
    </w:p>
    <w:p>
      <w:r>
        <w:t>Create one connected, premium and trustworthy digital platform for NSS VIIT (A): a public institutional website plus protected workspaces for the two primary administrators, 28-member Core Team and approved volunteers.</w:t>
      </w:r>
    </w:p>
    <w:p>
      <w:pPr>
        <w:pStyle w:val="Heading1"/>
      </w:pPr>
      <w:r>
        <w:t>2. Product principles</w:t>
      </w:r>
    </w:p>
    <w:p>
      <w:pPr>
        <w:pStyle w:val="ListBullet"/>
        <w:spacing w:after="40"/>
      </w:pPr>
      <w:r>
        <w:t>Authentic-first: never invent events, statistics, awards, testimonials, contacts or institutional facts.</w:t>
      </w:r>
    </w:p>
    <w:p>
      <w:pPr>
        <w:pStyle w:val="ListBullet"/>
        <w:spacing w:after="40"/>
      </w:pPr>
      <w:r>
        <w:t>Privacy by default: ordinary volunteer profiles, participation, internal files and confidential reports remain private.</w:t>
      </w:r>
    </w:p>
    <w:p>
      <w:pPr>
        <w:pStyle w:val="ListBullet"/>
        <w:spacing w:after="40"/>
      </w:pPr>
      <w:r>
        <w:t>Permission by responsibility: designation does not automatically grant system access.</w:t>
      </w:r>
    </w:p>
    <w:p>
      <w:pPr>
        <w:pStyle w:val="ListBullet"/>
        <w:spacing w:after="40"/>
      </w:pPr>
      <w:r>
        <w:t>Approval before publication for events, reports, photographs, resources and announcements.</w:t>
      </w:r>
    </w:p>
    <w:p>
      <w:pPr>
        <w:pStyle w:val="ListBullet"/>
        <w:spacing w:after="40"/>
      </w:pPr>
      <w:r>
        <w:t>Failure-safe behavior: clear errors, preserve data and never claim success without confirmation.</w:t>
      </w:r>
    </w:p>
    <w:p>
      <w:pPr>
        <w:pStyle w:val="ListBullet"/>
        <w:spacing w:after="40"/>
      </w:pPr>
      <w:r>
        <w:t>Mobile-first, accessible quality with extraordinary but purposeful animation.</w:t>
      </w:r>
    </w:p>
    <w:p>
      <w:pPr>
        <w:pStyle w:val="Heading1"/>
      </w:pPr>
      <w:r>
        <w:t>3. Scope and context</w:t>
      </w:r>
    </w:p>
    <w:tbl>
      <w:tblPr>
        <w:tblStyle w:val="TableGrid"/>
        <w:tblW w:type="auto" w:w="0"/>
        <w:jc w:val="center"/>
        <w:tblLook w:firstColumn="1" w:firstRow="1" w:lastColumn="0" w:lastRow="0" w:noHBand="0" w:noVBand="1" w:val="04A0"/>
      </w:tblPr>
      <w:tblGrid>
        <w:gridCol w:w="4997"/>
        <w:gridCol w:w="4997"/>
      </w:tblGrid>
      <w:tr>
        <w:tc>
          <w:tcPr>
            <w:tcW w:type="dxa" w:w="4997"/>
            <w:shd w:fill="1A3C29"/>
          </w:tcPr>
          <w:p>
            <w:pPr>
              <w:spacing w:after="40"/>
            </w:pPr>
            <w:r/>
            <w:r>
              <w:rPr>
                <w:rFonts w:ascii="Aptos" w:hAnsi="Aptos"/>
                <w:b/>
                <w:color w:val="FFFFFF"/>
                <w:sz w:val="16"/>
              </w:rPr>
              <w:t>Item</w:t>
            </w:r>
          </w:p>
        </w:tc>
        <w:tc>
          <w:tcPr>
            <w:tcW w:type="dxa" w:w="4997"/>
            <w:shd w:fill="1A3C29"/>
          </w:tcPr>
          <w:p>
            <w:pPr>
              <w:spacing w:after="40"/>
            </w:pPr>
            <w:r/>
            <w:r>
              <w:rPr>
                <w:rFonts w:ascii="Aptos" w:hAnsi="Aptos"/>
                <w:b/>
                <w:color w:val="FFFFFF"/>
                <w:sz w:val="16"/>
              </w:rPr>
              <w:t>Requirement</w:t>
            </w:r>
          </w:p>
        </w:tc>
      </w:tr>
      <w:tr>
        <w:tc>
          <w:tcPr>
            <w:tcW w:type="dxa" w:w="4997"/>
            <w:shd w:fill="F8F7F3"/>
          </w:tcPr>
          <w:p>
            <w:pPr>
              <w:spacing w:after="40"/>
            </w:pPr>
            <w:r/>
            <w:r>
              <w:rPr>
                <w:rFonts w:ascii="Aptos" w:hAnsi="Aptos"/>
                <w:b w:val="0"/>
                <w:color w:val="292D2A"/>
                <w:sz w:val="16"/>
              </w:rPr>
              <w:t>Brand</w:t>
            </w:r>
          </w:p>
        </w:tc>
        <w:tc>
          <w:tcPr>
            <w:tcW w:type="dxa" w:w="4997"/>
            <w:shd w:fill="F8F7F3"/>
          </w:tcPr>
          <w:p>
            <w:pPr>
              <w:spacing w:after="40"/>
            </w:pPr>
            <w:r/>
            <w:r>
              <w:rPr>
                <w:rFonts w:ascii="Aptos" w:hAnsi="Aptos"/>
                <w:b w:val="0"/>
                <w:color w:val="292D2A"/>
                <w:sz w:val="16"/>
              </w:rPr>
              <w:t>Exact name NSS VIIT (A); one official NSS unit; no SAC content.</w:t>
            </w:r>
          </w:p>
        </w:tc>
      </w:tr>
      <w:tr>
        <w:tc>
          <w:tcPr>
            <w:tcW w:type="dxa" w:w="4997"/>
          </w:tcPr>
          <w:p>
            <w:pPr>
              <w:spacing w:after="40"/>
            </w:pPr>
            <w:r/>
            <w:r>
              <w:rPr>
                <w:rFonts w:ascii="Aptos" w:hAnsi="Aptos"/>
                <w:b w:val="0"/>
                <w:color w:val="292D2A"/>
                <w:sz w:val="16"/>
              </w:rPr>
              <w:t>Institution</w:t>
            </w:r>
          </w:p>
        </w:tc>
        <w:tc>
          <w:tcPr>
            <w:tcW w:type="dxa" w:w="4997"/>
          </w:tcPr>
          <w:p>
            <w:pPr>
              <w:spacing w:after="40"/>
            </w:pPr>
            <w:r/>
            <w:r>
              <w:rPr>
                <w:rFonts w:ascii="Aptos" w:hAnsi="Aptos"/>
                <w:b w:val="0"/>
                <w:color w:val="292D2A"/>
                <w:sz w:val="16"/>
              </w:rPr>
              <w:t>Vignan’s Institute of Information Technology (Autonomous), Duvvada, Visakhapatnam.</w:t>
            </w:r>
          </w:p>
        </w:tc>
      </w:tr>
      <w:tr>
        <w:tc>
          <w:tcPr>
            <w:tcW w:type="dxa" w:w="4997"/>
            <w:shd w:fill="F8F7F3"/>
          </w:tcPr>
          <w:p>
            <w:pPr>
              <w:spacing w:after="40"/>
            </w:pPr>
            <w:r/>
            <w:r>
              <w:rPr>
                <w:rFonts w:ascii="Aptos" w:hAnsi="Aptos"/>
                <w:b w:val="0"/>
                <w:color w:val="292D2A"/>
                <w:sz w:val="16"/>
              </w:rPr>
              <w:t>Access areas</w:t>
            </w:r>
          </w:p>
        </w:tc>
        <w:tc>
          <w:tcPr>
            <w:tcW w:type="dxa" w:w="4997"/>
            <w:shd w:fill="F8F7F3"/>
          </w:tcPr>
          <w:p>
            <w:pPr>
              <w:spacing w:after="40"/>
            </w:pPr>
            <w:r/>
            <w:r>
              <w:rPr>
                <w:rFonts w:ascii="Aptos" w:hAnsi="Aptos"/>
                <w:b w:val="0"/>
                <w:color w:val="292D2A"/>
                <w:sz w:val="16"/>
              </w:rPr>
              <w:t>Website Admin; NSS Operations Admin; NSS Core Team portal; Volunteer portal.</w:t>
            </w:r>
          </w:p>
        </w:tc>
      </w:tr>
      <w:tr>
        <w:tc>
          <w:tcPr>
            <w:tcW w:type="dxa" w:w="4997"/>
          </w:tcPr>
          <w:p>
            <w:pPr>
              <w:spacing w:after="40"/>
            </w:pPr>
            <w:r/>
            <w:r>
              <w:rPr>
                <w:rFonts w:ascii="Aptos" w:hAnsi="Aptos"/>
                <w:b w:val="0"/>
                <w:color w:val="292D2A"/>
                <w:sz w:val="16"/>
              </w:rPr>
              <w:t>Scale</w:t>
            </w:r>
          </w:p>
        </w:tc>
        <w:tc>
          <w:tcPr>
            <w:tcW w:type="dxa" w:w="4997"/>
          </w:tcPr>
          <w:p>
            <w:pPr>
              <w:spacing w:after="40"/>
            </w:pPr>
            <w:r/>
            <w:r>
              <w:rPr>
                <w:rFonts w:ascii="Aptos" w:hAnsi="Aptos"/>
                <w:b w:val="0"/>
                <w:color w:val="292D2A"/>
                <w:sz w:val="16"/>
              </w:rPr>
              <w:t>28 Core Team members; initial target up to 100 approved volunteers.</w:t>
            </w:r>
          </w:p>
        </w:tc>
      </w:tr>
      <w:tr>
        <w:tc>
          <w:tcPr>
            <w:tcW w:type="dxa" w:w="4997"/>
            <w:shd w:fill="F8F7F3"/>
          </w:tcPr>
          <w:p>
            <w:pPr>
              <w:spacing w:after="40"/>
            </w:pPr>
            <w:r/>
            <w:r>
              <w:rPr>
                <w:rFonts w:ascii="Aptos" w:hAnsi="Aptos"/>
                <w:b w:val="0"/>
                <w:color w:val="292D2A"/>
                <w:sz w:val="16"/>
              </w:rPr>
              <w:t>Lifecycle</w:t>
            </w:r>
          </w:p>
        </w:tc>
        <w:tc>
          <w:tcPr>
            <w:tcW w:type="dxa" w:w="4997"/>
            <w:shd w:fill="F8F7F3"/>
          </w:tcPr>
          <w:p>
            <w:pPr>
              <w:spacing w:after="40"/>
            </w:pPr>
            <w:r/>
            <w:r>
              <w:rPr>
                <w:rFonts w:ascii="Aptos" w:hAnsi="Aptos"/>
                <w:b w:val="0"/>
                <w:color w:val="292D2A"/>
                <w:sz w:val="16"/>
              </w:rPr>
              <w:t>Volunteers serve two years; preserve annual and combined history; read-only alumni access after completion.</w:t>
            </w:r>
          </w:p>
        </w:tc>
      </w:tr>
      <w:tr>
        <w:tc>
          <w:tcPr>
            <w:tcW w:type="dxa" w:w="4997"/>
          </w:tcPr>
          <w:p>
            <w:pPr>
              <w:spacing w:after="40"/>
            </w:pPr>
            <w:r/>
            <w:r>
              <w:rPr>
                <w:rFonts w:ascii="Aptos" w:hAnsi="Aptos"/>
                <w:b w:val="0"/>
                <w:color w:val="292D2A"/>
                <w:sz w:val="16"/>
              </w:rPr>
              <w:t>Language</w:t>
            </w:r>
          </w:p>
        </w:tc>
        <w:tc>
          <w:tcPr>
            <w:tcW w:type="dxa" w:w="4997"/>
          </w:tcPr>
          <w:p>
            <w:pPr>
              <w:spacing w:after="40"/>
            </w:pPr>
            <w:r/>
            <w:r>
              <w:rPr>
                <w:rFonts w:ascii="Aptos" w:hAnsi="Aptos"/>
                <w:b w:val="0"/>
                <w:color w:val="292D2A"/>
                <w:sz w:val="16"/>
              </w:rPr>
              <w:t>English at launch; prepare architecture for possible Telugu support later.</w:t>
            </w:r>
          </w:p>
        </w:tc>
      </w:tr>
      <w:tr>
        <w:tc>
          <w:tcPr>
            <w:tcW w:type="dxa" w:w="4997"/>
            <w:shd w:fill="F8F7F3"/>
          </w:tcPr>
          <w:p>
            <w:pPr>
              <w:spacing w:after="40"/>
            </w:pPr>
            <w:r/>
            <w:r>
              <w:rPr>
                <w:rFonts w:ascii="Aptos" w:hAnsi="Aptos"/>
                <w:b w:val="0"/>
                <w:color w:val="292D2A"/>
                <w:sz w:val="16"/>
              </w:rPr>
              <w:t>Launch approval</w:t>
            </w:r>
          </w:p>
        </w:tc>
        <w:tc>
          <w:tcPr>
            <w:tcW w:type="dxa" w:w="4997"/>
            <w:shd w:fill="F8F7F3"/>
          </w:tcPr>
          <w:p>
            <w:pPr>
              <w:spacing w:after="40"/>
            </w:pPr>
            <w:r/>
            <w:r>
              <w:rPr>
                <w:rFonts w:ascii="Aptos" w:hAnsi="Aptos"/>
                <w:b w:val="0"/>
                <w:color w:val="292D2A"/>
                <w:sz w:val="16"/>
              </w:rPr>
              <w:t>Joint approval by both primary NSS administrators and college-authorized authority.</w:t>
            </w:r>
          </w:p>
        </w:tc>
      </w:tr>
    </w:tbl>
    <w:p/>
    <w:p>
      <w:pPr>
        <w:pStyle w:val="Heading1"/>
      </w:pPr>
      <w:r>
        <w:t>4. User groups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A3C29"/>
          </w:tcPr>
          <w:p>
            <w:pPr>
              <w:spacing w:after="40"/>
            </w:pPr>
            <w:r/>
            <w:r>
              <w:rPr>
                <w:rFonts w:ascii="Aptos" w:hAnsi="Aptos"/>
                <w:b/>
                <w:color w:val="FFFFFF"/>
                <w:sz w:val="16"/>
              </w:rPr>
              <w:t>Group</w:t>
            </w:r>
          </w:p>
        </w:tc>
        <w:tc>
          <w:tcPr>
            <w:tcW w:type="dxa" w:w="3331"/>
            <w:shd w:fill="1A3C29"/>
          </w:tcPr>
          <w:p>
            <w:pPr>
              <w:spacing w:after="40"/>
            </w:pPr>
            <w:r/>
            <w:r>
              <w:rPr>
                <w:rFonts w:ascii="Aptos" w:hAnsi="Aptos"/>
                <w:b/>
                <w:color w:val="FFFFFF"/>
                <w:sz w:val="16"/>
              </w:rPr>
              <w:t>Capabilities</w:t>
            </w:r>
          </w:p>
        </w:tc>
        <w:tc>
          <w:tcPr>
            <w:tcW w:type="dxa" w:w="3331"/>
            <w:shd w:fill="1A3C29"/>
          </w:tcPr>
          <w:p>
            <w:pPr>
              <w:spacing w:after="40"/>
            </w:pPr>
            <w:r/>
            <w:r>
              <w:rPr>
                <w:rFonts w:ascii="Aptos" w:hAnsi="Aptos"/>
                <w:b/>
                <w:color w:val="FFFFFF"/>
                <w:sz w:val="16"/>
              </w:rPr>
              <w:t>Boundaries</w:t>
            </w:r>
          </w:p>
        </w:tc>
      </w:tr>
      <w:tr>
        <w:tc>
          <w:tcPr>
            <w:tcW w:type="dxa" w:w="3331"/>
            <w:shd w:fill="F8F7F3"/>
          </w:tcPr>
          <w:p>
            <w:pPr>
              <w:spacing w:after="40"/>
            </w:pPr>
            <w:r/>
            <w:r>
              <w:rPr>
                <w:rFonts w:ascii="Aptos" w:hAnsi="Aptos"/>
                <w:b w:val="0"/>
                <w:color w:val="292D2A"/>
                <w:sz w:val="16"/>
              </w:rPr>
              <w:t>Website Admin</w:t>
            </w:r>
          </w:p>
        </w:tc>
        <w:tc>
          <w:tcPr>
            <w:tcW w:type="dxa" w:w="3331"/>
            <w:shd w:fill="F8F7F3"/>
          </w:tcPr>
          <w:p>
            <w:pPr>
              <w:spacing w:after="40"/>
            </w:pPr>
            <w:r/>
            <w:r>
              <w:rPr>
                <w:rFonts w:ascii="Aptos" w:hAnsi="Aptos"/>
                <w:b w:val="0"/>
                <w:color w:val="292D2A"/>
                <w:sz w:val="16"/>
              </w:rPr>
              <w:t>Public pages, homepage layout/content, gallery, public resources, announcements, team profiles, preview/publish, versions.</w:t>
            </w:r>
          </w:p>
        </w:tc>
        <w:tc>
          <w:tcPr>
            <w:tcW w:type="dxa" w:w="3331"/>
            <w:shd w:fill="F8F7F3"/>
          </w:tcPr>
          <w:p>
            <w:pPr>
              <w:spacing w:after="40"/>
            </w:pPr>
            <w:r/>
            <w:r>
              <w:rPr>
                <w:rFonts w:ascii="Aptos" w:hAnsi="Aptos"/>
                <w:b w:val="0"/>
                <w:color w:val="292D2A"/>
                <w:sz w:val="16"/>
              </w:rPr>
              <w:t>No automatic operational-data access.</w:t>
            </w:r>
          </w:p>
        </w:tc>
      </w:tr>
      <w:tr>
        <w:tc>
          <w:tcPr>
            <w:tcW w:type="dxa" w:w="3331"/>
          </w:tcPr>
          <w:p>
            <w:pPr>
              <w:spacing w:after="40"/>
            </w:pPr>
            <w:r/>
            <w:r>
              <w:rPr>
                <w:rFonts w:ascii="Aptos" w:hAnsi="Aptos"/>
                <w:b w:val="0"/>
                <w:color w:val="292D2A"/>
                <w:sz w:val="16"/>
              </w:rPr>
              <w:t>NSS Operations Admin</w:t>
            </w:r>
          </w:p>
        </w:tc>
        <w:tc>
          <w:tcPr>
            <w:tcW w:type="dxa" w:w="3331"/>
          </w:tcPr>
          <w:p>
            <w:pPr>
              <w:spacing w:after="40"/>
            </w:pPr>
            <w:r/>
            <w:r>
              <w:rPr>
                <w:rFonts w:ascii="Aptos" w:hAnsi="Aptos"/>
                <w:b w:val="0"/>
                <w:color w:val="292D2A"/>
                <w:sz w:val="16"/>
              </w:rPr>
              <w:t>Manual volunteer approval, event operations, attendance corrections, service-hour records, reports and certificate eligibility review.</w:t>
            </w:r>
          </w:p>
        </w:tc>
        <w:tc>
          <w:tcPr>
            <w:tcW w:type="dxa" w:w="3331"/>
          </w:tcPr>
          <w:p>
            <w:pPr>
              <w:spacing w:after="40"/>
            </w:pPr>
            <w:r/>
            <w:r>
              <w:rPr>
                <w:rFonts w:ascii="Aptos" w:hAnsi="Aptos"/>
                <w:b w:val="0"/>
                <w:color w:val="292D2A"/>
                <w:sz w:val="16"/>
              </w:rPr>
              <w:t>No automatic unrestricted website-design access.</w:t>
            </w:r>
          </w:p>
        </w:tc>
      </w:tr>
      <w:tr>
        <w:tc>
          <w:tcPr>
            <w:tcW w:type="dxa" w:w="3331"/>
            <w:shd w:fill="F8F7F3"/>
          </w:tcPr>
          <w:p>
            <w:pPr>
              <w:spacing w:after="40"/>
            </w:pPr>
            <w:r/>
            <w:r>
              <w:rPr>
                <w:rFonts w:ascii="Aptos" w:hAnsi="Aptos"/>
                <w:b w:val="0"/>
                <w:color w:val="292D2A"/>
                <w:sz w:val="16"/>
              </w:rPr>
              <w:t>Core Team</w:t>
            </w:r>
          </w:p>
        </w:tc>
        <w:tc>
          <w:tcPr>
            <w:tcW w:type="dxa" w:w="3331"/>
            <w:shd w:fill="F8F7F3"/>
          </w:tcPr>
          <w:p>
            <w:pPr>
              <w:spacing w:after="40"/>
            </w:pPr>
            <w:r/>
            <w:r>
              <w:rPr>
                <w:rFonts w:ascii="Aptos" w:hAnsi="Aptos"/>
                <w:b w:val="0"/>
                <w:color w:val="292D2A"/>
                <w:sz w:val="16"/>
              </w:rPr>
              <w:t>Assigned tasks, event proposals, report/photo submissions, meetings, announcement drafts.</w:t>
            </w:r>
          </w:p>
        </w:tc>
        <w:tc>
          <w:tcPr>
            <w:tcW w:type="dxa" w:w="3331"/>
            <w:shd w:fill="F8F7F3"/>
          </w:tcPr>
          <w:p>
            <w:pPr>
              <w:spacing w:after="40"/>
            </w:pPr>
            <w:r/>
            <w:r>
              <w:rPr>
                <w:rFonts w:ascii="Aptos" w:hAnsi="Aptos"/>
                <w:b w:val="0"/>
                <w:color w:val="292D2A"/>
                <w:sz w:val="16"/>
              </w:rPr>
              <w:t>Role title alone does not grant admin rights.</w:t>
            </w:r>
          </w:p>
        </w:tc>
      </w:tr>
      <w:tr>
        <w:tc>
          <w:tcPr>
            <w:tcW w:type="dxa" w:w="3331"/>
          </w:tcPr>
          <w:p>
            <w:pPr>
              <w:spacing w:after="40"/>
            </w:pPr>
            <w:r/>
            <w:r>
              <w:rPr>
                <w:rFonts w:ascii="Aptos" w:hAnsi="Aptos"/>
                <w:b w:val="0"/>
                <w:color w:val="292D2A"/>
                <w:sz w:val="16"/>
              </w:rPr>
              <w:t>Volunteer</w:t>
            </w:r>
          </w:p>
        </w:tc>
        <w:tc>
          <w:tcPr>
            <w:tcW w:type="dxa" w:w="3331"/>
          </w:tcPr>
          <w:p>
            <w:pPr>
              <w:spacing w:after="40"/>
            </w:pPr>
            <w:r/>
            <w:r>
              <w:rPr>
                <w:rFonts w:ascii="Aptos" w:hAnsi="Aptos"/>
                <w:b w:val="0"/>
                <w:color w:val="292D2A"/>
                <w:sz w:val="16"/>
              </w:rPr>
              <w:t>Register for eligible events, view own attendance/hours, notifications, resources, support and own issued certificates.</w:t>
            </w:r>
          </w:p>
        </w:tc>
        <w:tc>
          <w:tcPr>
            <w:tcW w:type="dxa" w:w="3331"/>
          </w:tcPr>
          <w:p>
            <w:pPr>
              <w:spacing w:after="40"/>
            </w:pPr>
            <w:r/>
            <w:r>
              <w:rPr>
                <w:rFonts w:ascii="Aptos" w:hAnsi="Aptos"/>
                <w:b w:val="0"/>
                <w:color w:val="292D2A"/>
                <w:sz w:val="16"/>
              </w:rPr>
              <w:t>Cannot edit official attendance or see other volunteers’ private data.</w:t>
            </w:r>
          </w:p>
        </w:tc>
      </w:tr>
      <w:tr>
        <w:tc>
          <w:tcPr>
            <w:tcW w:type="dxa" w:w="3331"/>
            <w:shd w:fill="F8F7F3"/>
          </w:tcPr>
          <w:p>
            <w:pPr>
              <w:spacing w:after="40"/>
            </w:pPr>
            <w:r/>
            <w:r>
              <w:rPr>
                <w:rFonts w:ascii="Aptos" w:hAnsi="Aptos"/>
                <w:b w:val="0"/>
                <w:color w:val="292D2A"/>
                <w:sz w:val="16"/>
              </w:rPr>
              <w:t>Alumni</w:t>
            </w:r>
          </w:p>
        </w:tc>
        <w:tc>
          <w:tcPr>
            <w:tcW w:type="dxa" w:w="3331"/>
            <w:shd w:fill="F8F7F3"/>
          </w:tcPr>
          <w:p>
            <w:pPr>
              <w:spacing w:after="40"/>
            </w:pPr>
            <w:r/>
            <w:r>
              <w:rPr>
                <w:rFonts w:ascii="Aptos" w:hAnsi="Aptos"/>
                <w:b w:val="0"/>
                <w:color w:val="292D2A"/>
                <w:sz w:val="16"/>
              </w:rPr>
              <w:t>Read-only own history, verified hours and issued certificates.</w:t>
            </w:r>
          </w:p>
        </w:tc>
        <w:tc>
          <w:tcPr>
            <w:tcW w:type="dxa" w:w="3331"/>
            <w:shd w:fill="F8F7F3"/>
          </w:tcPr>
          <w:p>
            <w:pPr>
              <w:spacing w:after="40"/>
            </w:pPr>
            <w:r/>
            <w:r>
              <w:rPr>
                <w:rFonts w:ascii="Aptos" w:hAnsi="Aptos"/>
                <w:b w:val="0"/>
                <w:color w:val="292D2A"/>
                <w:sz w:val="16"/>
              </w:rPr>
              <w:t>No active volunteering or admin actions.</w:t>
            </w:r>
          </w:p>
        </w:tc>
      </w:tr>
    </w:tbl>
    <w:p/>
    <w:p>
      <w:pPr>
        <w:pStyle w:val="Heading1"/>
      </w:pPr>
      <w:r>
        <w:t>5. Public website requirements</w:t>
      </w:r>
    </w:p>
    <w:tbl>
      <w:tblPr>
        <w:tblStyle w:val="TableGrid"/>
        <w:tblW w:type="auto" w:w="0"/>
        <w:jc w:val="center"/>
        <w:tblLook w:firstColumn="1" w:firstRow="1" w:lastColumn="0" w:lastRow="0" w:noHBand="0" w:noVBand="1" w:val="04A0"/>
      </w:tblPr>
      <w:tblGrid>
        <w:gridCol w:w="4997"/>
        <w:gridCol w:w="4997"/>
      </w:tblGrid>
      <w:tr>
        <w:tc>
          <w:tcPr>
            <w:tcW w:type="dxa" w:w="4997"/>
            <w:shd w:fill="1A3C29"/>
          </w:tcPr>
          <w:p>
            <w:pPr>
              <w:spacing w:after="40"/>
            </w:pPr>
            <w:r/>
            <w:r>
              <w:rPr>
                <w:rFonts w:ascii="Aptos" w:hAnsi="Aptos"/>
                <w:b/>
                <w:color w:val="FFFFFF"/>
                <w:sz w:val="16"/>
              </w:rPr>
              <w:t>Page</w:t>
            </w:r>
          </w:p>
        </w:tc>
        <w:tc>
          <w:tcPr>
            <w:tcW w:type="dxa" w:w="4997"/>
            <w:shd w:fill="1A3C29"/>
          </w:tcPr>
          <w:p>
            <w:pPr>
              <w:spacing w:after="40"/>
            </w:pPr>
            <w:r/>
            <w:r>
              <w:rPr>
                <w:rFonts w:ascii="Aptos" w:hAnsi="Aptos"/>
                <w:b/>
                <w:color w:val="FFFFFF"/>
                <w:sz w:val="16"/>
              </w:rPr>
              <w:t>Requirements</w:t>
            </w:r>
          </w:p>
        </w:tc>
      </w:tr>
      <w:tr>
        <w:tc>
          <w:tcPr>
            <w:tcW w:type="dxa" w:w="4997"/>
            <w:shd w:fill="F8F7F3"/>
          </w:tcPr>
          <w:p>
            <w:pPr>
              <w:spacing w:after="40"/>
            </w:pPr>
            <w:r/>
            <w:r>
              <w:rPr>
                <w:rFonts w:ascii="Aptos" w:hAnsi="Aptos"/>
                <w:b w:val="0"/>
                <w:color w:val="292D2A"/>
                <w:sz w:val="16"/>
              </w:rPr>
              <w:t>Home</w:t>
            </w:r>
          </w:p>
        </w:tc>
        <w:tc>
          <w:tcPr>
            <w:tcW w:type="dxa" w:w="4997"/>
            <w:shd w:fill="F8F7F3"/>
          </w:tcPr>
          <w:p>
            <w:pPr>
              <w:spacing w:after="40"/>
            </w:pPr>
            <w:r/>
            <w:r>
              <w:rPr>
                <w:rFonts w:ascii="Aptos" w:hAnsi="Aptos"/>
                <w:b w:val="0"/>
                <w:color w:val="292D2A"/>
                <w:sz w:val="16"/>
              </w:rPr>
              <w:t>Hero carousel; mission; featured events; verified impact; gallery; approved Core Team; announcements; volunteer CTA; contact.</w:t>
            </w:r>
          </w:p>
        </w:tc>
      </w:tr>
      <w:tr>
        <w:tc>
          <w:tcPr>
            <w:tcW w:type="dxa" w:w="4997"/>
          </w:tcPr>
          <w:p>
            <w:pPr>
              <w:spacing w:after="40"/>
            </w:pPr>
            <w:r/>
            <w:r>
              <w:rPr>
                <w:rFonts w:ascii="Aptos" w:hAnsi="Aptos"/>
                <w:b w:val="0"/>
                <w:color w:val="292D2A"/>
                <w:sz w:val="16"/>
              </w:rPr>
              <w:t>About NSS</w:t>
            </w:r>
          </w:p>
        </w:tc>
        <w:tc>
          <w:tcPr>
            <w:tcW w:type="dxa" w:w="4997"/>
          </w:tcPr>
          <w:p>
            <w:pPr>
              <w:spacing w:after="40"/>
            </w:pPr>
            <w:r/>
            <w:r>
              <w:rPr>
                <w:rFonts w:ascii="Aptos" w:hAnsi="Aptos"/>
                <w:b w:val="0"/>
                <w:color w:val="292D2A"/>
                <w:sz w:val="16"/>
              </w:rPr>
              <w:t>Approved NSS VIIT (A) mission and institutional context.</w:t>
            </w:r>
          </w:p>
        </w:tc>
      </w:tr>
      <w:tr>
        <w:tc>
          <w:tcPr>
            <w:tcW w:type="dxa" w:w="4997"/>
            <w:shd w:fill="F8F7F3"/>
          </w:tcPr>
          <w:p>
            <w:pPr>
              <w:spacing w:after="40"/>
            </w:pPr>
            <w:r/>
            <w:r>
              <w:rPr>
                <w:rFonts w:ascii="Aptos" w:hAnsi="Aptos"/>
                <w:b w:val="0"/>
                <w:color w:val="292D2A"/>
                <w:sz w:val="16"/>
              </w:rPr>
              <w:t>Events &amp; Activities</w:t>
            </w:r>
          </w:p>
        </w:tc>
        <w:tc>
          <w:tcPr>
            <w:tcW w:type="dxa" w:w="4997"/>
            <w:shd w:fill="F8F7F3"/>
          </w:tcPr>
          <w:p>
            <w:pPr>
              <w:spacing w:after="40"/>
            </w:pPr>
            <w:r/>
            <w:r>
              <w:rPr>
                <w:rFonts w:ascii="Aptos" w:hAnsi="Aptos"/>
                <w:b w:val="0"/>
                <w:color w:val="292D2A"/>
                <w:sz w:val="16"/>
              </w:rPr>
              <w:t>Upcoming/past published events, filters, search and details.</w:t>
            </w:r>
          </w:p>
        </w:tc>
      </w:tr>
      <w:tr>
        <w:tc>
          <w:tcPr>
            <w:tcW w:type="dxa" w:w="4997"/>
          </w:tcPr>
          <w:p>
            <w:pPr>
              <w:spacing w:after="40"/>
            </w:pPr>
            <w:r/>
            <w:r>
              <w:rPr>
                <w:rFonts w:ascii="Aptos" w:hAnsi="Aptos"/>
                <w:b w:val="0"/>
                <w:color w:val="292D2A"/>
                <w:sz w:val="16"/>
              </w:rPr>
              <w:t>Calendar</w:t>
            </w:r>
          </w:p>
        </w:tc>
        <w:tc>
          <w:tcPr>
            <w:tcW w:type="dxa" w:w="4997"/>
          </w:tcPr>
          <w:p>
            <w:pPr>
              <w:spacing w:after="40"/>
            </w:pPr>
            <w:r/>
            <w:r>
              <w:rPr>
                <w:rFonts w:ascii="Aptos" w:hAnsi="Aptos"/>
                <w:b w:val="0"/>
                <w:color w:val="292D2A"/>
                <w:sz w:val="16"/>
              </w:rPr>
              <w:t>Calendar/list views, published events, .ics personal calendar export.</w:t>
            </w:r>
          </w:p>
        </w:tc>
      </w:tr>
      <w:tr>
        <w:tc>
          <w:tcPr>
            <w:tcW w:type="dxa" w:w="4997"/>
            <w:shd w:fill="F8F7F3"/>
          </w:tcPr>
          <w:p>
            <w:pPr>
              <w:spacing w:after="40"/>
            </w:pPr>
            <w:r/>
            <w:r>
              <w:rPr>
                <w:rFonts w:ascii="Aptos" w:hAnsi="Aptos"/>
                <w:b w:val="0"/>
                <w:color w:val="292D2A"/>
                <w:sz w:val="16"/>
              </w:rPr>
              <w:t>Gallery</w:t>
            </w:r>
          </w:p>
        </w:tc>
        <w:tc>
          <w:tcPr>
            <w:tcW w:type="dxa" w:w="4997"/>
            <w:shd w:fill="F8F7F3"/>
          </w:tcPr>
          <w:p>
            <w:pPr>
              <w:spacing w:after="40"/>
            </w:pPr>
            <w:r/>
            <w:r>
              <w:rPr>
                <w:rFonts w:ascii="Aptos" w:hAnsi="Aptos"/>
                <w:b w:val="0"/>
                <w:color w:val="292D2A"/>
                <w:sz w:val="16"/>
              </w:rPr>
              <w:t>Approved albums by event, year and category, captions and event links.</w:t>
            </w:r>
          </w:p>
        </w:tc>
      </w:tr>
      <w:tr>
        <w:tc>
          <w:tcPr>
            <w:tcW w:type="dxa" w:w="4997"/>
          </w:tcPr>
          <w:p>
            <w:pPr>
              <w:spacing w:after="40"/>
            </w:pPr>
            <w:r/>
            <w:r>
              <w:rPr>
                <w:rFonts w:ascii="Aptos" w:hAnsi="Aptos"/>
                <w:b w:val="0"/>
                <w:color w:val="292D2A"/>
                <w:sz w:val="16"/>
              </w:rPr>
              <w:t>Our Team</w:t>
            </w:r>
          </w:p>
        </w:tc>
        <w:tc>
          <w:tcPr>
            <w:tcW w:type="dxa" w:w="4997"/>
          </w:tcPr>
          <w:p>
            <w:pPr>
              <w:spacing w:after="40"/>
            </w:pPr>
            <w:r/>
            <w:r>
              <w:rPr>
                <w:rFonts w:ascii="Aptos" w:hAnsi="Aptos"/>
                <w:b w:val="0"/>
                <w:color w:val="292D2A"/>
                <w:sz w:val="16"/>
              </w:rPr>
              <w:t>Approved public Core Team profiles, designations and consented photos.</w:t>
            </w:r>
          </w:p>
        </w:tc>
      </w:tr>
      <w:tr>
        <w:tc>
          <w:tcPr>
            <w:tcW w:type="dxa" w:w="4997"/>
            <w:shd w:fill="F8F7F3"/>
          </w:tcPr>
          <w:p>
            <w:pPr>
              <w:spacing w:after="40"/>
            </w:pPr>
            <w:r/>
            <w:r>
              <w:rPr>
                <w:rFonts w:ascii="Aptos" w:hAnsi="Aptos"/>
                <w:b w:val="0"/>
                <w:color w:val="292D2A"/>
                <w:sz w:val="16"/>
              </w:rPr>
              <w:t>Volunteer With Us</w:t>
            </w:r>
          </w:p>
        </w:tc>
        <w:tc>
          <w:tcPr>
            <w:tcW w:type="dxa" w:w="4997"/>
            <w:shd w:fill="F8F7F3"/>
          </w:tcPr>
          <w:p>
            <w:pPr>
              <w:spacing w:after="40"/>
            </w:pPr>
            <w:r/>
            <w:r>
              <w:rPr>
                <w:rFonts w:ascii="Aptos" w:hAnsi="Aptos"/>
                <w:b w:val="0"/>
                <w:color w:val="292D2A"/>
                <w:sz w:val="16"/>
              </w:rPr>
              <w:t>Registration information; portal remains closed until authorized launch.</w:t>
            </w:r>
          </w:p>
        </w:tc>
      </w:tr>
      <w:tr>
        <w:tc>
          <w:tcPr>
            <w:tcW w:type="dxa" w:w="4997"/>
          </w:tcPr>
          <w:p>
            <w:pPr>
              <w:spacing w:after="40"/>
            </w:pPr>
            <w:r/>
            <w:r>
              <w:rPr>
                <w:rFonts w:ascii="Aptos" w:hAnsi="Aptos"/>
                <w:b w:val="0"/>
                <w:color w:val="292D2A"/>
                <w:sz w:val="16"/>
              </w:rPr>
              <w:t>Heritage &amp; Resources</w:t>
            </w:r>
          </w:p>
        </w:tc>
        <w:tc>
          <w:tcPr>
            <w:tcW w:type="dxa" w:w="4997"/>
          </w:tcPr>
          <w:p>
            <w:pPr>
              <w:spacing w:after="40"/>
            </w:pPr>
            <w:r/>
            <w:r>
              <w:rPr>
                <w:rFonts w:ascii="Aptos" w:hAnsi="Aptos"/>
                <w:b w:val="0"/>
                <w:color w:val="292D2A"/>
                <w:sz w:val="16"/>
              </w:rPr>
              <w:t>Verified NSS history, motto/emblem information and approved public documents.</w:t>
            </w:r>
          </w:p>
        </w:tc>
      </w:tr>
      <w:tr>
        <w:tc>
          <w:tcPr>
            <w:tcW w:type="dxa" w:w="4997"/>
            <w:shd w:fill="F8F7F3"/>
          </w:tcPr>
          <w:p>
            <w:pPr>
              <w:spacing w:after="40"/>
            </w:pPr>
            <w:r/>
            <w:r>
              <w:rPr>
                <w:rFonts w:ascii="Aptos" w:hAnsi="Aptos"/>
                <w:b w:val="0"/>
                <w:color w:val="292D2A"/>
                <w:sz w:val="16"/>
              </w:rPr>
              <w:t>Announcements</w:t>
            </w:r>
          </w:p>
        </w:tc>
        <w:tc>
          <w:tcPr>
            <w:tcW w:type="dxa" w:w="4997"/>
            <w:shd w:fill="F8F7F3"/>
          </w:tcPr>
          <w:p>
            <w:pPr>
              <w:spacing w:after="40"/>
            </w:pPr>
            <w:r/>
            <w:r>
              <w:rPr>
                <w:rFonts w:ascii="Aptos" w:hAnsi="Aptos"/>
                <w:b w:val="0"/>
                <w:color w:val="292D2A"/>
                <w:sz w:val="16"/>
              </w:rPr>
              <w:t>Latest approved notices and full listing.</w:t>
            </w:r>
          </w:p>
        </w:tc>
      </w:tr>
      <w:tr>
        <w:tc>
          <w:tcPr>
            <w:tcW w:type="dxa" w:w="4997"/>
          </w:tcPr>
          <w:p>
            <w:pPr>
              <w:spacing w:after="40"/>
            </w:pPr>
            <w:r/>
            <w:r>
              <w:rPr>
                <w:rFonts w:ascii="Aptos" w:hAnsi="Aptos"/>
                <w:b w:val="0"/>
                <w:color w:val="292D2A"/>
                <w:sz w:val="16"/>
              </w:rPr>
              <w:t>Contact</w:t>
            </w:r>
          </w:p>
        </w:tc>
        <w:tc>
          <w:tcPr>
            <w:tcW w:type="dxa" w:w="4997"/>
          </w:tcPr>
          <w:p>
            <w:pPr>
              <w:spacing w:after="40"/>
            </w:pPr>
            <w:r/>
            <w:r>
              <w:rPr>
                <w:rFonts w:ascii="Aptos" w:hAnsi="Aptos"/>
                <w:b w:val="0"/>
                <w:color w:val="292D2A"/>
                <w:sz w:val="16"/>
              </w:rPr>
              <w:t>General enquiry form, spam protection and private admin inbox.</w:t>
            </w:r>
          </w:p>
        </w:tc>
      </w:tr>
      <w:tr>
        <w:tc>
          <w:tcPr>
            <w:tcW w:type="dxa" w:w="4997"/>
            <w:shd w:fill="F8F7F3"/>
          </w:tcPr>
          <w:p>
            <w:pPr>
              <w:spacing w:after="40"/>
            </w:pPr>
            <w:r/>
            <w:r>
              <w:rPr>
                <w:rFonts w:ascii="Aptos" w:hAnsi="Aptos"/>
                <w:b w:val="0"/>
                <w:color w:val="292D2A"/>
                <w:sz w:val="16"/>
              </w:rPr>
              <w:t>Search</w:t>
            </w:r>
          </w:p>
        </w:tc>
        <w:tc>
          <w:tcPr>
            <w:tcW w:type="dxa" w:w="4997"/>
            <w:shd w:fill="F8F7F3"/>
          </w:tcPr>
          <w:p>
            <w:pPr>
              <w:spacing w:after="40"/>
            </w:pPr>
            <w:r/>
            <w:r>
              <w:rPr>
                <w:rFonts w:ascii="Aptos" w:hAnsi="Aptos"/>
                <w:b w:val="0"/>
                <w:color w:val="292D2A"/>
                <w:sz w:val="16"/>
              </w:rPr>
              <w:t>Public pages, notices, events, approved team profiles and public resources.</w:t>
            </w:r>
          </w:p>
        </w:tc>
      </w:tr>
      <w:tr>
        <w:tc>
          <w:tcPr>
            <w:tcW w:type="dxa" w:w="4997"/>
          </w:tcPr>
          <w:p>
            <w:pPr>
              <w:spacing w:after="40"/>
            </w:pPr>
            <w:r/>
            <w:r>
              <w:rPr>
                <w:rFonts w:ascii="Aptos" w:hAnsi="Aptos"/>
                <w:b w:val="0"/>
                <w:color w:val="292D2A"/>
                <w:sz w:val="16"/>
              </w:rPr>
              <w:t>Impact reports</w:t>
            </w:r>
          </w:p>
        </w:tc>
        <w:tc>
          <w:tcPr>
            <w:tcW w:type="dxa" w:w="4997"/>
          </w:tcPr>
          <w:p>
            <w:pPr>
              <w:spacing w:after="40"/>
            </w:pPr>
            <w:r/>
            <w:r>
              <w:rPr>
                <w:rFonts w:ascii="Aptos" w:hAnsi="Aptos"/>
                <w:b w:val="0"/>
                <w:color w:val="292D2A"/>
                <w:sz w:val="16"/>
              </w:rPr>
              <w:t>Approved aggregate annual reports and PDF downloads when available.</w:t>
            </w:r>
          </w:p>
        </w:tc>
      </w:tr>
    </w:tbl>
    <w:p/>
    <w:p>
      <w:pPr>
        <w:pStyle w:val="Heading1"/>
      </w:pPr>
      <w:r>
        <w:t>6. Operational requirements</w:t>
      </w:r>
    </w:p>
    <w:p>
      <w:pPr>
        <w:pStyle w:val="Heading1"/>
      </w:pPr>
      <w:r>
        <w:t>6.1 Volunteer registration</w:t>
      </w:r>
    </w:p>
    <w:p>
      <w:r>
        <w:t>Students may register with official college email or personal email and provide their college registration number. NSS Operations Admin manually checks eligibility against authorized college information. Email verification alone is not eligibility proof. Registration stays disabled during development.</w:t>
      </w:r>
    </w:p>
    <w:p>
      <w:pPr>
        <w:pStyle w:val="Heading1"/>
      </w:pPr>
      <w:r>
        <w:t>6.2 Events and attendance</w:t>
      </w:r>
    </w:p>
    <w:p>
      <w:pPr>
        <w:pStyle w:val="ListBullet"/>
        <w:spacing w:after="40"/>
      </w:pPr>
      <w:r>
        <w:t>Core Team members can submit event proposals; Operations Admin review is required before publication.</w:t>
      </w:r>
    </w:p>
    <w:p>
      <w:pPr>
        <w:pStyle w:val="ListBullet"/>
        <w:spacing w:after="40"/>
      </w:pPr>
      <w:r>
        <w:t>Approved volunteers are the default audience; selected events may open to other college students.</w:t>
      </w:r>
    </w:p>
    <w:p>
      <w:pPr>
        <w:pStyle w:val="ListBullet"/>
        <w:spacing w:after="40"/>
      </w:pPr>
      <w:r>
        <w:t>Registration opens/closes on configured dates and closes on deadline or capacity. No default waitlist.</w:t>
      </w:r>
    </w:p>
    <w:p>
      <w:pPr>
        <w:pStyle w:val="ListBullet"/>
        <w:spacing w:after="40"/>
      </w:pPr>
      <w:r>
        <w:t>Cancellation/rescheduling updates the public event/calendar and notifies registrants.</w:t>
      </w:r>
    </w:p>
    <w:p>
      <w:pPr>
        <w:pStyle w:val="ListBullet"/>
        <w:spacing w:after="40"/>
      </w:pPr>
      <w:r>
        <w:t>Attendance is manual. Only NSS Operations Admin corrects official attendance; actor, reason and timestamp are audited.</w:t>
      </w:r>
    </w:p>
    <w:p>
      <w:pPr>
        <w:pStyle w:val="Heading1"/>
      </w:pPr>
      <w:r>
        <w:t>6.3 Service hours and certificates</w:t>
      </w:r>
    </w:p>
    <w:p>
      <w:pPr>
        <w:pStyle w:val="ListBullet"/>
        <w:spacing w:after="40"/>
      </w:pPr>
      <w:r>
        <w:t>Hours calculate from approved attendance; summaries by year, event, multi-day programme and special camp.</w:t>
      </w:r>
    </w:p>
    <w:p>
      <w:pPr>
        <w:pStyle w:val="ListBullet"/>
        <w:spacing w:after="40"/>
      </w:pPr>
      <w:r>
        <w:t>The discussed 120-hour annual target must be confirmed against official NSS/institutional rules before becoming an eligibility rule.</w:t>
      </w:r>
    </w:p>
    <w:p>
      <w:pPr>
        <w:pStyle w:val="ListBullet"/>
        <w:spacing w:after="40"/>
      </w:pPr>
      <w:r>
        <w:t>Annual Service and NSS Completion certificates are planned; eligibility calculation is followed by authorized approval.</w:t>
      </w:r>
    </w:p>
    <w:p>
      <w:pPr>
        <w:pStyle w:val="ListBullet"/>
        <w:spacing w:after="40"/>
      </w:pPr>
      <w:r>
        <w:t>No public certificate verification page, QR code or public verification-ID workflow.</w:t>
      </w:r>
    </w:p>
    <w:p>
      <w:pPr>
        <w:pStyle w:val="Heading1"/>
      </w:pPr>
      <w:r>
        <w:t>6.4 Core Team work</w:t>
      </w:r>
    </w:p>
    <w:p>
      <w:pPr>
        <w:pStyle w:val="ListBullet"/>
        <w:spacing w:after="40"/>
      </w:pPr>
      <w:r>
        <w:t>Tasks include assignees, priority, deadline, comments, restricted attachments, progress and review history.</w:t>
      </w:r>
    </w:p>
    <w:p>
      <w:pPr>
        <w:pStyle w:val="ListBullet"/>
        <w:spacing w:after="40"/>
      </w:pPr>
      <w:r>
        <w:t>Deadline reminders and overdue labels; no automatic penalty.</w:t>
      </w:r>
    </w:p>
    <w:p>
      <w:pPr>
        <w:pStyle w:val="ListBullet"/>
        <w:spacing w:after="40"/>
      </w:pPr>
      <w:r>
        <w:t>Meetings include schedule, agenda, attendance and minutes; meeting attendance is not automatically service hours.</w:t>
      </w:r>
    </w:p>
    <w:p>
      <w:pPr>
        <w:pStyle w:val="ListBullet"/>
        <w:spacing w:after="40"/>
      </w:pPr>
      <w:r>
        <w:t>Authorized Core Team members can draft announcements; publication requires administrator approval.</w:t>
      </w:r>
    </w:p>
    <w:p>
      <w:pPr>
        <w:pStyle w:val="ListBullet"/>
        <w:spacing w:after="40"/>
      </w:pPr>
      <w:r>
        <w:t>Event reports/photos remain private until administrator approval.</w:t>
      </w:r>
    </w:p>
    <w:p>
      <w:pPr>
        <w:pStyle w:val="Heading1"/>
      </w:pPr>
      <w:r>
        <w:t>7. UI/UX and motion requirements</w:t>
      </w:r>
    </w:p>
    <w:p>
      <w:pPr>
        <w:pStyle w:val="ListBullet"/>
        <w:spacing w:after="40"/>
      </w:pPr>
      <w:r>
        <w:t>Palette: ivory #F5F1E8, forest #1A3C29, champagne gold #C3A66B, charcoal #292D2A and white cards.</w:t>
      </w:r>
    </w:p>
    <w:p>
      <w:pPr>
        <w:pStyle w:val="ListBullet"/>
        <w:spacing w:after="40"/>
      </w:pPr>
      <w:r>
        <w:t>Editorial serif headings, readable sans-serif body, generous whitespace and authentic approved imagery.</w:t>
      </w:r>
    </w:p>
    <w:p>
      <w:pPr>
        <w:pStyle w:val="ListBullet"/>
        <w:spacing w:after="40"/>
      </w:pPr>
      <w:r>
        <w:t>Premium cinematic hero transitions, subtle reveal animations, refined drawer transitions, polished hover/focus states and accurate progress animation.</w:t>
      </w:r>
    </w:p>
    <w:p>
      <w:pPr>
        <w:pStyle w:val="ListBullet"/>
        <w:spacing w:after="40"/>
      </w:pPr>
      <w:r>
        <w:t>Animations must not block input, cause layout shifts or obscure content; respect reduced-motion preference.</w:t>
      </w:r>
    </w:p>
    <w:p>
      <w:pPr>
        <w:pStyle w:val="ListBullet"/>
        <w:spacing w:after="40"/>
      </w:pPr>
      <w:r>
        <w:t>Hero has pause, previous/next, indicators and keyboard support.</w:t>
      </w:r>
    </w:p>
    <w:p>
      <w:pPr>
        <w:pStyle w:val="ListBullet"/>
        <w:spacing w:after="40"/>
      </w:pPr>
      <w:r>
        <w:t>Target WCAG 2.2 AA; verify before launch, do not claim compliance before testing.</w:t>
      </w:r>
    </w:p>
    <w:p>
      <w:pPr>
        <w:pStyle w:val="Heading1"/>
      </w:pPr>
      <w:r>
        <w:t>8. Non-functional requirements</w:t>
      </w:r>
    </w:p>
    <w:tbl>
      <w:tblPr>
        <w:tblStyle w:val="TableGrid"/>
        <w:tblW w:type="auto" w:w="0"/>
        <w:jc w:val="center"/>
        <w:tblLook w:firstColumn="1" w:firstRow="1" w:lastColumn="0" w:lastRow="0" w:noHBand="0" w:noVBand="1" w:val="04A0"/>
      </w:tblPr>
      <w:tblGrid>
        <w:gridCol w:w="4997"/>
        <w:gridCol w:w="4997"/>
      </w:tblGrid>
      <w:tr>
        <w:tc>
          <w:tcPr>
            <w:tcW w:type="dxa" w:w="4997"/>
            <w:shd w:fill="1A3C29"/>
          </w:tcPr>
          <w:p>
            <w:pPr>
              <w:spacing w:after="40"/>
            </w:pPr>
            <w:r/>
            <w:r>
              <w:rPr>
                <w:rFonts w:ascii="Aptos" w:hAnsi="Aptos"/>
                <w:b/>
                <w:color w:val="FFFFFF"/>
                <w:sz w:val="16"/>
              </w:rPr>
              <w:t>Area</w:t>
            </w:r>
          </w:p>
        </w:tc>
        <w:tc>
          <w:tcPr>
            <w:tcW w:type="dxa" w:w="4997"/>
            <w:shd w:fill="1A3C29"/>
          </w:tcPr>
          <w:p>
            <w:pPr>
              <w:spacing w:after="40"/>
            </w:pPr>
            <w:r/>
            <w:r>
              <w:rPr>
                <w:rFonts w:ascii="Aptos" w:hAnsi="Aptos"/>
                <w:b/>
                <w:color w:val="FFFFFF"/>
                <w:sz w:val="16"/>
              </w:rPr>
              <w:t>Requirement</w:t>
            </w:r>
          </w:p>
        </w:tc>
      </w:tr>
      <w:tr>
        <w:tc>
          <w:tcPr>
            <w:tcW w:type="dxa" w:w="4997"/>
            <w:shd w:fill="F8F7F3"/>
          </w:tcPr>
          <w:p>
            <w:pPr>
              <w:spacing w:after="40"/>
            </w:pPr>
            <w:r/>
            <w:r>
              <w:rPr>
                <w:rFonts w:ascii="Aptos" w:hAnsi="Aptos"/>
                <w:b w:val="0"/>
                <w:color w:val="292D2A"/>
                <w:sz w:val="16"/>
              </w:rPr>
              <w:t>Security</w:t>
            </w:r>
          </w:p>
        </w:tc>
        <w:tc>
          <w:tcPr>
            <w:tcW w:type="dxa" w:w="4997"/>
            <w:shd w:fill="F8F7F3"/>
          </w:tcPr>
          <w:p>
            <w:pPr>
              <w:spacing w:after="40"/>
            </w:pPr>
            <w:r/>
            <w:r>
              <w:rPr>
                <w:rFonts w:ascii="Aptos" w:hAnsi="Aptos"/>
                <w:b w:val="0"/>
                <w:color w:val="292D2A"/>
                <w:sz w:val="16"/>
              </w:rPr>
              <w:t>Server-side authorization, least privilege, mandatory MFA for both primary admins, secure sessions, upload validation and audit logs.</w:t>
            </w:r>
          </w:p>
        </w:tc>
      </w:tr>
      <w:tr>
        <w:tc>
          <w:tcPr>
            <w:tcW w:type="dxa" w:w="4997"/>
          </w:tcPr>
          <w:p>
            <w:pPr>
              <w:spacing w:after="40"/>
            </w:pPr>
            <w:r/>
            <w:r>
              <w:rPr>
                <w:rFonts w:ascii="Aptos" w:hAnsi="Aptos"/>
                <w:b w:val="0"/>
                <w:color w:val="292D2A"/>
                <w:sz w:val="16"/>
              </w:rPr>
              <w:t>Privacy</w:t>
            </w:r>
          </w:p>
        </w:tc>
        <w:tc>
          <w:tcPr>
            <w:tcW w:type="dxa" w:w="4997"/>
          </w:tcPr>
          <w:p>
            <w:pPr>
              <w:spacing w:after="40"/>
            </w:pPr>
            <w:r/>
            <w:r>
              <w:rPr>
                <w:rFonts w:ascii="Aptos" w:hAnsi="Aptos"/>
                <w:b w:val="0"/>
                <w:color w:val="292D2A"/>
                <w:sz w:val="16"/>
              </w:rPr>
              <w:t>Minimum necessary data; private-by-default records; college-approved retention/deletion.</w:t>
            </w:r>
          </w:p>
        </w:tc>
      </w:tr>
      <w:tr>
        <w:tc>
          <w:tcPr>
            <w:tcW w:type="dxa" w:w="4997"/>
            <w:shd w:fill="F8F7F3"/>
          </w:tcPr>
          <w:p>
            <w:pPr>
              <w:spacing w:after="40"/>
            </w:pPr>
            <w:r/>
            <w:r>
              <w:rPr>
                <w:rFonts w:ascii="Aptos" w:hAnsi="Aptos"/>
                <w:b w:val="0"/>
                <w:color w:val="292D2A"/>
                <w:sz w:val="16"/>
              </w:rPr>
              <w:t>Performance</w:t>
            </w:r>
          </w:p>
        </w:tc>
        <w:tc>
          <w:tcPr>
            <w:tcW w:type="dxa" w:w="4997"/>
            <w:shd w:fill="F8F7F3"/>
          </w:tcPr>
          <w:p>
            <w:pPr>
              <w:spacing w:after="40"/>
            </w:pPr>
            <w:r/>
            <w:r>
              <w:rPr>
                <w:rFonts w:ascii="Aptos" w:hAnsi="Aptos"/>
                <w:b w:val="0"/>
                <w:color w:val="292D2A"/>
                <w:sz w:val="16"/>
              </w:rPr>
              <w:t>Set measurable response-time/Core Web Vitals thresholds in TRD and test on representative mobile devices.</w:t>
            </w:r>
          </w:p>
        </w:tc>
      </w:tr>
      <w:tr>
        <w:tc>
          <w:tcPr>
            <w:tcW w:type="dxa" w:w="4997"/>
          </w:tcPr>
          <w:p>
            <w:pPr>
              <w:spacing w:after="40"/>
            </w:pPr>
            <w:r/>
            <w:r>
              <w:rPr>
                <w:rFonts w:ascii="Aptos" w:hAnsi="Aptos"/>
                <w:b w:val="0"/>
                <w:color w:val="292D2A"/>
                <w:sz w:val="16"/>
              </w:rPr>
              <w:t>Recovery</w:t>
            </w:r>
          </w:p>
        </w:tc>
        <w:tc>
          <w:tcPr>
            <w:tcW w:type="dxa" w:w="4997"/>
          </w:tcPr>
          <w:p>
            <w:pPr>
              <w:spacing w:after="40"/>
            </w:pPr>
            <w:r/>
            <w:r>
              <w:rPr>
                <w:rFonts w:ascii="Aptos" w:hAnsi="Aptos"/>
                <w:b w:val="0"/>
                <w:color w:val="292D2A"/>
                <w:sz w:val="16"/>
              </w:rPr>
              <w:t>Daily database backups and 90-day retention preference subject to provider limits/policy; include media/configuration and restore tests.</w:t>
            </w:r>
          </w:p>
        </w:tc>
      </w:tr>
      <w:tr>
        <w:tc>
          <w:tcPr>
            <w:tcW w:type="dxa" w:w="4997"/>
            <w:shd w:fill="F8F7F3"/>
          </w:tcPr>
          <w:p>
            <w:pPr>
              <w:spacing w:after="40"/>
            </w:pPr>
            <w:r/>
            <w:r>
              <w:rPr>
                <w:rFonts w:ascii="Aptos" w:hAnsi="Aptos"/>
                <w:b w:val="0"/>
                <w:color w:val="292D2A"/>
                <w:sz w:val="16"/>
              </w:rPr>
              <w:t>Accessibility</w:t>
            </w:r>
          </w:p>
        </w:tc>
        <w:tc>
          <w:tcPr>
            <w:tcW w:type="dxa" w:w="4997"/>
            <w:shd w:fill="F8F7F3"/>
          </w:tcPr>
          <w:p>
            <w:pPr>
              <w:spacing w:after="40"/>
            </w:pPr>
            <w:r/>
            <w:r>
              <w:rPr>
                <w:rFonts w:ascii="Aptos" w:hAnsi="Aptos"/>
                <w:b w:val="0"/>
                <w:color w:val="292D2A"/>
                <w:sz w:val="16"/>
              </w:rPr>
              <w:t>WCAG 2.2 AA target, keyboard support, focus, contrast, labels and reduced motion.</w:t>
            </w:r>
          </w:p>
        </w:tc>
      </w:tr>
      <w:tr>
        <w:tc>
          <w:tcPr>
            <w:tcW w:type="dxa" w:w="4997"/>
          </w:tcPr>
          <w:p>
            <w:pPr>
              <w:spacing w:after="40"/>
            </w:pPr>
            <w:r/>
            <w:r>
              <w:rPr>
                <w:rFonts w:ascii="Aptos" w:hAnsi="Aptos"/>
                <w:b w:val="0"/>
                <w:color w:val="292D2A"/>
                <w:sz w:val="16"/>
              </w:rPr>
              <w:t>Continuity</w:t>
            </w:r>
          </w:p>
        </w:tc>
        <w:tc>
          <w:tcPr>
            <w:tcW w:type="dxa" w:w="4997"/>
          </w:tcPr>
          <w:p>
            <w:pPr>
              <w:spacing w:after="40"/>
            </w:pPr>
            <w:r/>
            <w:r>
              <w:rPr>
                <w:rFonts w:ascii="Aptos" w:hAnsi="Aptos"/>
                <w:b w:val="0"/>
                <w:color w:val="292D2A"/>
                <w:sz w:val="16"/>
              </w:rPr>
              <w:t>At least two authorized technical maintainers and documented handover.</w:t>
            </w:r>
          </w:p>
        </w:tc>
      </w:tr>
      <w:tr>
        <w:tc>
          <w:tcPr>
            <w:tcW w:type="dxa" w:w="4997"/>
            <w:shd w:fill="F8F7F3"/>
          </w:tcPr>
          <w:p>
            <w:pPr>
              <w:spacing w:after="40"/>
            </w:pPr>
            <w:r/>
            <w:r>
              <w:rPr>
                <w:rFonts w:ascii="Aptos" w:hAnsi="Aptos"/>
                <w:b w:val="0"/>
                <w:color w:val="292D2A"/>
                <w:sz w:val="16"/>
              </w:rPr>
              <w:t>Cost</w:t>
            </w:r>
          </w:p>
        </w:tc>
        <w:tc>
          <w:tcPr>
            <w:tcW w:type="dxa" w:w="4997"/>
            <w:shd w:fill="F8F7F3"/>
          </w:tcPr>
          <w:p>
            <w:pPr>
              <w:spacing w:after="40"/>
            </w:pPr>
            <w:r/>
            <w:r>
              <w:rPr>
                <w:rFonts w:ascii="Aptos" w:hAnsi="Aptos"/>
                <w:b w:val="0"/>
                <w:color w:val="292D2A"/>
                <w:sz w:val="16"/>
              </w:rPr>
              <w:t>Prefer free services where practical, after verifying security, ownership and limits.</w:t>
            </w:r>
          </w:p>
        </w:tc>
      </w:tr>
    </w:tbl>
    <w:p/>
    <w:p>
      <w:pPr>
        <w:pStyle w:val="Heading1"/>
      </w:pPr>
      <w:r>
        <w:t>9. Acceptance criteria</w:t>
      </w:r>
    </w:p>
    <w:p>
      <w:pPr>
        <w:pStyle w:val="ListBullet"/>
        <w:spacing w:after="40"/>
      </w:pPr>
      <w:r>
        <w:t>Private dashboards and records cannot be accessed by unauthorized users.</w:t>
      </w:r>
    </w:p>
    <w:p>
      <w:pPr>
        <w:pStyle w:val="ListBullet"/>
        <w:spacing w:after="40"/>
      </w:pPr>
      <w:r>
        <w:t>Role permissions are server-enforced and tested for allowed and denied actions.</w:t>
      </w:r>
    </w:p>
    <w:p>
      <w:pPr>
        <w:pStyle w:val="ListBullet"/>
        <w:spacing w:after="40"/>
      </w:pPr>
      <w:r>
        <w:t>Registration stays closed until authorized; capacity/deadline rules work.</w:t>
      </w:r>
    </w:p>
    <w:p>
      <w:pPr>
        <w:pStyle w:val="ListBullet"/>
        <w:spacing w:after="40"/>
      </w:pPr>
      <w:r>
        <w:t>Attendance corrections are restricted and audited; hour totals recalculate from approved records.</w:t>
      </w:r>
    </w:p>
    <w:p>
      <w:pPr>
        <w:pStyle w:val="ListBullet"/>
        <w:spacing w:after="40"/>
      </w:pPr>
      <w:r>
        <w:t>Unapproved media/content remain private.</w:t>
      </w:r>
    </w:p>
    <w:p>
      <w:pPr>
        <w:pStyle w:val="ListBullet"/>
        <w:spacing w:after="40"/>
      </w:pPr>
      <w:r>
        <w:t>Certificate issuance requires administrator approval.</w:t>
      </w:r>
    </w:p>
    <w:p>
      <w:pPr>
        <w:pStyle w:val="ListBullet"/>
        <w:spacing w:after="40"/>
      </w:pPr>
      <w:r>
        <w:t>Notification/email failures are represented truthfully.</w:t>
      </w:r>
    </w:p>
    <w:p>
      <w:pPr>
        <w:pStyle w:val="ListBullet"/>
        <w:spacing w:after="40"/>
      </w:pPr>
      <w:r>
        <w:t>Backup restoration, mobile, accessibility, performance and joint approval checks pass.</w:t>
      </w:r>
    </w:p>
    <w:p>
      <w:pPr>
        <w:pStyle w:val="Heading1"/>
      </w:pPr>
      <w:r>
        <w:t>10. Open decisions</w:t>
      </w:r>
    </w:p>
    <w:p>
      <w:pPr>
        <w:pStyle w:val="ListBullet"/>
        <w:spacing w:after="40"/>
      </w:pPr>
      <w:r>
        <w:t>Confirm official service-hour, camp and certificate rules.</w:t>
      </w:r>
    </w:p>
    <w:p>
      <w:pPr>
        <w:pStyle w:val="ListBullet"/>
        <w:spacing w:after="40"/>
      </w:pPr>
      <w:r>
        <w:t>Confirm eligibility-list fields and import/approval procedure.</w:t>
      </w:r>
    </w:p>
    <w:p>
      <w:pPr>
        <w:pStyle w:val="ListBullet"/>
        <w:spacing w:after="40"/>
      </w:pPr>
      <w:r>
        <w:t>Choose providers, hosting and email after cost/security review.</w:t>
      </w:r>
    </w:p>
    <w:p>
      <w:pPr>
        <w:pStyle w:val="ListBullet"/>
        <w:spacing w:after="40"/>
      </w:pPr>
      <w:r>
        <w:t>Confirm domain ownership, retention policy, official contacts and confidential-report reviewers.</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57067"/>
        <w:sz w:val="16"/>
      </w:rPr>
      <w:t xml:space="preserve">DOC-01 • NSS VIIT (A)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57067"/>
        <w:sz w:val="16"/>
      </w:rPr>
      <w:t>NSS VIIT (A)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92D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A3C2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A3C2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A3C2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A3C2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