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</w:pPr>
      <w:r>
        <w:rPr>
          <w:b/>
          <w:color w:val="C3A66B"/>
          <w:sz w:val="32"/>
        </w:rPr>
        <w:t>NSS VIIT (A)</w:t>
      </w:r>
    </w:p>
    <w:p>
      <w:pPr>
        <w:pStyle w:val="Title"/>
      </w:pPr>
      <w:r>
        <w:t>UI/UX Design Brief</w:t>
      </w:r>
    </w:p>
    <w:p>
      <w:r>
        <w:rPr>
          <w:color w:val="657067"/>
          <w:sz w:val="24"/>
        </w:rPr>
        <w:t>Visual identity, extraordinary animation system, dashboards and accessibility standards</w:t>
      </w:r>
    </w:p>
    <w:p>
      <w:r>
        <w:t>DESIGN PRINCIPLE  Extraordinary visual craft, purposeful motion, institutional trust and accessible interaction.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shd w:fill="1A3C29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Document control</w:t>
            </w:r>
          </w:p>
        </w:tc>
        <w:tc>
          <w:tcPr>
            <w:tcW w:type="dxa" w:w="4997"/>
            <w:shd w:fill="1A3C29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4997"/>
            <w:shd w:fill="F8F7F3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92D2A"/>
                <w:sz w:val="16"/>
              </w:rPr>
              <w:t>ID</w:t>
            </w:r>
          </w:p>
        </w:tc>
        <w:tc>
          <w:tcPr>
            <w:tcW w:type="dxa" w:w="4997"/>
            <w:shd w:fill="F8F7F3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92D2A"/>
                <w:sz w:val="16"/>
              </w:rPr>
              <w:t>DOC-04</w:t>
            </w:r>
          </w:p>
        </w:tc>
      </w:tr>
      <w:tr>
        <w:tc>
          <w:tcPr>
            <w:tcW w:type="dxa" w:w="4997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92D2A"/>
                <w:sz w:val="16"/>
              </w:rPr>
              <w:t>Version</w:t>
            </w:r>
          </w:p>
        </w:tc>
        <w:tc>
          <w:tcPr>
            <w:tcW w:type="dxa" w:w="4997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92D2A"/>
                <w:sz w:val="16"/>
              </w:rPr>
              <w:t>1.0 — planning baseline</w:t>
            </w:r>
          </w:p>
        </w:tc>
      </w:tr>
      <w:tr>
        <w:tc>
          <w:tcPr>
            <w:tcW w:type="dxa" w:w="4997"/>
            <w:shd w:fill="F8F7F3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92D2A"/>
                <w:sz w:val="16"/>
              </w:rPr>
              <w:t>Project</w:t>
            </w:r>
          </w:p>
        </w:tc>
        <w:tc>
          <w:tcPr>
            <w:tcW w:type="dxa" w:w="4997"/>
            <w:shd w:fill="F8F7F3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92D2A"/>
                <w:sz w:val="16"/>
              </w:rPr>
              <w:t>NSS VIIT (A) — complete website and digital platform</w:t>
            </w:r>
          </w:p>
        </w:tc>
      </w:tr>
      <w:tr>
        <w:tc>
          <w:tcPr>
            <w:tcW w:type="dxa" w:w="4997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92D2A"/>
                <w:sz w:val="16"/>
              </w:rPr>
              <w:t>Status</w:t>
            </w:r>
          </w:p>
        </w:tc>
        <w:tc>
          <w:tcPr>
            <w:tcW w:type="dxa" w:w="4997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92D2A"/>
                <w:sz w:val="16"/>
              </w:rPr>
              <w:t>Requirements baseline; not an implementation or testing claim</w:t>
            </w:r>
          </w:p>
        </w:tc>
      </w:tr>
      <w:tr>
        <w:tc>
          <w:tcPr>
            <w:tcW w:type="dxa" w:w="4997"/>
            <w:shd w:fill="F8F7F3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92D2A"/>
                <w:sz w:val="16"/>
              </w:rPr>
              <w:t>Approval</w:t>
            </w:r>
          </w:p>
        </w:tc>
        <w:tc>
          <w:tcPr>
            <w:tcW w:type="dxa" w:w="4997"/>
            <w:shd w:fill="F8F7F3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92D2A"/>
                <w:sz w:val="16"/>
              </w:rPr>
              <w:t>Review by both primary NSS administrators and college-authorized authority where applicable</w:t>
            </w:r>
          </w:p>
        </w:tc>
      </w:tr>
    </w:tbl>
    <w:p/>
    <w:p>
      <w:r>
        <w:br w:type="page"/>
      </w:r>
    </w:p>
    <w:p>
      <w:pPr>
        <w:pStyle w:val="Heading1"/>
      </w:pPr>
      <w:r>
        <w:t>1. Experience vision</w:t>
      </w:r>
    </w:p>
    <w:p>
      <w:r>
        <w:t>Create a premium editorial experience that feels warm, human, cinematic and institutionally credible. Memorability should come from typography, authentic imagery, layout rhythm and carefully art-directed motion—not excessive effects.</w:t>
      </w:r>
    </w:p>
    <w:p>
      <w:pPr>
        <w:pStyle w:val="Heading1"/>
      </w:pPr>
      <w:r>
        <w:t>2. Design tokens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shd w:fill="1A3C29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Token</w:t>
            </w:r>
          </w:p>
        </w:tc>
        <w:tc>
          <w:tcPr>
            <w:tcW w:type="dxa" w:w="4997"/>
            <w:shd w:fill="1A3C29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Guidance</w:t>
            </w:r>
          </w:p>
        </w:tc>
      </w:tr>
      <w:tr>
        <w:tc>
          <w:tcPr>
            <w:tcW w:type="dxa" w:w="4997"/>
            <w:shd w:fill="F8F7F3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92D2A"/>
                <w:sz w:val="16"/>
              </w:rPr>
              <w:t>Warm ivory #F5F1E8</w:t>
            </w:r>
          </w:p>
        </w:tc>
        <w:tc>
          <w:tcPr>
            <w:tcW w:type="dxa" w:w="4997"/>
            <w:shd w:fill="F8F7F3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92D2A"/>
                <w:sz w:val="16"/>
              </w:rPr>
              <w:t>Primary page background and editorial surfaces.</w:t>
            </w:r>
          </w:p>
        </w:tc>
      </w:tr>
      <w:tr>
        <w:tc>
          <w:tcPr>
            <w:tcW w:type="dxa" w:w="4997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92D2A"/>
                <w:sz w:val="16"/>
              </w:rPr>
              <w:t>Forest green #1A3C29</w:t>
            </w:r>
          </w:p>
        </w:tc>
        <w:tc>
          <w:tcPr>
            <w:tcW w:type="dxa" w:w="4997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92D2A"/>
                <w:sz w:val="16"/>
              </w:rPr>
              <w:t>Brand color, navigation emphasis and primary actions.</w:t>
            </w:r>
          </w:p>
        </w:tc>
      </w:tr>
      <w:tr>
        <w:tc>
          <w:tcPr>
            <w:tcW w:type="dxa" w:w="4997"/>
            <w:shd w:fill="F8F7F3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92D2A"/>
                <w:sz w:val="16"/>
              </w:rPr>
              <w:t>Champagne gold #C3A66B</w:t>
            </w:r>
          </w:p>
        </w:tc>
        <w:tc>
          <w:tcPr>
            <w:tcW w:type="dxa" w:w="4997"/>
            <w:shd w:fill="F8F7F3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92D2A"/>
                <w:sz w:val="16"/>
              </w:rPr>
              <w:t>Restrained accent for highlights, rules and details.</w:t>
            </w:r>
          </w:p>
        </w:tc>
      </w:tr>
      <w:tr>
        <w:tc>
          <w:tcPr>
            <w:tcW w:type="dxa" w:w="4997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92D2A"/>
                <w:sz w:val="16"/>
              </w:rPr>
              <w:t>Charcoal #292D2A</w:t>
            </w:r>
          </w:p>
        </w:tc>
        <w:tc>
          <w:tcPr>
            <w:tcW w:type="dxa" w:w="4997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92D2A"/>
                <w:sz w:val="16"/>
              </w:rPr>
              <w:t>Primary text and strong contrast.</w:t>
            </w:r>
          </w:p>
        </w:tc>
      </w:tr>
      <w:tr>
        <w:tc>
          <w:tcPr>
            <w:tcW w:type="dxa" w:w="4997"/>
            <w:shd w:fill="F8F7F3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92D2A"/>
                <w:sz w:val="16"/>
              </w:rPr>
              <w:t>White cards #FFFFFF</w:t>
            </w:r>
          </w:p>
        </w:tc>
        <w:tc>
          <w:tcPr>
            <w:tcW w:type="dxa" w:w="4997"/>
            <w:shd w:fill="F8F7F3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92D2A"/>
                <w:sz w:val="16"/>
              </w:rPr>
              <w:t>Forms, dashboards and content surfaces.</w:t>
            </w:r>
          </w:p>
        </w:tc>
      </w:tr>
      <w:tr>
        <w:tc>
          <w:tcPr>
            <w:tcW w:type="dxa" w:w="4997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92D2A"/>
                <w:sz w:val="16"/>
              </w:rPr>
              <w:t>Typography</w:t>
            </w:r>
          </w:p>
        </w:tc>
        <w:tc>
          <w:tcPr>
            <w:tcW w:type="dxa" w:w="4997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92D2A"/>
                <w:sz w:val="16"/>
              </w:rPr>
              <w:t>Editorial serif headings with clear sans-serif body/UI font.</w:t>
            </w:r>
          </w:p>
        </w:tc>
      </w:tr>
      <w:tr>
        <w:tc>
          <w:tcPr>
            <w:tcW w:type="dxa" w:w="4997"/>
            <w:shd w:fill="F8F7F3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92D2A"/>
                <w:sz w:val="16"/>
              </w:rPr>
              <w:t>Spacing</w:t>
            </w:r>
          </w:p>
        </w:tc>
        <w:tc>
          <w:tcPr>
            <w:tcW w:type="dxa" w:w="4997"/>
            <w:shd w:fill="F8F7F3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92D2A"/>
                <w:sz w:val="16"/>
              </w:rPr>
              <w:t>Generous public editorial whitespace; orderly dense dashboard grids.</w:t>
            </w:r>
          </w:p>
        </w:tc>
      </w:tr>
      <w:tr>
        <w:tc>
          <w:tcPr>
            <w:tcW w:type="dxa" w:w="4997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92D2A"/>
                <w:sz w:val="16"/>
              </w:rPr>
              <w:t>Surfaces</w:t>
            </w:r>
          </w:p>
        </w:tc>
        <w:tc>
          <w:tcPr>
            <w:tcW w:type="dxa" w:w="4997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92D2A"/>
                <w:sz w:val="16"/>
              </w:rPr>
              <w:t>Moderate radius, restrained shadows; avoid excessive glassmorphism and decorative gradients.</w:t>
            </w:r>
          </w:p>
        </w:tc>
      </w:tr>
    </w:tbl>
    <w:p/>
    <w:p>
      <w:pPr>
        <w:pStyle w:val="Heading1"/>
      </w:pPr>
      <w:r>
        <w:t>3. Public interface</w:t>
      </w:r>
    </w:p>
    <w:p>
      <w:pPr>
        <w:pStyle w:val="Heading1"/>
      </w:pPr>
      <w:r>
        <w:t>3.1 Header and navigation</w:t>
      </w:r>
    </w:p>
    <w:p>
      <w:pPr>
        <w:pStyle w:val="ListBullet"/>
        <w:spacing w:after="40"/>
      </w:pPr>
      <w:r>
        <w:t>Compact sticky desktop header around 76–84 px with approved official logos proportionally aligned with “NSS VIIT (A)”.</w:t>
      </w:r>
    </w:p>
    <w:p>
      <w:pPr>
        <w:pStyle w:val="ListBullet"/>
        <w:spacing w:after="40"/>
      </w:pPr>
      <w:r>
        <w:t>Never redraw, recolor, stretch or crop official logos.</w:t>
      </w:r>
    </w:p>
    <w:p>
      <w:pPr>
        <w:pStyle w:val="ListBullet"/>
        <w:spacing w:after="40"/>
      </w:pPr>
      <w:r>
        <w:t>Desktop nav: Home, Our Team, Events, Gallery and Menu. Menu opens a two-panel drawer; mobile uses a simple single-column expandable drawer.</w:t>
      </w:r>
    </w:p>
    <w:p>
      <w:pPr>
        <w:pStyle w:val="ListBullet"/>
        <w:spacing w:after="40"/>
      </w:pPr>
      <w:r>
        <w:t>Drawer supports Escape, backdrop close, focus management and body scroll lock; prevent content jumps.</w:t>
      </w:r>
    </w:p>
    <w:p>
      <w:pPr>
        <w:pStyle w:val="Heading1"/>
      </w:pPr>
      <w:r>
        <w:t>3.2 Hero and homepage</w:t>
      </w:r>
    </w:p>
    <w:p>
      <w:pPr>
        <w:pStyle w:val="ListBullet"/>
        <w:spacing w:after="40"/>
      </w:pPr>
      <w:r>
        <w:t>Headline: “Not Me, But You.”</w:t>
      </w:r>
    </w:p>
    <w:p>
      <w:pPr>
        <w:pStyle w:val="ListBullet"/>
        <w:spacing w:after="40"/>
      </w:pPr>
      <w:r>
        <w:t>Supporting copy: “Students coming together to serve communities, take collective action, and create meaningful change.”</w:t>
      </w:r>
    </w:p>
    <w:p>
      <w:pPr>
        <w:pStyle w:val="ListBullet"/>
        <w:spacing w:after="40"/>
      </w:pPr>
      <w:r>
        <w:t>CTAs: Explore Activities and Discover Our Mission.</w:t>
      </w:r>
    </w:p>
    <w:p>
      <w:pPr>
        <w:pStyle w:val="ListBullet"/>
        <w:spacing w:after="40"/>
      </w:pPr>
      <w:r>
        <w:t>Use authentic approved NSS photography with responsive focal-point cropping.</w:t>
      </w:r>
    </w:p>
    <w:p>
      <w:pPr>
        <w:pStyle w:val="ListBullet"/>
        <w:spacing w:after="40"/>
      </w:pPr>
      <w:r>
        <w:t>Homepage order: About, featured events, activities/impact, gallery, Core Team, announcements, volunteer CTA, contact/footer.</w:t>
      </w:r>
    </w:p>
    <w:p>
      <w:pPr>
        <w:pStyle w:val="ListBullet"/>
        <w:spacing w:after="40"/>
      </w:pPr>
      <w:r>
        <w:t>Show only verified impact numbers; hide missing/unapproved metrics.</w:t>
      </w:r>
    </w:p>
    <w:p>
      <w:pPr>
        <w:pStyle w:val="Heading1"/>
      </w:pPr>
      <w:r>
        <w:t>4. Extraordinary animation direction</w:t>
      </w:r>
    </w:p>
    <w:p>
      <w:r>
        <w:t>Animation should be art-directed, consistent and purposeful. It should feel premium without slowing content, harming accessibility or distracting from service work.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shd w:fill="1A3C29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Pattern</w:t>
            </w:r>
          </w:p>
        </w:tc>
        <w:tc>
          <w:tcPr>
            <w:tcW w:type="dxa" w:w="3331"/>
            <w:shd w:fill="1A3C29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Visual behavior</w:t>
            </w:r>
          </w:p>
        </w:tc>
        <w:tc>
          <w:tcPr>
            <w:tcW w:type="dxa" w:w="3331"/>
            <w:shd w:fill="1A3C29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Rules</w:t>
            </w:r>
          </w:p>
        </w:tc>
      </w:tr>
      <w:tr>
        <w:tc>
          <w:tcPr>
            <w:tcW w:type="dxa" w:w="3331"/>
            <w:shd w:fill="F8F7F3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92D2A"/>
                <w:sz w:val="16"/>
              </w:rPr>
              <w:t>Hero transition</w:t>
            </w:r>
          </w:p>
        </w:tc>
        <w:tc>
          <w:tcPr>
            <w:tcW w:type="dxa" w:w="3331"/>
            <w:shd w:fill="F8F7F3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92D2A"/>
                <w:sz w:val="16"/>
              </w:rPr>
              <w:t>Cinematic crossfade with restrained directional reveal/mask; short text stagger.</w:t>
            </w:r>
          </w:p>
        </w:tc>
        <w:tc>
          <w:tcPr>
            <w:tcW w:type="dxa" w:w="3331"/>
            <w:shd w:fill="F8F7F3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92D2A"/>
                <w:sz w:val="16"/>
              </w:rPr>
              <w:t>Pause/manual controls; no rapid rotation; reduced-motion alternative.</w:t>
            </w:r>
          </w:p>
        </w:tc>
      </w:tr>
      <w:tr>
        <w:tc>
          <w:tcPr>
            <w:tcW w:type="dxa" w:w="3331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92D2A"/>
                <w:sz w:val="16"/>
              </w:rPr>
              <w:t>Editorial reveal</w:t>
            </w:r>
          </w:p>
        </w:tc>
        <w:tc>
          <w:tcPr>
            <w:tcW w:type="dxa" w:w="3331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92D2A"/>
                <w:sz w:val="16"/>
              </w:rPr>
              <w:t>Opacity + small vertical shift as sections enter view.</w:t>
            </w:r>
          </w:p>
        </w:tc>
        <w:tc>
          <w:tcPr>
            <w:tcW w:type="dxa" w:w="3331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92D2A"/>
                <w:sz w:val="16"/>
              </w:rPr>
              <w:t>Restrained, one-time; content must not depend on animation completing.</w:t>
            </w:r>
          </w:p>
        </w:tc>
      </w:tr>
      <w:tr>
        <w:tc>
          <w:tcPr>
            <w:tcW w:type="dxa" w:w="3331"/>
            <w:shd w:fill="F8F7F3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92D2A"/>
                <w:sz w:val="16"/>
              </w:rPr>
              <w:t>Subtle parallax</w:t>
            </w:r>
          </w:p>
        </w:tc>
        <w:tc>
          <w:tcPr>
            <w:tcW w:type="dxa" w:w="3331"/>
            <w:shd w:fill="F8F7F3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92D2A"/>
                <w:sz w:val="16"/>
              </w:rPr>
              <w:t>Very slight depth movement in hero layers.</w:t>
            </w:r>
          </w:p>
        </w:tc>
        <w:tc>
          <w:tcPr>
            <w:tcW w:type="dxa" w:w="3331"/>
            <w:shd w:fill="F8F7F3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92D2A"/>
                <w:sz w:val="16"/>
              </w:rPr>
              <w:t>Optional; disable for reduced-motion and constrained devices.</w:t>
            </w:r>
          </w:p>
        </w:tc>
      </w:tr>
      <w:tr>
        <w:tc>
          <w:tcPr>
            <w:tcW w:type="dxa" w:w="3331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92D2A"/>
                <w:sz w:val="16"/>
              </w:rPr>
              <w:t>Card interaction</w:t>
            </w:r>
          </w:p>
        </w:tc>
        <w:tc>
          <w:tcPr>
            <w:tcW w:type="dxa" w:w="3331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92D2A"/>
                <w:sz w:val="16"/>
              </w:rPr>
              <w:t>Small elevation or accent-border shift.</w:t>
            </w:r>
          </w:p>
        </w:tc>
        <w:tc>
          <w:tcPr>
            <w:tcW w:type="dxa" w:w="3331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92D2A"/>
                <w:sz w:val="16"/>
              </w:rPr>
              <w:t>No hover-only information; keyboard focus equivalent.</w:t>
            </w:r>
          </w:p>
        </w:tc>
      </w:tr>
      <w:tr>
        <w:tc>
          <w:tcPr>
            <w:tcW w:type="dxa" w:w="3331"/>
            <w:shd w:fill="F8F7F3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92D2A"/>
                <w:sz w:val="16"/>
              </w:rPr>
              <w:t>Navigation drawer</w:t>
            </w:r>
          </w:p>
        </w:tc>
        <w:tc>
          <w:tcPr>
            <w:tcW w:type="dxa" w:w="3331"/>
            <w:shd w:fill="F8F7F3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92D2A"/>
                <w:sz w:val="16"/>
              </w:rPr>
              <w:t>Smooth opacity/translate with backdrop blur.</w:t>
            </w:r>
          </w:p>
        </w:tc>
        <w:tc>
          <w:tcPr>
            <w:tcW w:type="dxa" w:w="3331"/>
            <w:shd w:fill="F8F7F3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92D2A"/>
                <w:sz w:val="16"/>
              </w:rPr>
              <w:t>Short duration; correct focus management and Escape handling.</w:t>
            </w:r>
          </w:p>
        </w:tc>
      </w:tr>
      <w:tr>
        <w:tc>
          <w:tcPr>
            <w:tcW w:type="dxa" w:w="3331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92D2A"/>
                <w:sz w:val="16"/>
              </w:rPr>
              <w:t>Metric/progress</w:t>
            </w:r>
          </w:p>
        </w:tc>
        <w:tc>
          <w:tcPr>
            <w:tcW w:type="dxa" w:w="3331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92D2A"/>
                <w:sz w:val="16"/>
              </w:rPr>
              <w:t>Animate only after verified value loads.</w:t>
            </w:r>
          </w:p>
        </w:tc>
        <w:tc>
          <w:tcPr>
            <w:tcW w:type="dxa" w:w="3331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92D2A"/>
                <w:sz w:val="16"/>
              </w:rPr>
              <w:t>Never animate invented data; keep textual values available.</w:t>
            </w:r>
          </w:p>
        </w:tc>
      </w:tr>
      <w:tr>
        <w:tc>
          <w:tcPr>
            <w:tcW w:type="dxa" w:w="3331"/>
            <w:shd w:fill="F8F7F3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92D2A"/>
                <w:sz w:val="16"/>
              </w:rPr>
              <w:t>Task/status change</w:t>
            </w:r>
          </w:p>
        </w:tc>
        <w:tc>
          <w:tcPr>
            <w:tcW w:type="dxa" w:w="3331"/>
            <w:shd w:fill="F8F7F3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92D2A"/>
                <w:sz w:val="16"/>
              </w:rPr>
              <w:t>Subtle state transitions.</w:t>
            </w:r>
          </w:p>
        </w:tc>
        <w:tc>
          <w:tcPr>
            <w:tcW w:type="dxa" w:w="3331"/>
            <w:shd w:fill="F8F7F3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92D2A"/>
                <w:sz w:val="16"/>
              </w:rPr>
              <w:t>No flashing or color-only status.</w:t>
            </w:r>
          </w:p>
        </w:tc>
      </w:tr>
      <w:tr>
        <w:tc>
          <w:tcPr>
            <w:tcW w:type="dxa" w:w="3331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92D2A"/>
                <w:sz w:val="16"/>
              </w:rPr>
              <w:t>Loading</w:t>
            </w:r>
          </w:p>
        </w:tc>
        <w:tc>
          <w:tcPr>
            <w:tcW w:type="dxa" w:w="3331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92D2A"/>
                <w:sz w:val="16"/>
              </w:rPr>
              <w:t>Skeletons where useful; honest waiting/error states.</w:t>
            </w:r>
          </w:p>
        </w:tc>
        <w:tc>
          <w:tcPr>
            <w:tcW w:type="dxa" w:w="3331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92D2A"/>
                <w:sz w:val="16"/>
              </w:rPr>
              <w:t>Never fake progress or successful backend actions.</w:t>
            </w:r>
          </w:p>
        </w:tc>
      </w:tr>
      <w:tr>
        <w:tc>
          <w:tcPr>
            <w:tcW w:type="dxa" w:w="3331"/>
            <w:shd w:fill="F8F7F3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92D2A"/>
                <w:sz w:val="16"/>
              </w:rPr>
              <w:t>Page transition</w:t>
            </w:r>
          </w:p>
        </w:tc>
        <w:tc>
          <w:tcPr>
            <w:tcW w:type="dxa" w:w="3331"/>
            <w:shd w:fill="F8F7F3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92D2A"/>
                <w:sz w:val="16"/>
              </w:rPr>
              <w:t>Brief fade/position continuity if routing supports it.</w:t>
            </w:r>
          </w:p>
        </w:tc>
        <w:tc>
          <w:tcPr>
            <w:tcW w:type="dxa" w:w="3331"/>
            <w:shd w:fill="F8F7F3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92D2A"/>
                <w:sz w:val="16"/>
              </w:rPr>
              <w:t>Preserve browser back/forward and do not delay interaction.</w:t>
            </w:r>
          </w:p>
        </w:tc>
      </w:tr>
    </w:tbl>
    <w:p/>
    <w:p>
      <w:pPr>
        <w:pStyle w:val="Heading1"/>
      </w:pPr>
      <w:r>
        <w:t>5. Motion system rules</w:t>
      </w:r>
    </w:p>
    <w:p>
      <w:pPr>
        <w:pStyle w:val="ListBullet"/>
        <w:spacing w:after="40"/>
      </w:pPr>
      <w:r>
        <w:t>Use a consistent motion vocabulary rather than a different effect on every element.</w:t>
      </w:r>
    </w:p>
    <w:p>
      <w:pPr>
        <w:pStyle w:val="ListBullet"/>
        <w:spacing w:after="40"/>
      </w:pPr>
      <w:r>
        <w:t>Suggested durations: micro 120–200 ms; drawer/modal 180–280 ms; editorial reveals 350–650 ms, then tune in device testing.</w:t>
      </w:r>
    </w:p>
    <w:p>
      <w:pPr>
        <w:pStyle w:val="ListBullet"/>
        <w:spacing w:after="40"/>
      </w:pPr>
      <w:r>
        <w:t>Prefer opacity/transform; avoid expensive repeated layout/paint.</w:t>
      </w:r>
    </w:p>
    <w:p>
      <w:pPr>
        <w:pStyle w:val="ListBullet"/>
        <w:spacing w:after="40"/>
      </w:pPr>
      <w:r>
        <w:t>Respect reduced-motion preferences; replace movement with simple fades or immediate state changes.</w:t>
      </w:r>
    </w:p>
    <w:p>
      <w:pPr>
        <w:pStyle w:val="ListBullet"/>
        <w:spacing w:after="40"/>
      </w:pPr>
      <w:r>
        <w:t>No scroll-jacking, forced intro, cursor-following decoration, auto-playing audio or blocking preloaders.</w:t>
      </w:r>
    </w:p>
    <w:p>
      <w:pPr>
        <w:pStyle w:val="ListBullet"/>
        <w:spacing w:after="40"/>
      </w:pPr>
      <w:r>
        <w:t>Carousel has pause, previous/next, indicators, keyboard support and readable slide labels.</w:t>
      </w:r>
    </w:p>
    <w:p>
      <w:pPr>
        <w:pStyle w:val="ListBullet"/>
        <w:spacing w:after="40"/>
      </w:pPr>
      <w:r>
        <w:t>Test on mid-range mobile devices and slower networks.</w:t>
      </w:r>
    </w:p>
    <w:p>
      <w:pPr>
        <w:pStyle w:val="Heading1"/>
      </w:pPr>
      <w:r>
        <w:t>6. Dashboard visual systems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shd w:fill="1A3C29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Dashboard</w:t>
            </w:r>
          </w:p>
        </w:tc>
        <w:tc>
          <w:tcPr>
            <w:tcW w:type="dxa" w:w="4997"/>
            <w:shd w:fill="1A3C29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Layout/content</w:t>
            </w:r>
          </w:p>
        </w:tc>
      </w:tr>
      <w:tr>
        <w:tc>
          <w:tcPr>
            <w:tcW w:type="dxa" w:w="4997"/>
            <w:shd w:fill="F8F7F3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92D2A"/>
                <w:sz w:val="16"/>
              </w:rPr>
              <w:t>Website Admin</w:t>
            </w:r>
          </w:p>
        </w:tc>
        <w:tc>
          <w:tcPr>
            <w:tcW w:type="dxa" w:w="4997"/>
            <w:shd w:fill="F8F7F3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92D2A"/>
                <w:sz w:val="16"/>
              </w:rPr>
              <w:t>Overview of drafts, pending review, recent publishing and quick actions; visual homepage editor, preview and version history.</w:t>
            </w:r>
          </w:p>
        </w:tc>
      </w:tr>
      <w:tr>
        <w:tc>
          <w:tcPr>
            <w:tcW w:type="dxa" w:w="4997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92D2A"/>
                <w:sz w:val="16"/>
              </w:rPr>
              <w:t>Operations Admin</w:t>
            </w:r>
          </w:p>
        </w:tc>
        <w:tc>
          <w:tcPr>
            <w:tcW w:type="dxa" w:w="4997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92D2A"/>
                <w:sz w:val="16"/>
              </w:rPr>
              <w:t>Pending applications, upcoming events, capacity issues, attendance tasks, support requests and recent audit activity.</w:t>
            </w:r>
          </w:p>
        </w:tc>
      </w:tr>
      <w:tr>
        <w:tc>
          <w:tcPr>
            <w:tcW w:type="dxa" w:w="4997"/>
            <w:shd w:fill="F8F7F3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92D2A"/>
                <w:sz w:val="16"/>
              </w:rPr>
              <w:t>Core Team</w:t>
            </w:r>
          </w:p>
        </w:tc>
        <w:tc>
          <w:tcPr>
            <w:tcW w:type="dxa" w:w="4997"/>
            <w:shd w:fill="F8F7F3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92D2A"/>
                <w:sz w:val="16"/>
              </w:rPr>
              <w:t>Assigned tasks, deadlines, proposals, report submissions, meetings and role-scoped actions.</w:t>
            </w:r>
          </w:p>
        </w:tc>
      </w:tr>
      <w:tr>
        <w:tc>
          <w:tcPr>
            <w:tcW w:type="dxa" w:w="4997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92D2A"/>
                <w:sz w:val="16"/>
              </w:rPr>
              <w:t>Volunteer</w:t>
            </w:r>
          </w:p>
        </w:tc>
        <w:tc>
          <w:tcPr>
            <w:tcW w:type="dxa" w:w="4997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92D2A"/>
                <w:sz w:val="16"/>
              </w:rPr>
              <w:t>Mobile-first view of upcoming events, registrations, attendance, service-hour progress, notices, resources and certificates.</w:t>
            </w:r>
          </w:p>
        </w:tc>
      </w:tr>
    </w:tbl>
    <w:p/>
    <w:p>
      <w:pPr>
        <w:pStyle w:val="Heading1"/>
      </w:pPr>
      <w:r>
        <w:t>7. Forms and feedback</w:t>
      </w:r>
    </w:p>
    <w:p>
      <w:pPr>
        <w:pStyle w:val="ListBullet"/>
        <w:spacing w:after="40"/>
      </w:pPr>
      <w:r>
        <w:t>Every form has labels, required-field guidance, inline validation and clear server errors.</w:t>
      </w:r>
    </w:p>
    <w:p>
      <w:pPr>
        <w:pStyle w:val="ListBullet"/>
        <w:spacing w:after="40"/>
      </w:pPr>
      <w:r>
        <w:t>Provide loading, empty, error, success, permission-denied and registration-closed states.</w:t>
      </w:r>
    </w:p>
    <w:p>
      <w:pPr>
        <w:pStyle w:val="ListBullet"/>
        <w:spacing w:after="40"/>
      </w:pPr>
      <w:r>
        <w:t>Show confirmation only after server success; destructive actions require clear confirmation.</w:t>
      </w:r>
    </w:p>
    <w:p>
      <w:pPr>
        <w:pStyle w:val="ListBullet"/>
        <w:spacing w:after="40"/>
      </w:pPr>
      <w:r>
        <w:t>Use text/icons as well as color for status. Never show secrets or internal error stacks.</w:t>
      </w:r>
    </w:p>
    <w:p>
      <w:pPr>
        <w:pStyle w:val="Heading1"/>
      </w:pPr>
      <w:r>
        <w:t>8. Accessibility and responsive behavior</w:t>
      </w:r>
    </w:p>
    <w:p>
      <w:pPr>
        <w:pStyle w:val="ListBullet"/>
        <w:spacing w:after="40"/>
      </w:pPr>
      <w:r>
        <w:t>Target WCAG 2.2 AA and verify with automated/manual testing.</w:t>
      </w:r>
    </w:p>
    <w:p>
      <w:pPr>
        <w:pStyle w:val="ListBullet"/>
        <w:spacing w:after="40"/>
      </w:pPr>
      <w:r>
        <w:t>Keyboard navigation, visible focus, logical focus order, semantic headings and accessible form labels.</w:t>
      </w:r>
    </w:p>
    <w:p>
      <w:pPr>
        <w:pStyle w:val="ListBullet"/>
        <w:spacing w:after="40"/>
      </w:pPr>
      <w:r>
        <w:t>Verify contrast for text, buttons, badges and muted text.</w:t>
      </w:r>
    </w:p>
    <w:p>
      <w:pPr>
        <w:pStyle w:val="ListBullet"/>
        <w:spacing w:after="40"/>
      </w:pPr>
      <w:r>
        <w:t>Test mobile through desktop; no hover-only behavior.</w:t>
      </w:r>
    </w:p>
    <w:p>
      <w:pPr>
        <w:pStyle w:val="ListBullet"/>
        <w:spacing w:after="40"/>
      </w:pPr>
      <w:r>
        <w:t>Inner-page Back returns to previous in-site page where possible; direct-load fallback; no Back on homepage.</w:t>
      </w:r>
    </w:p>
    <w:p>
      <w:pPr>
        <w:pStyle w:val="ListBullet"/>
        <w:spacing w:after="40"/>
      </w:pPr>
      <w:r>
        <w:t>Informative images need meaningful alt text; decorative images should not be announced redundantly.</w:t>
      </w:r>
    </w:p>
    <w:p>
      <w:pPr>
        <w:pStyle w:val="Heading1"/>
      </w:pPr>
      <w:r>
        <w:t>9. Photography and acceptance</w:t>
      </w:r>
    </w:p>
    <w:p>
      <w:pPr>
        <w:pStyle w:val="ListBullet"/>
        <w:spacing w:after="40"/>
      </w:pPr>
      <w:r>
        <w:t>Use only authentic, approved NSS images; consent for identifiable people.</w:t>
      </w:r>
    </w:p>
    <w:p>
      <w:pPr>
        <w:pStyle w:val="ListBullet"/>
        <w:spacing w:after="40"/>
      </w:pPr>
      <w:r>
        <w:t>Unapproved media remains private; captions and album metadata supported.</w:t>
      </w:r>
    </w:p>
    <w:p>
      <w:pPr>
        <w:pStyle w:val="ListBullet"/>
        <w:spacing w:after="40"/>
      </w:pPr>
      <w:r>
        <w:t>No generated/fabricated photos presented as real NSS activities.</w:t>
      </w:r>
    </w:p>
    <w:p>
      <w:pPr>
        <w:pStyle w:val="ListBullet"/>
        <w:spacing w:after="40"/>
      </w:pPr>
      <w:r>
        <w:t>Acceptance: smooth mobile motion, correct reduced-motion behavior, working drawer controls, no sticky-header/image layout shifts, keyboard/contrast checks and truthful loading/error states.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23" w:bottom="1008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57067"/>
        <w:sz w:val="16"/>
      </w:rPr>
      <w:t xml:space="preserve">DOC-04 • NSS VIIT (A) •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57067"/>
        <w:sz w:val="16"/>
      </w:rPr>
      <w:t>NSS VIIT (A)  •  PROJECT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92D2A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A3C2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A3C2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A3C29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A3C29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