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T45: Training Feedback Analyser</w:t>
      </w:r>
    </w:p>
    <w:p>
      <w:pPr>
        <w:jc w:val="center"/>
      </w:pPr>
      <w:r>
        <w:t>Mini-project report | AI text analytics | Draft for review</w:t>
      </w:r>
    </w:p>
    <w:p>
      <w:r>
        <w:t>Data source: supplied synthetic training feedback dataset (300 responses). All organisations, people, and figures are fictional.</w:t>
      </w:r>
    </w:p>
    <w:p>
      <w:pPr>
        <w:pStyle w:val="Heading1"/>
      </w:pPr>
      <w:r>
        <w:t>1. Objective and approach</w:t>
      </w:r>
    </w:p>
    <w:p>
      <w:r>
        <w:t>The objective of this mini-project is to turn training feedback into actionable information for a learning and development manager. The build combines rating summaries with AI-assisted comment classification, a course redesign priority list, draft trainer feedback notes, and a human-validation workflow. The app is implemented as a Streamlit interface with pandas for tabular analysis and Gemini for comment-theme classification. The workbook remains the record for rating scorecards and manual checks.</w:t>
      </w:r>
    </w:p>
    <w:p>
      <w:r>
        <w:t>The five fixed themes are Content Relevance, Trainer Effectiveness, Pace of Session, Practical Application, and Training Facilities &amp; Equipment. A comment can receive more than one theme. Therefore, theme mention totals may exceed 300 responses and should not be interpreted as mutually exclusive groups.</w:t>
      </w:r>
    </w:p>
    <w:p>
      <w:pPr>
        <w:pStyle w:val="Heading1"/>
      </w:pPr>
      <w:r>
        <w:t>2. Rating results and course redesign priorities</w:t>
      </w:r>
    </w:p>
    <w:p>
      <w:r>
        <w:t>The course scorecard supplied for this project reports the following overall averages. Lower scores are used to prioritise investigation, not as automatic proof that a full redesign is required.</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Course</w:t>
            </w:r>
          </w:p>
        </w:tc>
        <w:tc>
          <w:tcPr>
            <w:tcW w:type="dxa" w:w="2520"/>
          </w:tcPr>
          <w:p>
            <w:r>
              <w:t>Responses</w:t>
            </w:r>
          </w:p>
        </w:tc>
        <w:tc>
          <w:tcPr>
            <w:tcW w:type="dxa" w:w="2520"/>
          </w:tcPr>
          <w:p>
            <w:r>
              <w:t>Overall average</w:t>
            </w:r>
          </w:p>
        </w:tc>
        <w:tc>
          <w:tcPr>
            <w:tcW w:type="dxa" w:w="2520"/>
          </w:tcPr>
          <w:p>
            <w:r>
              <w:t>Suggested priority</w:t>
            </w:r>
          </w:p>
        </w:tc>
      </w:tr>
      <w:tr>
        <w:tc>
          <w:tcPr>
            <w:tcW w:type="dxa" w:w="2520"/>
          </w:tcPr>
          <w:p>
            <w:r>
              <w:t>GenAI for Managers</w:t>
            </w:r>
          </w:p>
        </w:tc>
        <w:tc>
          <w:tcPr>
            <w:tcW w:type="dxa" w:w="2520"/>
          </w:tcPr>
          <w:p>
            <w:r>
              <w:t>53</w:t>
            </w:r>
          </w:p>
        </w:tc>
        <w:tc>
          <w:tcPr>
            <w:tcW w:type="dxa" w:w="2520"/>
          </w:tcPr>
          <w:p>
            <w:r>
              <w:t>3.59</w:t>
            </w:r>
          </w:p>
        </w:tc>
        <w:tc>
          <w:tcPr>
            <w:tcW w:type="dxa" w:w="2520"/>
          </w:tcPr>
          <w:p>
            <w:r>
              <w:t>1 — Investigate first</w:t>
            </w:r>
          </w:p>
        </w:tc>
      </w:tr>
      <w:tr>
        <w:tc>
          <w:tcPr>
            <w:tcW w:type="dxa" w:w="2520"/>
          </w:tcPr>
          <w:p>
            <w:r>
              <w:t>POSH Awareness</w:t>
            </w:r>
          </w:p>
        </w:tc>
        <w:tc>
          <w:tcPr>
            <w:tcW w:type="dxa" w:w="2520"/>
          </w:tcPr>
          <w:p>
            <w:r>
              <w:t>53</w:t>
            </w:r>
          </w:p>
        </w:tc>
        <w:tc>
          <w:tcPr>
            <w:tcW w:type="dxa" w:w="2520"/>
          </w:tcPr>
          <w:p>
            <w:r>
              <w:t>3.61</w:t>
            </w:r>
          </w:p>
        </w:tc>
        <w:tc>
          <w:tcPr>
            <w:tcW w:type="dxa" w:w="2520"/>
          </w:tcPr>
          <w:p>
            <w:r>
              <w:t>2 — Investigate second</w:t>
            </w:r>
          </w:p>
        </w:tc>
      </w:tr>
      <w:tr>
        <w:tc>
          <w:tcPr>
            <w:tcW w:type="dxa" w:w="2520"/>
          </w:tcPr>
          <w:p>
            <w:r>
              <w:t>Advanced Excel</w:t>
            </w:r>
          </w:p>
        </w:tc>
        <w:tc>
          <w:tcPr>
            <w:tcW w:type="dxa" w:w="2520"/>
          </w:tcPr>
          <w:p>
            <w:r>
              <w:t>40</w:t>
            </w:r>
          </w:p>
        </w:tc>
        <w:tc>
          <w:tcPr>
            <w:tcW w:type="dxa" w:w="2520"/>
          </w:tcPr>
          <w:p>
            <w:r>
              <w:t>3.68</w:t>
            </w:r>
          </w:p>
        </w:tc>
        <w:tc>
          <w:tcPr>
            <w:tcW w:type="dxa" w:w="2520"/>
          </w:tcPr>
          <w:p>
            <w:r>
              <w:t>3 — Targeted review</w:t>
            </w:r>
          </w:p>
        </w:tc>
      </w:tr>
      <w:tr>
        <w:tc>
          <w:tcPr>
            <w:tcW w:type="dxa" w:w="2520"/>
          </w:tcPr>
          <w:p>
            <w:r>
              <w:t>Consultative Selling</w:t>
            </w:r>
          </w:p>
        </w:tc>
        <w:tc>
          <w:tcPr>
            <w:tcW w:type="dxa" w:w="2520"/>
          </w:tcPr>
          <w:p>
            <w:r>
              <w:t>56</w:t>
            </w:r>
          </w:p>
        </w:tc>
        <w:tc>
          <w:tcPr>
            <w:tcW w:type="dxa" w:w="2520"/>
          </w:tcPr>
          <w:p>
            <w:r>
              <w:t>3.70</w:t>
            </w:r>
          </w:p>
        </w:tc>
        <w:tc>
          <w:tcPr>
            <w:tcW w:type="dxa" w:w="2520"/>
          </w:tcPr>
          <w:p>
            <w:r>
              <w:t>4 — Targeted review</w:t>
            </w:r>
          </w:p>
        </w:tc>
      </w:tr>
      <w:tr>
        <w:tc>
          <w:tcPr>
            <w:tcW w:type="dxa" w:w="2520"/>
          </w:tcPr>
          <w:p>
            <w:r>
              <w:t>Leadership Essentials</w:t>
            </w:r>
          </w:p>
        </w:tc>
        <w:tc>
          <w:tcPr>
            <w:tcW w:type="dxa" w:w="2520"/>
          </w:tcPr>
          <w:p>
            <w:r>
              <w:t>47</w:t>
            </w:r>
          </w:p>
        </w:tc>
        <w:tc>
          <w:tcPr>
            <w:tcW w:type="dxa" w:w="2520"/>
          </w:tcPr>
          <w:p>
            <w:r>
              <w:t>3.74</w:t>
            </w:r>
          </w:p>
        </w:tc>
        <w:tc>
          <w:tcPr>
            <w:tcW w:type="dxa" w:w="2520"/>
          </w:tcPr>
          <w:p>
            <w:r>
              <w:t>5 — Monitor and improve</w:t>
            </w:r>
          </w:p>
        </w:tc>
      </w:tr>
      <w:tr>
        <w:tc>
          <w:tcPr>
            <w:tcW w:type="dxa" w:w="2520"/>
          </w:tcPr>
          <w:p>
            <w:r>
              <w:t>Data Storytelling</w:t>
            </w:r>
          </w:p>
        </w:tc>
        <w:tc>
          <w:tcPr>
            <w:tcW w:type="dxa" w:w="2520"/>
          </w:tcPr>
          <w:p>
            <w:r>
              <w:t>51</w:t>
            </w:r>
          </w:p>
        </w:tc>
        <w:tc>
          <w:tcPr>
            <w:tcW w:type="dxa" w:w="2520"/>
          </w:tcPr>
          <w:p>
            <w:r>
              <w:t>3.84</w:t>
            </w:r>
          </w:p>
        </w:tc>
        <w:tc>
          <w:tcPr>
            <w:tcW w:type="dxa" w:w="2520"/>
          </w:tcPr>
          <w:p>
            <w:r>
              <w:t>6 — Maintain strengths</w:t>
            </w:r>
          </w:p>
        </w:tc>
      </w:tr>
    </w:tbl>
    <w:p>
      <w:r>
        <w:t>GenAI for Managers has the lowest overall score (3.59), followed by POSH Awareness (3.61). These courses should be reviewed first. For GenAI for Managers, the scorecard shows relatively low practical application (3.53) and content relevance (3.64), suggesting a review of job relevance, practical demonstrations, and take-away exercises. For POSH Awareness, overall performance is 3.61, with practical application at 3.58 and trainer effectiveness at 3.58; consider realistic scenario discussions and understanding checks. Advanced Excel has an overall score of 3.68 and practical application at 3.65, so a targeted review of the balance between theory and hands-on exercises is reasonable.</w:t>
      </w:r>
    </w:p>
    <w:p>
      <w:r>
        <w:t>Data Storytelling has the highest overall score (3.84), with likely-to-apply at 3.96. It is a relative strength and should be monitored rather than prioritised for major redesign. Before approving changes, the manager should consider sample size, individual item scores, written comments, delivery context, and any constraints not represented in the dataset.</w:t>
      </w:r>
    </w:p>
    <w:p>
      <w:pPr>
        <w:pStyle w:val="Heading1"/>
      </w:pPr>
      <w:r>
        <w:t>3. Comment themes and trainer feedback</w:t>
      </w:r>
    </w:p>
    <w:p>
      <w:r>
        <w:t>The comment taxonomy is designed to make short, repeated feedback statements easier to summarise. The app asks Gemini to return one or more exact theme labels and a brief evidence-based reason. The output is a suggestion for review rather than a verified ground-truth label. Human review is required, especially for comments containing more than one sentence or multiple issues.</w:t>
      </w:r>
    </w:p>
    <w:p>
      <w:r>
        <w:t>The current comment examples indicate several practical actions: adjust content difficulty for experienced participants; retain real workplace examples; manage session time so the ending is not rushed; increase hands-on practice where participants report too much theory; and check room noise and projector equipment before delivery. These actions should be confirmed against the complete set of comments and their actual theme counts before presenting them as quantified findings.</w:t>
      </w:r>
    </w:p>
    <w:p>
      <w:r>
        <w:t>Trainer-level averages in the supplied Trainer Notes are close to one another. Trainer 1 (internal) has content relevance 3.79, trainer effectiveness 3.58, pace 3.65, and likely to apply 3.65. Trainer 2 (external) has 3.72, 3.63, 3.73, and 3.63 respectively. Trainer 3 (external) has 3.73, 3.65, 3.78, and 3.78. For Trainer 1, trainer effectiveness is the lowest of the four metrics; a supportive coaching discussion could focus on participant engagement, questions, understanding checks, and interactive activities. These are draft recommendations and should be reviewed alongside trainer-specific comments before sharing.</w:t>
      </w:r>
    </w:p>
    <w:p>
      <w:pPr>
        <w:pStyle w:val="Heading1"/>
      </w:pPr>
      <w:r>
        <w:t>4. Validation, prompt iteration, and responsible AI</w:t>
      </w:r>
    </w:p>
    <w:p>
      <w:r>
        <w:t>The validation method compares the complete set of AI-assigned themes with a human-assigned set for each manually reviewed response. An exact match is counted only when both sets are identical; partial overlap is a mismatch under this strict measure. Exact-match accuracy is calculated as exact matches divided by completed manual checks. Rows without a completed human label must be excluded from the denominator.</w:t>
      </w:r>
    </w:p>
    <w:p>
      <w:r>
        <w:t>The current validation sheet marks a 30-response sample, but the final accuracy should be reported only after the human labels and mismatches have been reviewed. The present project materials do not establish a final model accuracy figure. Any accuracy value should be calculated from the final, checked sample and clearly labelled with its sample size and selection method.</w:t>
      </w:r>
    </w:p>
    <w:p>
      <w:r>
        <w:t>Three prompt-improvement rounds are documented in the accompanying AI Use Log: (1) a baseline fixed-theme prompt; (2) adding exact label names and stricter evidence rules to reduce unsupported themes; and (3) requiring strict JSON output and explicit handling of blank comments. These are proposed iteration rounds until the user runs them on the same sample and records actual before/after results. The report must be updated with observed outcomes rather than claiming unperformed tests.</w:t>
      </w:r>
    </w:p>
    <w:p>
      <w:r>
        <w:t>Responsible AI controls include using only synthetic teaching data, keeping the Gold Labels (evaluation) sheet away from the model, sending only comment text for theme classification, checking all numeric outputs against Excel, reviewing AI labels manually, and disclosing AI assistance. The model may omit themes, over-assign themes, or return invalid structured output. API availability, rate limits, and model changes can also affect operation.</w:t>
      </w:r>
    </w:p>
    <w:p>
      <w:pPr>
        <w:pStyle w:val="Heading1"/>
      </w:pPr>
      <w:r>
        <w:t>5. Recommendations and reflection</w:t>
      </w:r>
    </w:p>
    <w:p>
      <w:r>
        <w:t>Recommended next actions are: (1) review GenAI for Managers and POSH Awareness first; (2) increase practical exercises and realistic scenarios where supported by feedback; (3) improve session time management and equipment checks; (4) use trainer coaching to strengthen engagement and understanding checks; and (5) rerun the scorecard after the next delivery to see whether item scores and written feedback improve.</w:t>
      </w:r>
    </w:p>
    <w:p>
      <w:r>
        <w:t>The main learning from this project is that an LLM can speed up the first pass of comment coding, but it does not remove the need for a clear taxonomy, consistent prompts, and human verification. Rating averages provide a useful ranking signal but do not explain the causes of low scores by themselves. The strongest final submission will show the working app, the source workbook, a checked sample with transparent accuracy, a completed 15-entry AI Use Log, and actual evidence from three prompt rounds.</w:t>
      </w:r>
    </w:p>
    <w:p>
      <w:r>
        <w:t>Disclosure: AI-assisted drafting and coding were used to prepare parts of the project materials. This report is a draft. The user should verify all numbers against the final workbook, run the app, complete the prompt tests, and replace pending statements with actual evidence before submission.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