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40"/>
          <w:shd w:fill="FFFFFF" w:val="clear"/>
        </w:rPr>
      </w:pPr>
      <w:r>
        <w:rPr>
          <w:rFonts w:ascii="Calibri" w:hAnsi="Calibri" w:cs="Calibri" w:eastAsia="Calibri"/>
          <w:b/>
          <w:color w:val="auto"/>
          <w:spacing w:val="0"/>
          <w:position w:val="0"/>
          <w:sz w:val="28"/>
          <w:shd w:fill="FFFFFF" w:val="clear"/>
        </w:rPr>
        <w:t xml:space="preserve">                                                       </w:t>
      </w:r>
      <w:r>
        <w:rPr>
          <w:rFonts w:ascii="Calibri" w:hAnsi="Calibri" w:cs="Calibri" w:eastAsia="Calibri"/>
          <w:b/>
          <w:color w:val="auto"/>
          <w:spacing w:val="0"/>
          <w:position w:val="0"/>
          <w:sz w:val="40"/>
          <w:shd w:fill="FFFFFF" w:val="clear"/>
        </w:rPr>
        <w:t xml:space="preserve">Report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color w:val="auto"/>
          <w:spacing w:val="0"/>
          <w:position w:val="0"/>
          <w:sz w:val="40"/>
          <w:shd w:fill="FFFFFF" w:val="clear"/>
        </w:rPr>
        <w:t xml:space="preserve">                      </w:t>
      </w:r>
      <w:r>
        <w:rPr>
          <w:rFonts w:ascii="Calibri" w:hAnsi="Calibri" w:cs="Calibri" w:eastAsia="Calibri"/>
          <w:b/>
          <w:color w:val="auto"/>
          <w:spacing w:val="0"/>
          <w:position w:val="0"/>
          <w:sz w:val="28"/>
          <w:shd w:fill="FFFFFF" w:val="clear"/>
        </w:rPr>
        <w:t xml:space="preserve">Handling Missing Gender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 our dataset, a few records were found to have missing values in the 'gender' column, leaving them undefined in terms of male or female classification. Given that we had a substantial number of male records (53), a decision was made to default these incomplete records to 'F' (female) as a pragmatic approach to maintain dataset consistency and balance. This choice ensures that all records are classified and facilitates further analysis of the dataset.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              height  weight    age Gender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Unnamed: 25    66.0   160.0  308.0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Unnamed: 26    70.0   158.0  283.0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Unnamed: 68    68.5   124.0  265.0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Unnamed: 80    69.0   156.0  286.0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Comparative Analysis of Library and Custom Scratch KNN Implementation: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our study of K-Nearest Neighbors (KNN) classification for predicting gender based on height, weight, and age, we conducted a comparative analysis between library functions and a custom scratch implementation. This analysis aimed to assess the performance and accuracy of both approaches under various distance metrics and parameter settings.</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11880" w:dyaOrig="10728">
          <v:rect xmlns:o="urn:schemas-microsoft-com:office:office" xmlns:v="urn:schemas-microsoft-com:vml" id="rectole0000000000" style="width:594.000000pt;height:53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Cartesian Distance: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observed that the accuracy of the library function was consistently high across different parameter settings. Remarkably, the custom scratch implementation yielded accuracy results that were nearly on par with the library function, differing by a marginal 0.1. Notably, in the case of Cartesian distance, the library function exhibited a slight advantage in accuracy over the scratch version.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Furthermore, upon examining the confusion matrix, we noted that the library function consistently displayed higher sums of true positives (TP) and true negatives (TN) compared to the scratch version, reflecting its superior ability to correctly classify instances using the Cartesian distance metric.</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13478" w:dyaOrig="8022">
          <v:rect xmlns:o="urn:schemas-microsoft-com:office:office" xmlns:v="urn:schemas-microsoft-com:vml" id="rectole0000000001" style="width:673.900000pt;height:401.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Manhattan Distance: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case of Manhattan distance, we observed that both the library function and the custom scratch implementation produced similar accuracy results, with minor variations. However, an interesting observation emerged when k was set to 4, where the library function outperformed the scratch version, indicating a slight discrepancy in their performance under specific parameter settings.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confusion matrix analysis for Manhattan distance revealed that the sums of TP and TN were identical between the library function and the scratch version, suggesting consistent performance in correctly classifying instances using this metric.</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13478" w:dyaOrig="7892">
          <v:rect xmlns:o="urn:schemas-microsoft-com:office:office" xmlns:v="urn:schemas-microsoft-com:vml" id="rectole0000000002" style="width:673.900000pt;height:39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Minkowski Distance: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Under the Minkowski distance metric, we observed a slight difference in accuracy between the library function and the scratch implementation. Overall, the library function demonstrated a higher level of accuracy compared to the custom scratch implementation when using Minkowski distance.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differences in the confusion matrices were subtle, with the library function generally exhibiting a slight advantage in terms of TP and TN sums.</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13478" w:dyaOrig="8022">
          <v:rect xmlns:o="urn:schemas-microsoft-com:office:office" xmlns:v="urn:schemas-microsoft-com:vml" id="rectole0000000003" style="width:673.900000pt;height:401.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summary, our comparative analysis of KNN classification using library functions and custom scratch implementations revealed interesting insights. The library functions consistently delivered high accuracy across various distance metrics, with the custom scratch implementation closely following suit. However, the library function displayed a slight advantage in accuracy under specific conditions.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Manhattan distance demonstrated comparable performance between both approaches, differences emerged in the case of Minkowski distance, where the library function consistently achieved higher accuracy. Additionally, the confusion matrix analysis highlighted the library function's proficiency in correctly classifying instances, particularly evident in Cartesian distance.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findings underscore the effectiveness of library functions in KNN classification while acknowledging the viability of custom implementations, with minor differences in performance. Further optimization and tuning of the custom implementation could potentially bridge the accuracy gap observed in certain scenarios.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Comparison of single test record both Library and Scratch: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Height 65 inches, Weight: 150 lbs , Age: 300 months. </w:t>
      </w:r>
      <w:r>
        <w:rPr>
          <w:rFonts w:ascii="Calibri" w:hAnsi="Calibri" w:cs="Calibri" w:eastAsia="Calibri"/>
          <w:color w:val="auto"/>
          <w:spacing w:val="0"/>
          <w:position w:val="0"/>
          <w:sz w:val="22"/>
          <w:shd w:fill="auto" w:val="clear"/>
        </w:rPr>
        <w:t xml:space="preserve"> </w:t>
      </w:r>
      <w:r>
        <w:object w:dxaOrig="11880" w:dyaOrig="10728">
          <v:rect xmlns:o="urn:schemas-microsoft-com:office:office" xmlns:v="urn:schemas-microsoft-com:vml" id="rectole0000000004" style="width:594.000000pt;height:536.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study evaluated K-Nearest Neighbors (KNN) classification for predicting gender using both library functions and a custom scratch implementation. Key observations include accuracy ranging from 0.5 to 0.7 across Cartesian, Manhattan, and Minkowski distance metrics in both implementations.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case of Cartesian distance, similar accuracy levels were achieved at k=2, with minimal differences observed for other k-values. However, the performance of the custom scratch version surpassed that of the library function in the Manhattan distance, particularly on the test dataset.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Notably, the library function demonstrated equal or superior performance to the scratch version under Minkowski distance. When examining the confusion matrices, the library function showed higher true positives (TP), whereas the scratch version exhibited a higher true negative (TN) percentage. Additionally, the scratch version displayed a lower sum of false positives (FP) and false negatives (FN).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our findings highlight nuanced differences in performance between library and custom KNN implementations, with strengths and weaknesses observed in each, suggesting opportunities for optimization and further study.</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667" w:dyaOrig="4268">
          <v:rect xmlns:o="urn:schemas-microsoft-com:office:office" xmlns:v="urn:schemas-microsoft-com:vml" id="rectole0000000005" style="width:533.350000pt;height:213.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589" w:dyaOrig="4291">
          <v:rect xmlns:o="urn:schemas-microsoft-com:office:office" xmlns:v="urn:schemas-microsoft-com:vml" id="rectole0000000006" style="width:529.450000pt;height:214.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10667" w:dyaOrig="4412">
          <v:rect xmlns:o="urn:schemas-microsoft-com:office:office" xmlns:v="urn:schemas-microsoft-com:vml" id="rectole0000000007" style="width:533.350000pt;height:220.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