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sz w:val="30"/>
          <w:szCs w:val="30"/>
        </w:rPr>
        <w:t xml:space="preserve">How well do animal models predict human clinical outcomes?</w:t>
      </w:r>
    </w:p>
    <w:p>
      <w:pPr>
        <w:spacing w:after="80"/>
      </w:pPr>
      <w:r>
        <w:rPr>
          <w:rFonts w:ascii="Calibri" w:cs="Calibri" w:eastAsia="Calibri" w:hAnsi="Calibri"/>
          <w:color w:val="444444"/>
          <w:sz w:val="18"/>
          <w:szCs w:val="18"/>
        </w:rPr>
        <w:t xml:space="preserve">Evidence by assessment and model organism. Each figure is reported as the study reported it, in its own units. Nothing is averaged across studies; a range spans only figures measuring the same thing. Grouped labels such as “rodent” are kept as reported and never expanded into member species. Each row opens with a synthesis of what the evidence shows; the underlying figures follow. Study names link to PubMed.</w:t>
      </w:r>
    </w:p>
    <w:p>
      <w:pPr>
        <w:spacing w:after="200"/>
      </w:pPr>
      <w:r>
        <w:rPr>
          <w:rFonts w:ascii="Calibri" w:cs="Calibri" w:eastAsia="Calibri" w:hAnsi="Calibri"/>
          <w:color w:val="444444"/>
          <w:sz w:val="18"/>
          <w:szCs w:val="18"/>
        </w:rPr>
        <w:t xml:space="preserve">Source: </w:t>
      </w:r>
      <w:hyperlink w:history="1" r:id="rIdfglnypaeohdlzw9bfnb5b">
        <w:r>
          <w:rPr>
            <w:rFonts w:ascii="Calibri" w:cs="Calibri" w:eastAsia="Calibri" w:hAnsi="Calibri"/>
            <w:color w:val="1155CC"/>
            <w:sz w:val="18"/>
            <w:szCs w:val="18"/>
            <w:u w:val="single"/>
          </w:rPr>
          <w:t xml:space="preserve">rohitium.github.io/animal-model-concordance</w:t>
        </w:r>
      </w:hyperlink>
      <w:r>
        <w:rPr>
          <w:rFonts w:ascii="Calibri" w:cs="Calibri" w:eastAsia="Calibri" w:hAnsi="Calibri"/>
          <w:color w:val="444444"/>
          <w:sz w:val="18"/>
          <w:szCs w:val="18"/>
        </w:rPr>
        <w:t xml:space="preserve">  ·  Not peer reviewed. Screening and extraction were model-assisted and have not been verified by a second reader. Verdict reliability: two independent raters agree on 73% of studies (Cohen’s kappa 0.58).</w:t>
      </w:r>
    </w:p>
    <w:tbl>
      <w:tblPr>
        <w:tblW w:type="dxa" w:w="13440"/>
        <w:tblBorders>
          <w:top w:val="single" w:color="C9CFD6" w:sz="2"/>
          <w:left w:val="single" w:color="C9CFD6" w:sz="2"/>
          <w:bottom w:val="single" w:color="C9CFD6" w:sz="2"/>
          <w:right w:val="single" w:color="C9CFD6" w:sz="2"/>
          <w:insideH w:val="single" w:color="C9CFD6" w:sz="2"/>
          <w:insideV w:val="single" w:color="C9CFD6" w:sz="2"/>
        </w:tblBorders>
      </w:tblPr>
      <w:tblGrid>
        <w:gridCol w:w="1700"/>
        <w:gridCol w:w="1500"/>
        <w:gridCol w:w="10240"/>
      </w:tblGrid>
      <w:tr>
        <w:trPr>
          <w:tblHeader/>
        </w:trPr>
        <w:tc>
          <w:tcPr>
            <w:tcW w:type="dxa" w:w="170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Assessment</w:t>
            </w:r>
          </w:p>
        </w:tc>
        <w:tc>
          <w:tcPr>
            <w:tcW w:type="dxa" w:w="150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Model organism</w:t>
            </w:r>
          </w:p>
        </w:tc>
        <w:tc>
          <w:tcPr>
            <w:tcW w:type="dxa" w:w="1024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Evidence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rodent</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2 does not support</w:t>
            </w:r>
          </w:p>
          <w:p>
            <w:pPr>
              <w:spacing w:after="0"/>
            </w:pPr>
            <w:r>
              <w:rPr>
                <w:rFonts w:ascii="Calibri" w:cs="Calibri" w:eastAsia="Calibri" w:hAnsi="Calibri"/>
                <w:color w:val="666666"/>
                <w:sz w:val="16"/>
                <w:szCs w:val="16"/>
              </w:rPr>
              <w:t xml:space="preserve">2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Rodent efficacy studies often report positive effects—62% of focal and 70% of global ischemia experiments were superior to control (O'Collins et al. 2006), and several clinical drug classes reproduced benefits in rodents (Sembach et al. 2021). However, translation is inconsistent: reported translation rates spanned 0–100% (Ritskes‑Hoitinga et al. 2022) and rodent→human concordance for liver effects was 44% (Leenaars et al. 2019).</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Range reflects heterogeneity across interventions, models, outcomes and likely selective reporting/publication bias noted by the authors.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3–74%</w:t>
            </w:r>
            <w:r>
              <w:rPr>
                <w:rFonts w:ascii="Calibri" w:cs="Calibri" w:eastAsia="Calibri" w:hAnsi="Calibri"/>
                <w:sz w:val="18"/>
                <w:szCs w:val="18"/>
              </w:rPr>
              <w:t xml:space="preserve">  proportion — 9 comparisons, median 26% — lowest neuroprotective efficacy in culture models (inferior to control) (3%), highest neuroprotective efficacy in culture models (superior to control) (74%) (</w:t>
            </w:r>
            <w:hyperlink w:history="1" r:id="rIdnl4x6g8d7i0dgscnvu-hd">
              <w:r>
                <w:rPr>
                  <w:rFonts w:ascii="Calibri" w:cs="Calibri" w:eastAsia="Calibri" w:hAnsi="Calibri"/>
                  <w:color w:val="1155CC"/>
                  <w:sz w:val="18"/>
                  <w:szCs w:val="18"/>
                  <w:u w:val="single"/>
                </w:rPr>
                <w:t xml:space="preserve">O'Collins et al. 2006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24.4–31.3%</w:t>
            </w:r>
            <w:r>
              <w:rPr>
                <w:rFonts w:ascii="Calibri" w:cs="Calibri" w:eastAsia="Calibri" w:hAnsi="Calibri"/>
                <w:sz w:val="18"/>
                <w:szCs w:val="18"/>
              </w:rPr>
              <w:t xml:space="preserve">  mean — 2 comparisons, median 27.85% — lowest improvement in focal models for drugs tested only in animal models vs. drugs tested clinically (24.4%), highest improvement in focal models for drugs tested clinically vs. drugs tested only in animal models (31.3%) (</w:t>
            </w:r>
            <w:hyperlink w:history="1" r:id="rIdvrpqki8fqw9aylil82jpg">
              <w:r>
                <w:rPr>
                  <w:rFonts w:ascii="Calibri" w:cs="Calibri" w:eastAsia="Calibri" w:hAnsi="Calibri"/>
                  <w:color w:val="1155CC"/>
                  <w:sz w:val="18"/>
                  <w:szCs w:val="18"/>
                  <w:u w:val="single"/>
                </w:rPr>
                <w:t xml:space="preserve">O'Collins et al. 2006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44%</w:t>
            </w:r>
            <w:r>
              <w:rPr>
                <w:rFonts w:ascii="Calibri" w:cs="Calibri" w:eastAsia="Calibri" w:hAnsi="Calibri"/>
                <w:sz w:val="18"/>
                <w:szCs w:val="18"/>
              </w:rPr>
              <w:t xml:space="preserve">  concordance rate, n=951 compounds — concordance of liver effects (</w:t>
            </w:r>
            <w:hyperlink w:history="1" r:id="rIdakcfbfiu1b9izt-vkfpj4">
              <w:r>
                <w:rPr>
                  <w:rFonts w:ascii="Calibri" w:cs="Calibri" w:eastAsia="Calibri" w:hAnsi="Calibri"/>
                  <w:color w:val="1155CC"/>
                  <w:sz w:val="18"/>
                  <w:szCs w:val="18"/>
                  <w:u w:val="single"/>
                </w:rPr>
                <w:t xml:space="preserve">Leenaars et al. 2019</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high percentage of positive findings in animal studies (82%) is likely inflated due to publication bias and selective reporting, as noted by the authors. The range of translation rates (0-100%) indicates high variability and unreliability.</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does not support</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Mixed evidence: Spanagel 2017 reports three alcoholism drugs translated from rodent models (acamprosate, naltrexone, nalmefene) and consistent opioid-blockade effects in mice/rats; Pan et al. 2020 finds mouse tumor TGI does not predict approval (median 0.74 vs 0.77; AUC 0.45). Pan et al. cautions few approved drugs and TGI heterogeneity may limit inference.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0.74–0.9</w:t>
            </w:r>
            <w:r>
              <w:rPr>
                <w:rFonts w:ascii="Calibri" w:cs="Calibri" w:eastAsia="Calibri" w:hAnsi="Calibri"/>
                <w:sz w:val="18"/>
                <w:szCs w:val="18"/>
              </w:rPr>
              <w:t xml:space="preserve">  or — 3 comparisons, median 0.84 — lowest Odds Ratio for drug success (Q4 TGI vs Q1 TGI) (0.74), highest Odds Ratio for drug success (Q3 TGI vs Q1 TGI) (0.9) (</w:t>
            </w:r>
            <w:hyperlink w:history="1" r:id="rIdrtnvv980rucxz0jujtrsj">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0.74–0.77</w:t>
            </w:r>
            <w:r>
              <w:rPr>
                <w:rFonts w:ascii="Calibri" w:cs="Calibri" w:eastAsia="Calibri" w:hAnsi="Calibri"/>
                <w:sz w:val="18"/>
                <w:szCs w:val="18"/>
              </w:rPr>
              <w:t xml:space="preserve">  median — TGI values for approved vs. failed drugs (</w:t>
            </w:r>
            <w:hyperlink w:history="1" r:id="rIdb48fitmc0aalwtvyvs7nm">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0.375–0.636</w:t>
            </w:r>
            <w:r>
              <w:rPr>
                <w:rFonts w:ascii="Calibri" w:cs="Calibri" w:eastAsia="Calibri" w:hAnsi="Calibri"/>
                <w:sz w:val="18"/>
                <w:szCs w:val="18"/>
              </w:rPr>
              <w:t xml:space="preserve">  p-value — 2 comparisons, median 0.5055 — lowest Statistical significance of TGI difference between approved and failed drugs (0.375), highest P-trend for TGI and drug success (0.636) (</w:t>
            </w:r>
            <w:hyperlink w:history="1" r:id="rIdvgwfl2ga7iypfiqtoe__q">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0.45</w:t>
            </w:r>
            <w:r>
              <w:rPr>
                <w:rFonts w:ascii="Calibri" w:cs="Calibri" w:eastAsia="Calibri" w:hAnsi="Calibri"/>
                <w:sz w:val="18"/>
                <w:szCs w:val="18"/>
              </w:rPr>
              <w:t xml:space="preserve">  auc — Area Under the Curve (AUC) for TGI predicting success (</w:t>
            </w:r>
            <w:hyperlink w:history="1" r:id="rIdcmvxsnghddemzdzkj3a70">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study notes that there is a naturally low proportion of approved drugs compared to failed drugs, which may make comparisons between the two drug classes less robust due to sparse data for the approved category. Also, the variability in TGI measurement across studies due to lack of standardized criteria may have affected the results.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2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Rat efficacy findings are mixed: some rat-based results translated (three medications—acamprosate, naltrexone, nalmefene—and the incubation of drug‑seeking seen later in smokers, alcoholics, and cocaine addicts), but other rat‑effective agents failed clinically. Concordance depends on drug class and endpoint (e.g., 2 CRH‑R1 antagonists, KOR antagonists and buspirone failed; d‑amphetamine matched).</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Concordance varies by drug class and outcome (behavioral vs neurochemical): some neurochemical markers and certain medications translate, while several antagonist classes failed clinically.</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NHP drug-vs-food choice studies partially track human efficacy: d-amphetamine reduced cocaine choice in both humans and NHPs, but KOR antagonists and buspirone did not attenuate cocaine/methamphetamine/heroin choice. Females showed greater cocaine preference than males.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Results differ by drug class, substance (stimulant vs opioid), and acute versus repeated dosing.</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non-rodent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TOO LITTLE EVIDENCE</w:t>
            </w:r>
          </w:p>
          <w:p>
            <w:pPr>
              <w:spacing w:after="60"/>
            </w:pPr>
            <w:r>
              <w:rPr>
                <w:rFonts w:ascii="Calibri" w:cs="Calibri" w:eastAsia="Calibri" w:hAnsi="Calibri"/>
                <w:sz w:val="18"/>
                <w:szCs w:val="18"/>
              </w:rPr>
              <w:t xml:space="preserve">No direct efficacy data; Leenaars et al. 2019 reports toxicity concordance instead, finding non‑rodent–human concordance for liver effects 40% (n=951). The study also reports 48% of adverse drug reactions were predictable from animal data (n=221) and notes predictivity higher for non‑rodents than rodents.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40%</w:t>
            </w:r>
            <w:r>
              <w:rPr>
                <w:rFonts w:ascii="Calibri" w:cs="Calibri" w:eastAsia="Calibri" w:hAnsi="Calibri"/>
                <w:sz w:val="18"/>
                <w:szCs w:val="18"/>
              </w:rPr>
              <w:t xml:space="preserve">  concordance rate, n=951 compounds — concordance of liver effects (</w:t>
            </w:r>
            <w:hyperlink w:history="1" r:id="rIdqecpzz43bjbhvkfgzdhrn">
              <w:r>
                <w:rPr>
                  <w:rFonts w:ascii="Calibri" w:cs="Calibri" w:eastAsia="Calibri" w:hAnsi="Calibri"/>
                  <w:color w:val="1155CC"/>
                  <w:sz w:val="18"/>
                  <w:szCs w:val="18"/>
                  <w:u w:val="single"/>
                </w:rPr>
                <w:t xml:space="preserve">Leenaars et al. 2019</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sheep</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Perel et al. 2007: in ewe models antenatal corticosteroids increased neonatal mortality (pooled OR 12.5, 95% CI 1.9–79.2), so sheep results did not match human trials (no benefit). The estimate is very imprecise (wide CI).</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The wide confidence interval reflects imprecision from small numbers/few ewe studies.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12.5</w:t>
            </w:r>
            <w:r>
              <w:rPr>
                <w:rFonts w:ascii="Calibri" w:cs="Calibri" w:eastAsia="Calibri" w:hAnsi="Calibri"/>
                <w:sz w:val="18"/>
                <w:szCs w:val="18"/>
              </w:rPr>
              <w:t xml:space="preserve">  odds ratio — Antenatal corticosteroids: neonatal mortality in ewe models (pooled odds ratio) (</w:t>
            </w:r>
            <w:hyperlink w:history="1" r:id="rIdmz47fwgpjgbpyqdn1ob1o">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6 studies</w:t>
            </w:r>
          </w:p>
          <w:p>
            <w:pPr>
              <w:spacing w:after="0"/>
            </w:pPr>
            <w:r>
              <w:rPr>
                <w:rFonts w:ascii="Calibri" w:cs="Calibri" w:eastAsia="Calibri" w:hAnsi="Calibri"/>
                <w:color w:val="666666"/>
                <w:sz w:val="16"/>
                <w:szCs w:val="16"/>
              </w:rPr>
              <w:t xml:space="preserve">3 partly supports</w:t>
            </w:r>
          </w:p>
          <w:p>
            <w:pPr>
              <w:spacing w:after="0"/>
            </w:pPr>
            <w:r>
              <w:rPr>
                <w:rFonts w:ascii="Calibri" w:cs="Calibri" w:eastAsia="Calibri" w:hAnsi="Calibri"/>
                <w:color w:val="666666"/>
                <w:sz w:val="16"/>
                <w:szCs w:val="16"/>
              </w:rPr>
              <w:t xml:space="preserve">3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dogs can predict or exclude some toxicities (LR+ 6.11 for cardiac disorders; 60% post-test odds for QT; Clark et al. 2018) but overall predictive power is modest—median PPV ≈0.67 and NPV ≈0.52 (Atkins et al. 2020). Absence of dog toxicity raised probability of no human toxicity to only ~72% (Bailey et al. 2019); species- and endpoint-specific differences reported (Jang et al. 2019).</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toxicity endpoint, severity and dataset (e.g., cardiac/QT vs subjective 'other' events; Liver‑Chip case studies vs regulatory databases).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15–96%</w:t>
            </w:r>
            <w:r>
              <w:rPr>
                <w:rFonts w:ascii="Calibri" w:cs="Calibri" w:eastAsia="Calibri" w:hAnsi="Calibri"/>
                <w:sz w:val="18"/>
                <w:szCs w:val="18"/>
              </w:rPr>
              <w:t xml:space="preserve">  npv — 12 comparisons, median 91% — lowest NPV for 'Other' (15%), highest NPV for Pulmonary (96%) (</w:t>
            </w:r>
            <w:hyperlink w:history="1" r:id="rIdzqw1ml7f-46grta33skni">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0–52%</w:t>
            </w:r>
            <w:r>
              <w:rPr>
                <w:rFonts w:ascii="Calibri" w:cs="Calibri" w:eastAsia="Calibri" w:hAnsi="Calibri"/>
                <w:sz w:val="18"/>
                <w:szCs w:val="18"/>
              </w:rPr>
              <w:t xml:space="preserve">  ppv — 10 comparisons, median 39.5% — lowest PPV for Pulmonary (0%), highest PPV for Nervous system (52%) (</w:t>
            </w:r>
            <w:hyperlink w:history="1" r:id="rIdbsipmgd_9jsh92x06wytq">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3–10</w:t>
            </w:r>
            <w:r>
              <w:rPr>
                <w:rFonts w:ascii="Calibri" w:cs="Calibri" w:eastAsia="Calibri" w:hAnsi="Calibri"/>
                <w:sz w:val="18"/>
                <w:szCs w:val="18"/>
              </w:rPr>
              <w:t xml:space="preserve">  more potent — JNJ-3 induced albumin secretion decrease in dog Liver-Chip vs human Liver-Chip (</w:t>
            </w:r>
            <w:hyperlink w:history="1" r:id="rIdjr2t-bewggrkmvx2fys_z">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30–40%</w:t>
            </w:r>
            <w:r>
              <w:rPr>
                <w:rFonts w:ascii="Calibri" w:cs="Calibri" w:eastAsia="Calibri" w:hAnsi="Calibri"/>
                <w:sz w:val="18"/>
                <w:szCs w:val="18"/>
              </w:rPr>
              <w:t xml:space="preserve">  pru — 2 comparisons, median 35% — lowest Proportionate Reduction in Uncertainty (PRU) for GI (Dog) (30%), highest Proportionate Reduction in Uncertainty (PRU) for Nervous System (Dog) (40%) (</w:t>
            </w:r>
            <w:hyperlink w:history="1" r:id="rIdilqwxdgkvapi68u0okodp">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0.38–0.67</w:t>
            </w:r>
            <w:r>
              <w:rPr>
                <w:rFonts w:ascii="Calibri" w:cs="Calibri" w:eastAsia="Calibri" w:hAnsi="Calibri"/>
                <w:sz w:val="18"/>
                <w:szCs w:val="18"/>
              </w:rPr>
              <w:t xml:space="preserve">  median ppv — 2 comparisons, median 0.525 — lowest PPV for grade 3 and 4 toxicities (0.38), highest PPV for all toxicity grades (0.67) (</w:t>
            </w:r>
            <w:hyperlink w:history="1" r:id="rIdimfx0zfcatf4hookgsnud">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0.52–0.71</w:t>
            </w:r>
            <w:r>
              <w:rPr>
                <w:rFonts w:ascii="Calibri" w:cs="Calibri" w:eastAsia="Calibri" w:hAnsi="Calibri"/>
                <w:sz w:val="18"/>
                <w:szCs w:val="18"/>
              </w:rPr>
              <w:t xml:space="preserve">  median npv — 2 comparisons, median 0.615 — lowest NPV for all toxicity grades (0.52), highest NPV for grade 3 and 4 toxicities (0.71) (</w:t>
            </w:r>
            <w:hyperlink w:history="1" r:id="rIdvsv0biujlb1rvu3roy2xb">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71% prediction rate for toxicities in humans by animal models is an overall figure and does not specify the type of toxicity or the specific animal species involved in each case. The IC50 values are for a specific drug (bosentan) and a specific endpoint (albumin secretion decrease). The JNJ-2 and JNJ-3 comparisons are for specific compounds and endpoints, and the JNJ-3 comparison notes that in vivo data for JNJ-2 in dogs or JNJ-3 in rats were not available.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5 studies</w:t>
            </w:r>
          </w:p>
          <w:p>
            <w:pPr>
              <w:spacing w:after="0"/>
            </w:pPr>
            <w:r>
              <w:rPr>
                <w:rFonts w:ascii="Calibri" w:cs="Calibri" w:eastAsia="Calibri" w:hAnsi="Calibri"/>
                <w:color w:val="666666"/>
                <w:sz w:val="16"/>
                <w:szCs w:val="16"/>
              </w:rPr>
              <w:t xml:space="preserve">3 does not support</w:t>
            </w:r>
          </w:p>
          <w:p>
            <w:pPr>
              <w:spacing w:after="0"/>
            </w:pPr>
            <w:r>
              <w:rPr>
                <w:rFonts w:ascii="Calibri" w:cs="Calibri" w:eastAsia="Calibri" w:hAnsi="Calibri"/>
                <w:color w:val="666666"/>
                <w:sz w:val="16"/>
                <w:szCs w:val="16"/>
              </w:rPr>
              <w:t xml:space="preserve">2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NHPs can predict some human toxicities (Clark et al. 2018 LR+ 9.52–11.02 for cardiac/hepatobiliary) but overall performance is modest—Monticello et al. 2017 sensitivity 48%, NPV 86%; Atkins et al. 2020 median PPV 0.72, NPV 0.50.</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organ system and toxicity grade—some endpoints show high LR+ (cardiac/hepatobiliary) while overall PPVs and sensitivities are much lower; low clinical positive prevalence inflates NPVs.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16–97%</w:t>
            </w:r>
            <w:r>
              <w:rPr>
                <w:rFonts w:ascii="Calibri" w:cs="Calibri" w:eastAsia="Calibri" w:hAnsi="Calibri"/>
                <w:sz w:val="18"/>
                <w:szCs w:val="18"/>
              </w:rPr>
              <w:t xml:space="preserve">  npv — 14 comparisons, median 87.5% — lowest NPV for 'Other' (16%), highest NPV for Ophthalmology (97%) (</w:t>
            </w:r>
            <w:hyperlink w:history="1" r:id="rIdnlyzocuxttqt3hikfd9kf">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0–91%</w:t>
            </w:r>
            <w:r>
              <w:rPr>
                <w:rFonts w:ascii="Calibri" w:cs="Calibri" w:eastAsia="Calibri" w:hAnsi="Calibri"/>
                <w:sz w:val="18"/>
                <w:szCs w:val="18"/>
              </w:rPr>
              <w:t xml:space="preserve">  ppv — 13 comparisons, median 43% — lowest PPV for Musculoskeletal (0%), highest PPV for Gastrointestinal (91%) (</w:t>
            </w:r>
            <w:hyperlink w:history="1" r:id="rIdbccyiil3neeu70exm7tno">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60–80%</w:t>
            </w:r>
            <w:r>
              <w:rPr>
                <w:rFonts w:ascii="Calibri" w:cs="Calibri" w:eastAsia="Calibri" w:hAnsi="Calibri"/>
                <w:sz w:val="18"/>
                <w:szCs w:val="18"/>
              </w:rPr>
              <w:t xml:space="preserve">  pru — 2 comparisons, median 70% — lowest Proportionate Reduction in Uncertainty (PRU) for GI (Monkey) (60%), highest Proportionate Reduction in Uncertainty (PRU) for Nervous System (Monkey) (80%) (</w:t>
            </w:r>
            <w:hyperlink w:history="1" r:id="rIdi1n1ybumppo05x-a7txlm">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0.6–0.72</w:t>
            </w:r>
            <w:r>
              <w:rPr>
                <w:rFonts w:ascii="Calibri" w:cs="Calibri" w:eastAsia="Calibri" w:hAnsi="Calibri"/>
                <w:sz w:val="18"/>
                <w:szCs w:val="18"/>
              </w:rPr>
              <w:t xml:space="preserve">  median ppv — 2 comparisons, median 0.66 — lowest PPV for grade 3 and 4 toxicities (0.6), highest PPV for all toxicity grades (0.72) (</w:t>
            </w:r>
            <w:hyperlink w:history="1" r:id="rIdusfmdpevqbkpcwje9wleo">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0.5–0.73</w:t>
            </w:r>
            <w:r>
              <w:rPr>
                <w:rFonts w:ascii="Calibri" w:cs="Calibri" w:eastAsia="Calibri" w:hAnsi="Calibri"/>
                <w:sz w:val="18"/>
                <w:szCs w:val="18"/>
              </w:rPr>
              <w:t xml:space="preserve">  median npv — 2 comparisons, median 0.615 — lowest NPV for all toxicity grades (0.5), highest NPV for grade 3 and 4 toxicities (0.73) (</w:t>
            </w:r>
            <w:hyperlink w:history="1" r:id="rIdba4q1_mdjndfur4rai6m1">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9.52–11.02</w:t>
            </w:r>
            <w:r>
              <w:rPr>
                <w:rFonts w:ascii="Calibri" w:cs="Calibri" w:eastAsia="Calibri" w:hAnsi="Calibri"/>
                <w:sz w:val="18"/>
                <w:szCs w:val="18"/>
              </w:rPr>
              <w:t xml:space="preserve">  lr+ — 2 comparisons, median 10.27 — lowest Likelihood Ratio for cynomolgus monkey, Cardiac disorders (9.52), highest Likelihood Ratio for cynomolgus monkey, Hepatobiliary disorders (11.02) (</w:t>
            </w:r>
            <w:hyperlink w:history="1" r:id="rIdbzxjqig-txvjrvgz6u0e0">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high Negative Predictive Value (NPV) is largely based on the low clinical positive prevalence, meaning most findings are negative.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2 partly supports</w:t>
            </w:r>
          </w:p>
          <w:p>
            <w:pPr>
              <w:spacing w:after="0"/>
            </w:pPr>
            <w:r>
              <w:rPr>
                <w:rFonts w:ascii="Calibri" w:cs="Calibri" w:eastAsia="Calibri" w:hAnsi="Calibri"/>
                <w:color w:val="666666"/>
                <w:sz w:val="16"/>
                <w:szCs w:val="16"/>
              </w:rPr>
              <w:t xml:space="preserve">2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some metrics show modest rat→human concordance (Jang et al. 2019: 71% of human toxicities predicted by rat+dog testing; Atkins et al. 2020: rat median PPV=0.65; Clark et al. 2018: rat LR+ for cardiac=4.73). However, discrimination is poor for severe toxicities (Atkins PPV grade3–4=0.41) and absence of rat toxicity gives little evidential weight for absence in humans (Bailey et al. 2015: rat iNLR=1.82).</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Estimates vary because studies use different metrics (PPV/NPV/LR/iNLR), endpoints and toxicity severities.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2.5–4.73</w:t>
            </w:r>
            <w:r>
              <w:rPr>
                <w:rFonts w:ascii="Calibri" w:cs="Calibri" w:eastAsia="Calibri" w:hAnsi="Calibri"/>
                <w:sz w:val="18"/>
                <w:szCs w:val="18"/>
              </w:rPr>
              <w:t xml:space="preserve">  lr+ — 3 comparisons, median 2.74 — lowest Likelihood Ratio for Pain (rat) (2.5), highest Likelihood Ratio for rat, Cardiac disorders (4.73) (</w:t>
            </w:r>
            <w:hyperlink w:history="1" r:id="rIdtr3kicrtckfh97rd9j0nt">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0.41–0.65</w:t>
            </w:r>
            <w:r>
              <w:rPr>
                <w:rFonts w:ascii="Calibri" w:cs="Calibri" w:eastAsia="Calibri" w:hAnsi="Calibri"/>
                <w:sz w:val="18"/>
                <w:szCs w:val="18"/>
              </w:rPr>
              <w:t xml:space="preserve">  median ppv — 2 comparisons, median 0.53 — lowest PPV for grade 3 and 4 toxicities (0.41), highest PPV for all toxicity grades (0.65) (</w:t>
            </w:r>
            <w:hyperlink w:history="1" r:id="rIdmjfmlh8s25wgtztzxf8ws">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0.51–0.72</w:t>
            </w:r>
            <w:r>
              <w:rPr>
                <w:rFonts w:ascii="Calibri" w:cs="Calibri" w:eastAsia="Calibri" w:hAnsi="Calibri"/>
                <w:sz w:val="18"/>
                <w:szCs w:val="18"/>
              </w:rPr>
              <w:t xml:space="preserve">  median npv — 2 comparisons, median 0.615 — lowest NPV for all toxicity grades (0.51), highest NPV for grade 3 and 4 toxicities (0.72) (</w:t>
            </w:r>
            <w:hyperlink w:history="1" r:id="rId1hwghoveilykeehxhvads">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100</w:t>
            </w:r>
            <w:r>
              <w:rPr>
                <w:rFonts w:ascii="Calibri" w:cs="Calibri" w:eastAsia="Calibri" w:hAnsi="Calibri"/>
                <w:sz w:val="18"/>
                <w:szCs w:val="18"/>
              </w:rPr>
              <w:t xml:space="preserve">  ic50 (half-maximal inhibitory concentration) — IC50 for bosentan-induced albumin secretion decrease (</w:t>
            </w:r>
            <w:hyperlink w:history="1" r:id="rIdpg55bprchgyyyrt1tnbnw">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15%</w:t>
            </w:r>
            <w:r>
              <w:rPr>
                <w:rFonts w:ascii="Calibri" w:cs="Calibri" w:eastAsia="Calibri" w:hAnsi="Calibri"/>
                <w:sz w:val="18"/>
                <w:szCs w:val="18"/>
              </w:rPr>
              <w:t xml:space="preserve">  post-test odds — QT prolongation post-test odds (rat) (</w:t>
            </w:r>
            <w:hyperlink w:history="1" r:id="rIdcyfpaleauiigociysyznw">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1.82</w:t>
            </w:r>
            <w:r>
              <w:rPr>
                <w:rFonts w:ascii="Calibri" w:cs="Calibri" w:eastAsia="Calibri" w:hAnsi="Calibri"/>
                <w:sz w:val="18"/>
                <w:szCs w:val="18"/>
              </w:rPr>
              <w:t xml:space="preserve">  median inlr — Rat-human median iNLR (</w:t>
            </w:r>
            <w:hyperlink w:history="1" r:id="rIdpk2wwlv5urmzgrviqmxlh">
              <w:r>
                <w:rPr>
                  <w:rFonts w:ascii="Calibri" w:cs="Calibri" w:eastAsia="Calibri" w:hAnsi="Calibri"/>
                  <w:color w:val="1155CC"/>
                  <w:sz w:val="18"/>
                  <w:szCs w:val="18"/>
                  <w:u w:val="single"/>
                </w:rPr>
                <w:t xml:space="preserve">Bailey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selectivity of 7% is low, but the paper notes that the data set differs from other studies, as it focuses on marketed drugs that passed rigorous clinical safety testing. The high LR+ for dizziness (1000) might be an outlier or reflect specific testing practices.</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3 studies</w:t>
            </w:r>
          </w:p>
          <w:p>
            <w:pPr>
              <w:spacing w:after="0"/>
            </w:pPr>
            <w:r>
              <w:rPr>
                <w:rFonts w:ascii="Calibri" w:cs="Calibri" w:eastAsia="Calibri" w:hAnsi="Calibri"/>
                <w:color w:val="666666"/>
                <w:sz w:val="16"/>
                <w:szCs w:val="16"/>
              </w:rPr>
              <w:t xml:space="preserve">2 does not support</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Mouse toxicology does not reliably predict human toxicity: Atkins et al. 2020 found median PPV 0.57 (all grades) and 0.43 (grade 3–4) with NPV 0.81 for grade 3–4, and Bailey et al. 2015 reported mouse iNLR 1.39 (≈no evidential weight). Clark et al. 2018 found higher LR+ for some endpoints (cardiac LR+ 5.29; hepatobiliary LR+ 3.73) but no overall statistically significant concordance.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Concordance varies by toxicity grade and by organ/endpoint (e.g., lower PPV for severe toxicities; higher LR+ for specific cardiac/hepatobiliary endpoints).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3.73–7.4</w:t>
            </w:r>
            <w:r>
              <w:rPr>
                <w:rFonts w:ascii="Calibri" w:cs="Calibri" w:eastAsia="Calibri" w:hAnsi="Calibri"/>
                <w:sz w:val="18"/>
                <w:szCs w:val="18"/>
              </w:rPr>
              <w:t xml:space="preserve">  lr+ — 3 comparisons, median 5.29 — lowest Likelihood Ratio for mouse, Hepatobiliary disorders (3.73), highest Likelihood Ratio for Pain (mouse) (7.4) (</w:t>
            </w:r>
            <w:hyperlink w:history="1" r:id="rIdoyayscglrdb6uiym9lng-">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0.43–0.57</w:t>
            </w:r>
            <w:r>
              <w:rPr>
                <w:rFonts w:ascii="Calibri" w:cs="Calibri" w:eastAsia="Calibri" w:hAnsi="Calibri"/>
                <w:sz w:val="18"/>
                <w:szCs w:val="18"/>
              </w:rPr>
              <w:t xml:space="preserve">  median ppv — 2 comparisons, median 0.5 — lowest PPV for grade 3 and 4 toxicities (0.43), highest PPV for all toxicity grades (0.57) (</w:t>
            </w:r>
            <w:hyperlink w:history="1" r:id="rIdxylzyoajyzudfqg6cvumg">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0.57–0.81</w:t>
            </w:r>
            <w:r>
              <w:rPr>
                <w:rFonts w:ascii="Calibri" w:cs="Calibri" w:eastAsia="Calibri" w:hAnsi="Calibri"/>
                <w:sz w:val="18"/>
                <w:szCs w:val="18"/>
              </w:rPr>
              <w:t xml:space="preserve">  median npv — 2 comparisons, median 0.69 — lowest NPV for all toxicity grades (0.57), highest NPV for grade 3 and 4 toxicities (0.81) (</w:t>
            </w:r>
            <w:hyperlink w:history="1" r:id="rIdg80pxegd-4ejxujdptmcf">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1.39</w:t>
            </w:r>
            <w:r>
              <w:rPr>
                <w:rFonts w:ascii="Calibri" w:cs="Calibri" w:eastAsia="Calibri" w:hAnsi="Calibri"/>
                <w:sz w:val="18"/>
                <w:szCs w:val="18"/>
              </w:rPr>
              <w:t xml:space="preserve">  median inlr — Mouse-human median iNLR (</w:t>
            </w:r>
            <w:hyperlink w:history="1" r:id="rIdhjzgbibmzd2bh-2icql9s">
              <w:r>
                <w:rPr>
                  <w:rFonts w:ascii="Calibri" w:cs="Calibri" w:eastAsia="Calibri" w:hAnsi="Calibri"/>
                  <w:color w:val="1155CC"/>
                  <w:sz w:val="18"/>
                  <w:szCs w:val="18"/>
                  <w:u w:val="single"/>
                </w:rPr>
                <w:t xml:space="preserve">Bailey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selectivity of 7% is low, but the paper notes that the data set differs from other studies, as it focuses on marketed drugs that passed rigorous clinical safety testing. The high LR+ for dizziness (1000) might be an outlier or reflect specific testing practices.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zebrafish</w:t>
            </w:r>
          </w:p>
          <w:p>
            <w:pPr>
              <w:spacing w:after="20"/>
            </w:pPr>
            <w:r>
              <w:rPr>
                <w:rFonts w:ascii="Calibri" w:cs="Calibri" w:eastAsia="Calibri" w:hAnsi="Calibri"/>
                <w:color w:val="666666"/>
                <w:sz w:val="17"/>
                <w:szCs w:val="17"/>
              </w:rPr>
              <w:t xml:space="preserve">3 studies</w:t>
            </w:r>
          </w:p>
          <w:p>
            <w:pPr>
              <w:spacing w:after="0"/>
            </w:pPr>
            <w:r>
              <w:rPr>
                <w:rFonts w:ascii="Calibri" w:cs="Calibri" w:eastAsia="Calibri" w:hAnsi="Calibri"/>
                <w:color w:val="666666"/>
                <w:sz w:val="16"/>
                <w:szCs w:val="16"/>
              </w:rPr>
              <w:t xml:space="preserve">2 supports</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Evidence shows zebrafish toxicology generally tracks human outcomes: Cornet et al. 2017 found 78% overall accuracy (specificity 89%, sensitivity 68%), Nikam et al. 2020 reported 100% concordance for general/hepatotoxicity and 90% for teratogenicity, and McGrath et al. 2008 found 100% teratogen detection vs 75% non‑teratogen ID. Sensitivity varies by endpoint across studies.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Sensitivity differs by toxicity endpoint and platform (e.g. neurotoxicity 54% vs hepatotoxicity 80% in Cornet et al.).</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77–100%</w:t>
            </w:r>
            <w:r>
              <w:rPr>
                <w:rFonts w:ascii="Calibri" w:cs="Calibri" w:eastAsia="Calibri" w:hAnsi="Calibri"/>
                <w:sz w:val="18"/>
                <w:szCs w:val="18"/>
              </w:rPr>
              <w:t xml:space="preserve">  specificity — 4 comparisons, median 89.5% — lowest Hepatotoxicity predictive assessment (77%), highest Neurotoxicity predictive assessment (100%) (</w:t>
            </w:r>
            <w:hyperlink w:history="1" r:id="rIdgdgk_xxfixxt-b3kfjh6h">
              <w:r>
                <w:rPr>
                  <w:rFonts w:ascii="Calibri" w:cs="Calibri" w:eastAsia="Calibri" w:hAnsi="Calibri"/>
                  <w:color w:val="1155CC"/>
                  <w:sz w:val="18"/>
                  <w:szCs w:val="18"/>
                  <w:u w:val="single"/>
                </w:rPr>
                <w:t xml:space="preserve">Cornet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54–80%</w:t>
            </w:r>
            <w:r>
              <w:rPr>
                <w:rFonts w:ascii="Calibri" w:cs="Calibri" w:eastAsia="Calibri" w:hAnsi="Calibri"/>
                <w:sz w:val="18"/>
                <w:szCs w:val="18"/>
              </w:rPr>
              <w:t xml:space="preserve">  sensitivity — 4 comparisons, median 68.5% — lowest Neurotoxicity predictive assessment (54%), highest Hepatotoxicity predictive assessment (80%) (</w:t>
            </w:r>
            <w:hyperlink w:history="1" r:id="rIdfb-jrupeq3kuxpawzb_72">
              <w:r>
                <w:rPr>
                  <w:rFonts w:ascii="Calibri" w:cs="Calibri" w:eastAsia="Calibri" w:hAnsi="Calibri"/>
                  <w:color w:val="1155CC"/>
                  <w:sz w:val="18"/>
                  <w:szCs w:val="18"/>
                  <w:u w:val="single"/>
                </w:rPr>
                <w:t xml:space="preserve">Cornet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75–82%</w:t>
            </w:r>
            <w:r>
              <w:rPr>
                <w:rFonts w:ascii="Calibri" w:cs="Calibri" w:eastAsia="Calibri" w:hAnsi="Calibri"/>
                <w:sz w:val="18"/>
                <w:szCs w:val="18"/>
              </w:rPr>
              <w:t xml:space="preserve">  accuracy — 4 comparisons, median 78% — lowest Neurotoxicity predictive assessment (75%), highest Hepatotoxicity predictive assessment (82%) (</w:t>
            </w:r>
            <w:hyperlink w:history="1" r:id="rIdn5rs0uhm9oi7nrcsqeiqw">
              <w:r>
                <w:rPr>
                  <w:rFonts w:ascii="Calibri" w:cs="Calibri" w:eastAsia="Calibri" w:hAnsi="Calibri"/>
                  <w:color w:val="1155CC"/>
                  <w:sz w:val="18"/>
                  <w:szCs w:val="18"/>
                  <w:u w:val="single"/>
                </w:rPr>
                <w:t xml:space="preserve">Cornet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75–100%</w:t>
            </w:r>
            <w:r>
              <w:rPr>
                <w:rFonts w:ascii="Calibri" w:cs="Calibri" w:eastAsia="Calibri" w:hAnsi="Calibri"/>
                <w:sz w:val="18"/>
                <w:szCs w:val="18"/>
              </w:rPr>
              <w:t xml:space="preserve">  success rate — 2 comparisons, median 87.5% — lowest success rate in identifying nonteratogenic compounds (75%), highest success rate in identifying teratogens (100%) (</w:t>
            </w:r>
            <w:hyperlink w:history="1" r:id="rId2_cqtuqaudendkrpu2wu2">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70%</w:t>
            </w:r>
            <w:r>
              <w:rPr>
                <w:rFonts w:ascii="Calibri" w:cs="Calibri" w:eastAsia="Calibri" w:hAnsi="Calibri"/>
                <w:sz w:val="18"/>
                <w:szCs w:val="18"/>
              </w:rPr>
              <w:t xml:space="preserve">  good — specificity (</w:t>
            </w:r>
            <w:hyperlink w:history="1" r:id="rIdz5xqitj2fuo0c1-tqy_xv">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80%</w:t>
            </w:r>
            <w:r>
              <w:rPr>
                <w:rFonts w:ascii="Calibri" w:cs="Calibri" w:eastAsia="Calibri" w:hAnsi="Calibri"/>
                <w:sz w:val="18"/>
                <w:szCs w:val="18"/>
              </w:rPr>
              <w:t xml:space="preserve">  excellent — specificity (</w:t>
            </w:r>
            <w:hyperlink w:history="1" r:id="rIdm-oth_p1cyy-vboldczvz">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rabbit</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partly supports</w:t>
            </w:r>
          </w:p>
          <w:p>
            <w:pPr>
              <w:spacing w:after="0"/>
            </w:pPr>
            <w:r>
              <w:rPr>
                <w:rFonts w:ascii="Calibri" w:cs="Calibri" w:eastAsia="Calibri" w:hAnsi="Calibri"/>
                <w:color w:val="666666"/>
                <w:sz w:val="16"/>
                <w:szCs w:val="16"/>
              </w:rPr>
              <w:t xml:space="preserve">1 does not support</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Clark et al. 2018 found moderate predictive value for some endpoints (rabbit QT post-test odds 83%; LR+ cardiac 3.54; LR+ hepatobiliary 2.8), but Bailey et al. 2015 found absence-of-toxicity in rabbit gave little evidence of safety (median iNLR 1.12).</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endpoint (e.g., QT-specific vs overall selectivity) and by study dataset/selection biases.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2.8–3.54</w:t>
            </w:r>
            <w:r>
              <w:rPr>
                <w:rFonts w:ascii="Calibri" w:cs="Calibri" w:eastAsia="Calibri" w:hAnsi="Calibri"/>
                <w:sz w:val="18"/>
                <w:szCs w:val="18"/>
              </w:rPr>
              <w:t xml:space="preserve">  lr+ — 2 comparisons, median 3.17 — lowest Likelihood Ratio for rabbit, Hepatobiliary disorders (2.8), highest Likelihood Ratio for rabbit, Cardiac disorders (3.54) (</w:t>
            </w:r>
            <w:hyperlink w:history="1" r:id="rIdjblcs1fopssczvdbi4t3u">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83%</w:t>
            </w:r>
            <w:r>
              <w:rPr>
                <w:rFonts w:ascii="Calibri" w:cs="Calibri" w:eastAsia="Calibri" w:hAnsi="Calibri"/>
                <w:sz w:val="18"/>
                <w:szCs w:val="18"/>
              </w:rPr>
              <w:t xml:space="preserve">  post-test odds — QT prolongation post-test odds (rabbit) (</w:t>
            </w:r>
            <w:hyperlink w:history="1" r:id="rId9vcohlzkfmwedq5gungif">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1.12</w:t>
            </w:r>
            <w:r>
              <w:rPr>
                <w:rFonts w:ascii="Calibri" w:cs="Calibri" w:eastAsia="Calibri" w:hAnsi="Calibri"/>
                <w:sz w:val="18"/>
                <w:szCs w:val="18"/>
              </w:rPr>
              <w:t xml:space="preserve">  median inlr — Rabbit-human median iNLR (</w:t>
            </w:r>
            <w:hyperlink w:history="1" r:id="rId1k65-j48arkfza02gxklj">
              <w:r>
                <w:rPr>
                  <w:rFonts w:ascii="Calibri" w:cs="Calibri" w:eastAsia="Calibri" w:hAnsi="Calibri"/>
                  <w:color w:val="1155CC"/>
                  <w:sz w:val="18"/>
                  <w:szCs w:val="18"/>
                  <w:u w:val="single"/>
                </w:rPr>
                <w:t xml:space="preserve">Bailey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selectivity of 7% is low, but the paper notes that the data set differs from other studies, as it focuses on marketed drugs that passed rigorous clinical safety testing. The high LR+ for dizziness (1000) might be an outlier or reflect specific testing practices.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rodent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Rodent toxicology partly tracked human outcomes: sensitivity 48% and PPV 43% for predicting human adverse effects, while specificity 84% and NPV 86% for predicting absence of human AEs. Performance varied by organ (PPV 0%–54%) and rose when rodent+nonrodent shared the same target organ.</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PPV varied by organ system (0% ophthalmology to 54% biochemical) and was higher when the same target organ was identified in both rodent and nonrodent.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0–62%</w:t>
            </w:r>
            <w:r>
              <w:rPr>
                <w:rFonts w:ascii="Calibri" w:cs="Calibri" w:eastAsia="Calibri" w:hAnsi="Calibri"/>
                <w:sz w:val="18"/>
                <w:szCs w:val="18"/>
              </w:rPr>
              <w:t xml:space="preserve">  ppv — 15 comparisons, median 27% — lowest PPV for Ophthalmology (0%), highest PPV for Liver (Rodent + Monkey, 'and' view) (62%) (</w:t>
            </w:r>
            <w:hyperlink w:history="1" r:id="rIdcvvfsluoye3ocfr3ldapt">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14–96%</w:t>
            </w:r>
            <w:r>
              <w:rPr>
                <w:rFonts w:ascii="Calibri" w:cs="Calibri" w:eastAsia="Calibri" w:hAnsi="Calibri"/>
                <w:sz w:val="18"/>
                <w:szCs w:val="18"/>
              </w:rPr>
              <w:t xml:space="preserve">  npv — 15 comparisons, median 90% — lowest NPV for 'Other' (14%), highest NPV for Ophthalmology (96%) (</w:t>
            </w:r>
            <w:hyperlink w:history="1" r:id="rIdlgiiqwlsmu_s4naf7wn6i">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20–40%</w:t>
            </w:r>
            <w:r>
              <w:rPr>
                <w:rFonts w:ascii="Calibri" w:cs="Calibri" w:eastAsia="Calibri" w:hAnsi="Calibri"/>
                <w:sz w:val="18"/>
                <w:szCs w:val="18"/>
              </w:rPr>
              <w:t xml:space="preserve">  pru — 2 comparisons, median 30% — lowest Proportionate Reduction in Uncertainty (PRU) for GI (Rodent) (20%), highest Proportionate Reduction in Uncertainty (PRU) for Nervous System (Rodent) (40%) (</w:t>
            </w:r>
            <w:hyperlink w:history="1" r:id="rIdbxvd99l5ctovrchoeese9">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w:t>
            </w:r>
            <w:r>
              <w:rPr>
                <w:rFonts w:ascii="Calibri" w:cs="Calibri" w:eastAsia="Calibri" w:hAnsi="Calibri"/>
                <w:sz w:val="18"/>
                <w:szCs w:val="18"/>
              </w:rPr>
              <w:t xml:space="preserve">  sensitivity — Sensitivity for Liver (Rodent) (</w:t>
            </w:r>
            <w:hyperlink w:history="1" r:id="rIdshb2f0g_auo-uzeiwll5u">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68%</w:t>
            </w:r>
            <w:r>
              <w:rPr>
                <w:rFonts w:ascii="Calibri" w:cs="Calibri" w:eastAsia="Calibri" w:hAnsi="Calibri"/>
                <w:sz w:val="18"/>
                <w:szCs w:val="18"/>
              </w:rPr>
              <w:t xml:space="preserve">  specificity — Specificity for Liver (Rodent) (</w:t>
            </w:r>
            <w:hyperlink w:history="1" r:id="rIdx5zhwan0xqwealug4gtcr">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clinical positive prevalence for the entire database was 21%. For the 'other' organ system category, which consisted of subjective constitutional adverse events, the PPV was very low (9% for rodent, 0% for dog, 25% for NHP) and NPV was also very low (14% for rodent, 15% for dog, 16% for NHP). The paper notes that NPV is usually high because most findings are negative.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3 partly supports</w:t>
            </w:r>
          </w:p>
          <w:p>
            <w:pPr>
              <w:spacing w:after="0"/>
            </w:pPr>
            <w:r>
              <w:rPr>
                <w:rFonts w:ascii="Calibri" w:cs="Calibri" w:eastAsia="Calibri" w:hAnsi="Calibri"/>
                <w:color w:val="666666"/>
                <w:sz w:val="16"/>
                <w:szCs w:val="16"/>
              </w:rPr>
              <w:t xml:space="preserve">1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Dog safety-pharmacology generally tracked human outcomes: Pollard et al. 2017 reported dog QTc AUC ≈0.81 (0.91 excluding β2‑agonists); Valentin et al. 2022 found 91% of human QT‑prolongers were positive in animals; Bhatt et al. 2019 found combined BP/HR sensitivity 78% and specificity 79%. Main qualification: Valentin also reported 31% overall discordance and performance varied by assay and drug class.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assay, endpoint and drug class (e.g., excluding β2‑agonists raised AUC from 0.81 to 0.91).</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0.78–0.92</w:t>
            </w:r>
            <w:r>
              <w:rPr>
                <w:rFonts w:ascii="Calibri" w:cs="Calibri" w:eastAsia="Calibri" w:hAnsi="Calibri"/>
                <w:sz w:val="18"/>
                <w:szCs w:val="18"/>
              </w:rPr>
              <w:t xml:space="preserve">  auc — 6 comparisons, median 0.81 — lowest concordance between hERG potency and clinical QTc outcome (0.78), highest concordance between hERG safety margin and clinical QTc outcome (excluding β2-adrenoceptor agonists) (0.92) (</w:t>
            </w:r>
            <w:hyperlink w:history="1" r:id="rIdz0x9c6ahda6h9taf1vbce">
              <w:r>
                <w:rPr>
                  <w:rFonts w:ascii="Calibri" w:cs="Calibri" w:eastAsia="Calibri" w:hAnsi="Calibri"/>
                  <w:color w:val="1155CC"/>
                  <w:sz w:val="18"/>
                  <w:szCs w:val="18"/>
                  <w:u w:val="single"/>
                </w:rPr>
                <w:t xml:space="preserve">Pollard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54–78%</w:t>
            </w:r>
            <w:r>
              <w:rPr>
                <w:rFonts w:ascii="Calibri" w:cs="Calibri" w:eastAsia="Calibri" w:hAnsi="Calibri"/>
                <w:sz w:val="18"/>
                <w:szCs w:val="18"/>
              </w:rPr>
              <w:t xml:space="preserve">  sensitivity — 3 comparisons, median 71% — lowest large animal to human (HR only) (54%), highest large animal to human (combined BP and HR) (78%) (</w:t>
            </w:r>
            <w:hyperlink w:history="1" r:id="rIdkecbldvussqy6eb_7a_-q">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79–83%</w:t>
            </w:r>
            <w:r>
              <w:rPr>
                <w:rFonts w:ascii="Calibri" w:cs="Calibri" w:eastAsia="Calibri" w:hAnsi="Calibri"/>
                <w:sz w:val="18"/>
                <w:szCs w:val="18"/>
              </w:rPr>
              <w:t xml:space="preserve">  specificity — 3 comparisons, median 83% — lowest large animal to human (combined BP and HR) (79%), highest large animal to human (BP only) (83%) (</w:t>
            </w:r>
            <w:hyperlink w:history="1" r:id="rIdg0f8y-ucpfk8jlpzc7dzd">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-0.04–16.6</w:t>
            </w:r>
            <w:r>
              <w:rPr>
                <w:rFonts w:ascii="Calibri" w:cs="Calibri" w:eastAsia="Calibri" w:hAnsi="Calibri"/>
                <w:sz w:val="18"/>
                <w:szCs w:val="18"/>
              </w:rPr>
              <w:t xml:space="preserve">  mean — 3 comparisons, median 16.6 — lowest QTc increase over 24h (mock drug) (-0.04), highest QTc increase at critical concentration (moxifloxacin) (16.6) (</w:t>
            </w:r>
            <w:hyperlink w:history="1" r:id="rIdepueuyrhsfs0bqii4b9wp">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1.7–3</w:t>
            </w:r>
            <w:r>
              <w:rPr>
                <w:rFonts w:ascii="Calibri" w:cs="Calibri" w:eastAsia="Calibri" w:hAnsi="Calibri"/>
                <w:sz w:val="18"/>
                <w:szCs w:val="18"/>
              </w:rPr>
              <w:t xml:space="preserve">  multiple — 2 comparisons, median 2.35 — lowest Critical concentration multiple for 10ms QTc increase (moxifloxacin) (1.7), highest Critical concentration multiple for 10ms QTc increase (mock drug) (3) (</w:t>
            </w:r>
            <w:hyperlink w:history="1" r:id="rIdsjq_zsmaynqeo_mr7gijf">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0.81</w:t>
            </w:r>
            <w:r>
              <w:rPr>
                <w:rFonts w:ascii="Calibri" w:cs="Calibri" w:eastAsia="Calibri" w:hAnsi="Calibri"/>
                <w:sz w:val="18"/>
                <w:szCs w:val="18"/>
              </w:rPr>
              <w:t xml:space="preserve">  concordance rate, n=24 drugs — concordance rate of in vivo dog assay for clinical QT outcome (</w:t>
            </w:r>
            <w:hyperlink w:history="1" r:id="rId-2r1i0cbzwnm29buiuwxt">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partly supports</w:t>
            </w:r>
          </w:p>
          <w:p>
            <w:pPr>
              <w:spacing w:after="0"/>
            </w:pPr>
            <w:r>
              <w:rPr>
                <w:rFonts w:ascii="Calibri" w:cs="Calibri" w:eastAsia="Calibri" w:hAnsi="Calibri"/>
                <w:color w:val="666666"/>
                <w:sz w:val="16"/>
                <w:szCs w:val="16"/>
              </w:rPr>
              <w:t xml:space="preserve">1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Evidence shows NHP cardiovascular safety signals generally tracked human outcomes: Bhatt et al. 2019 reported large-animal→human combined BP/HR sensitivity 78% and specificity 79%; Sadko et al. 2024 found moxifloxacin QTc ≈10.9 ms in NHP vs ~10 ms in humans. Caveat: HR-only sensitivity 54%, PPV 52%, and predictive values depend on prevalence.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54–78%</w:t>
            </w:r>
            <w:r>
              <w:rPr>
                <w:rFonts w:ascii="Calibri" w:cs="Calibri" w:eastAsia="Calibri" w:hAnsi="Calibri"/>
                <w:sz w:val="18"/>
                <w:szCs w:val="18"/>
              </w:rPr>
              <w:t xml:space="preserve">  sensitivity — 3 comparisons, median 71% — lowest large animal to human (HR only) (54%), highest large animal to human (combined BP and HR) (78%) (</w:t>
            </w:r>
            <w:hyperlink w:history="1" r:id="rIdcxxt31vvhlik_q0zcrbrw">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79–83%</w:t>
            </w:r>
            <w:r>
              <w:rPr>
                <w:rFonts w:ascii="Calibri" w:cs="Calibri" w:eastAsia="Calibri" w:hAnsi="Calibri"/>
                <w:sz w:val="18"/>
                <w:szCs w:val="18"/>
              </w:rPr>
              <w:t xml:space="preserve">  specificity — 3 comparisons, median 83% — lowest large animal to human (combined BP and HR) (79%), highest large animal to human (BP only) (83%) (</w:t>
            </w:r>
            <w:hyperlink w:history="1" r:id="rIdj6nczusszxttrvytrnrp9">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-1.17–10.9</w:t>
            </w:r>
            <w:r>
              <w:rPr>
                <w:rFonts w:ascii="Calibri" w:cs="Calibri" w:eastAsia="Calibri" w:hAnsi="Calibri"/>
                <w:sz w:val="18"/>
                <w:szCs w:val="18"/>
              </w:rPr>
              <w:t xml:space="preserve">  mean — 3 comparisons, median 10 — lowest QTc increase over 24h (mock drug) (-1.17), highest QTc increase at critical concentration (moxifloxacin) (10.9) (</w:t>
            </w:r>
            <w:hyperlink w:history="1" r:id="rIdn90asl_6n22ew6h2iv0nh">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1.5–3</w:t>
            </w:r>
            <w:r>
              <w:rPr>
                <w:rFonts w:ascii="Calibri" w:cs="Calibri" w:eastAsia="Calibri" w:hAnsi="Calibri"/>
                <w:sz w:val="18"/>
                <w:szCs w:val="18"/>
              </w:rPr>
              <w:t xml:space="preserve">  multiple — 2 comparisons, median 2.25 — lowest Critical concentration multiple for 10ms QTc increase (moxifloxacin) (1.5), highest Critical concentration multiple for 10ms QTc increase (mock drug) (3) (</w:t>
            </w:r>
            <w:hyperlink w:history="1" r:id="rIdvztzk0nzzqlednca4ar9r">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52%</w:t>
            </w:r>
            <w:r>
              <w:rPr>
                <w:rFonts w:ascii="Calibri" w:cs="Calibri" w:eastAsia="Calibri" w:hAnsi="Calibri"/>
                <w:sz w:val="18"/>
                <w:szCs w:val="18"/>
              </w:rPr>
              <w:t xml:space="preserve">  positive predictive value — large animal to human (combined BP and HR) (</w:t>
            </w:r>
            <w:hyperlink w:history="1" r:id="rIdzqh_mnnpfbs4voolawdon">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92%</w:t>
            </w:r>
            <w:r>
              <w:rPr>
                <w:rFonts w:ascii="Calibri" w:cs="Calibri" w:eastAsia="Calibri" w:hAnsi="Calibri"/>
                <w:sz w:val="18"/>
                <w:szCs w:val="18"/>
              </w:rPr>
              <w:t xml:space="preserve">  negative predictive value — large animal to human (combined BP and HR) (</w:t>
            </w:r>
            <w:hyperlink w:history="1" r:id="rIdzmgozyrusxfopzlvj-h8g">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Bhatt et al. 2019 found rat signals tracked large-animal combined BP+HR reasonably (sensitivity 84%, specificity 71%, PPV 90%, NPV 60%) but were weaker for individual endpoints (BP specificity 59%, HR sensitivity 64%) and 23–26% showed opposite-direction changes. Authors note predictive values depend on dataset prevalence, which may be lower than real-world.</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differs between combined BP+HR analyses (higher concordance) and individual BP or HR analyses; some measures also had opposite-direction changes.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64–84%</w:t>
            </w:r>
            <w:r>
              <w:rPr>
                <w:rFonts w:ascii="Calibri" w:cs="Calibri" w:eastAsia="Calibri" w:hAnsi="Calibri"/>
                <w:sz w:val="18"/>
                <w:szCs w:val="18"/>
              </w:rPr>
              <w:t xml:space="preserve">  sensitivity — 3 comparisons, median 82% — lowest rat to large animal (HR only) (64%), highest rat to large animal (combined BP and HR) (84%) (</w:t>
            </w:r>
            <w:hyperlink w:history="1" r:id="rIdyki4uv_jqum-vxcxu59zo">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59–71%</w:t>
            </w:r>
            <w:r>
              <w:rPr>
                <w:rFonts w:ascii="Calibri" w:cs="Calibri" w:eastAsia="Calibri" w:hAnsi="Calibri"/>
                <w:sz w:val="18"/>
                <w:szCs w:val="18"/>
              </w:rPr>
              <w:t xml:space="preserve">  specificity — 3 comparisons, median 67% — lowest rat to large animal (BP only) (59%), highest rat to large animal (combined BP and HR) (71%) (</w:t>
            </w:r>
            <w:hyperlink w:history="1" r:id="rIdzbx_iqjqg89zkgehbdgtl">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23–26%</w:t>
            </w:r>
            <w:r>
              <w:rPr>
                <w:rFonts w:ascii="Calibri" w:cs="Calibri" w:eastAsia="Calibri" w:hAnsi="Calibri"/>
                <w:sz w:val="18"/>
                <w:szCs w:val="18"/>
              </w:rPr>
              <w:t xml:space="preserve">  opposite direction of change — 2 comparisons, median 24.5% — lowest rat to large animal (directionality of HR change) (23%), highest rat to large animal (directionality of BP change) (26%) (</w:t>
            </w:r>
            <w:hyperlink w:history="1" r:id="rId82gz7qj7tpgz-vzqnwj59">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90%</w:t>
            </w:r>
            <w:r>
              <w:rPr>
                <w:rFonts w:ascii="Calibri" w:cs="Calibri" w:eastAsia="Calibri" w:hAnsi="Calibri"/>
                <w:sz w:val="18"/>
                <w:szCs w:val="18"/>
              </w:rPr>
              <w:t xml:space="preserve">  positive predictive value — rat to large animal (combined BP and HR) (</w:t>
            </w:r>
            <w:hyperlink w:history="1" r:id="rId31pdb8nmlsss8_bcz6f2p">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w:t>
            </w:r>
            <w:r>
              <w:rPr>
                <w:rFonts w:ascii="Calibri" w:cs="Calibri" w:eastAsia="Calibri" w:hAnsi="Calibri"/>
                <w:sz w:val="18"/>
                <w:szCs w:val="18"/>
              </w:rPr>
              <w:t xml:space="preserve">  negative predictive value — rat to large animal (combined BP and HR) (</w:t>
            </w:r>
            <w:hyperlink w:history="1" r:id="rIdy8hhir-0gzgmuwgxc25kd">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11 studies</w:t>
            </w:r>
          </w:p>
          <w:p>
            <w:pPr>
              <w:spacing w:after="0"/>
            </w:pPr>
            <w:r>
              <w:rPr>
                <w:rFonts w:ascii="Calibri" w:cs="Calibri" w:eastAsia="Calibri" w:hAnsi="Calibri"/>
                <w:color w:val="666666"/>
                <w:sz w:val="16"/>
                <w:szCs w:val="16"/>
              </w:rPr>
              <w:t xml:space="preserve">6 partly supports</w:t>
            </w:r>
          </w:p>
          <w:p>
            <w:pPr>
              <w:spacing w:after="0"/>
            </w:pPr>
            <w:r>
              <w:rPr>
                <w:rFonts w:ascii="Calibri" w:cs="Calibri" w:eastAsia="Calibri" w:hAnsi="Calibri"/>
                <w:color w:val="666666"/>
                <w:sz w:val="16"/>
                <w:szCs w:val="16"/>
              </w:rPr>
              <w:t xml:space="preserve">3 supports</w:t>
            </w:r>
          </w:p>
          <w:p>
            <w:pPr>
              <w:spacing w:after="0"/>
            </w:pPr>
            <w:r>
              <w:rPr>
                <w:rFonts w:ascii="Calibri" w:cs="Calibri" w:eastAsia="Calibri" w:hAnsi="Calibri"/>
                <w:color w:val="666666"/>
                <w:sz w:val="16"/>
                <w:szCs w:val="16"/>
              </w:rPr>
              <w:t xml:space="preserve">2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some studies report very low transcript concordance (Seok et al. R^2 ≤ 0.09; Kodamullil et al. mice mimicked 12% of human‑deregulated genes), while others find moderate/strong agreement (Takao et al. Spearman 0.43–0.68 with 77–93% directional concordance; Holland et al. recall 0.40). Concordance depends on disease/model, analysis thresholds and exposure duration.</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Estimates vary by disease/model, data-processing thresholds (fold‑change/P-value), and experiment duration/exposure.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4.1e-90–0.0003</w:t>
            </w:r>
            <w:r>
              <w:rPr>
                <w:rFonts w:ascii="Calibri" w:cs="Calibri" w:eastAsia="Calibri" w:hAnsi="Calibri"/>
                <w:sz w:val="18"/>
                <w:szCs w:val="18"/>
              </w:rPr>
              <w:t xml:space="preserve">  p value — 31 comparisons, median 1.7e-18 — lowest Overlap P value for 'innate immune response' genes up-regulated in human trauma (4.1e-90), highest Overlap P value for 'translocation of ZAP-70 to immunological synapse' genes down-regulated in human trauma (0.0003) (</w:t>
            </w:r>
            <w:hyperlink w:history="1" r:id="rIdtku4y-icrui_832-euo24">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47–97%</w:t>
            </w:r>
            <w:r>
              <w:rPr>
                <w:rFonts w:ascii="Calibri" w:cs="Calibri" w:eastAsia="Calibri" w:hAnsi="Calibri"/>
                <w:sz w:val="18"/>
                <w:szCs w:val="18"/>
              </w:rPr>
              <w:t xml:space="preserve">  percentage — 26 comparisons, median 61% — lowest percentage of genes changed in the same direction between human conditions and mouse orthologs in mouse models (47%), highest percentage of genes changed in the same direction between human trauma and human burn (Fig. 4) (97%) (</w:t>
            </w:r>
            <w:hyperlink w:history="1" r:id="rId_yfbq_td4nmemsvo3dben">
              <w:r>
                <w:rPr>
                  <w:rFonts w:ascii="Calibri" w:cs="Calibri" w:eastAsia="Calibri" w:hAnsi="Calibri"/>
                  <w:color w:val="1155CC"/>
                  <w:sz w:val="18"/>
                  <w:szCs w:val="18"/>
                  <w:u w:val="single"/>
                </w:rPr>
                <w:t xml:space="preserve">Seok et al. 2013</w:t>
              </w:r>
            </w:hyperlink>
            <w:r>
              <w:rPr>
                <w:rFonts w:ascii="Calibri" w:cs="Calibri" w:eastAsia="Calibri" w:hAnsi="Calibri"/>
                <w:sz w:val="18"/>
                <w:szCs w:val="18"/>
              </w:rPr>
              <w:t xml:space="preserve"> · </w:t>
            </w:r>
            <w:hyperlink w:history="1" r:id="rIdd6yob-t6mw2p1u8wy9dwh">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 · </w:t>
            </w:r>
            <w:hyperlink w:history="1" r:id="rIdu2rwsb4pdf94eptuk1mrh">
              <w:r>
                <w:rPr>
                  <w:rFonts w:ascii="Calibri" w:cs="Calibri" w:eastAsia="Calibri" w:hAnsi="Calibri"/>
                  <w:color w:val="1155CC"/>
                  <w:sz w:val="18"/>
                  <w:szCs w:val="18"/>
                  <w:u w:val="single"/>
                </w:rPr>
                <w:t xml:space="preserve">Wang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-0.01–0.91</w:t>
            </w:r>
            <w:r>
              <w:rPr>
                <w:rFonts w:ascii="Calibri" w:cs="Calibri" w:eastAsia="Calibri" w:hAnsi="Calibri"/>
                <w:sz w:val="18"/>
                <w:szCs w:val="18"/>
              </w:rPr>
              <w:t xml:space="preserve">  pearson correlation (r^2) — 23 comparisons, median 0.09 — lowest correlation of gene response between human burn and mouse ARDS (-0.01), highest correlation of gene expression changes between human trauma and human burns (0.91) (</w:t>
            </w:r>
            <w:hyperlink w:history="1" r:id="rId61eukawejvycsxygg-1mg">
              <w:r>
                <w:rPr>
                  <w:rFonts w:ascii="Calibri" w:cs="Calibri" w:eastAsia="Calibri" w:hAnsi="Calibri"/>
                  <w:color w:val="1155CC"/>
                  <w:sz w:val="18"/>
                  <w:szCs w:val="18"/>
                  <w:u w:val="single"/>
                </w:rPr>
                <w:t xml:space="preserve">Seok et al. 2013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0.001–0.08</w:t>
            </w:r>
            <w:r>
              <w:rPr>
                <w:rFonts w:ascii="Calibri" w:cs="Calibri" w:eastAsia="Calibri" w:hAnsi="Calibri"/>
                <w:sz w:val="18"/>
                <w:szCs w:val="18"/>
              </w:rPr>
              <w:t xml:space="preserve">  fdr — 9 comparisons, median 0.014 — lowest concordance of mouse transcriptome at 52 weeks with human cirrhosis of poor prognosis (0.001), highest concordance of pathway activation at transcriptomic level between humans and mice with similar histological phenotypes (late time points) (0.08) (</w:t>
            </w:r>
            <w:hyperlink w:history="1" r:id="rIdo8iloelw-sf-s2ftiqrhl">
              <w:r>
                <w:rPr>
                  <w:rFonts w:ascii="Calibri" w:cs="Calibri" w:eastAsia="Calibri" w:hAnsi="Calibri"/>
                  <w:color w:val="1155CC"/>
                  <w:sz w:val="18"/>
                  <w:szCs w:val="18"/>
                  <w:u w:val="single"/>
                </w:rPr>
                <w:t xml:space="preserve">Asgharpour et al. 2016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0.02–0.4</w:t>
            </w:r>
            <w:r>
              <w:rPr>
                <w:rFonts w:ascii="Calibri" w:cs="Calibri" w:eastAsia="Calibri" w:hAnsi="Calibri"/>
                <w:sz w:val="18"/>
                <w:szCs w:val="18"/>
              </w:rPr>
              <w:t xml:space="preserve">  recall — 9 comparisons, median 0.33 — lowest Recall of WTD mouse model for human NAFLD (0.02), highest Recall of genes significantly altered in human liver diseases (NASH) by 12-month CCl4 mouse model (0.4) (</w:t>
            </w:r>
            <w:hyperlink w:history="1" r:id="rIdeiwu0dpwaayjlcqqj2wws">
              <w:r>
                <w:rPr>
                  <w:rFonts w:ascii="Calibri" w:cs="Calibri" w:eastAsia="Calibri" w:hAnsi="Calibri"/>
                  <w:color w:val="1155CC"/>
                  <w:sz w:val="18"/>
                  <w:szCs w:val="18"/>
                  <w:u w:val="single"/>
                </w:rPr>
                <w:t xml:space="preserve">Holland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5.45–20.01</w:t>
            </w:r>
            <w:r>
              <w:rPr>
                <w:rFonts w:ascii="Calibri" w:cs="Calibri" w:eastAsia="Calibri" w:hAnsi="Calibri"/>
                <w:sz w:val="18"/>
                <w:szCs w:val="18"/>
              </w:rPr>
              <w:t xml:space="preserve">  mahalanobis distance — 7 comparisons, median 10.5 — lowest Mahalanobis distance to human for tenogenic markers (SCX, TNC, TNMD) (5.45), highest Mahalanobis distance to human for all genes combined under healthy conditions (20.01) (</w:t>
            </w:r>
            <w:hyperlink w:history="1" r:id="rIdq_bxasha_8hf2uwqffwlk">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'percentage of genes changed in the same direction' metric has a base rate of 50% for random chance, which is explicitly mentioned in the paper. Many of the reported percentages for mouse models are close to this random chance level.</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6 studies</w:t>
            </w:r>
          </w:p>
          <w:p>
            <w:pPr>
              <w:spacing w:after="0"/>
            </w:pPr>
            <w:r>
              <w:rPr>
                <w:rFonts w:ascii="Calibri" w:cs="Calibri" w:eastAsia="Calibri" w:hAnsi="Calibri"/>
                <w:color w:val="666666"/>
                <w:sz w:val="16"/>
                <w:szCs w:val="16"/>
              </w:rPr>
              <w:t xml:space="preserve">5 partly supports</w:t>
            </w:r>
          </w:p>
          <w:p>
            <w:pPr>
              <w:spacing w:after="0"/>
            </w:pPr>
            <w:r>
              <w:rPr>
                <w:rFonts w:ascii="Calibri" w:cs="Calibri" w:eastAsia="Calibri" w:hAnsi="Calibri"/>
                <w:color w:val="666666"/>
                <w:sz w:val="16"/>
                <w:szCs w:val="16"/>
              </w:rPr>
              <w:t xml:space="preserve">1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Rats partially recapitulate human disease biology: 26/30 blood biochemical changes after exercise matched humans and only 1/19 biomarkers showed a species×exercise interaction (Goutianos et al. 2015; Veskoukis et al. 2016). However concordance is system-dependent—coagulation peaks were lower in rats (thrombin 270 nM vs 484 nM; plasmin 186 vs 457 nM, Tarandovskiy et al. 2020) and whole-transcriptome alignment was ≈50% though some diet models scored MHPS=0.941 (Vacca et al. 2024).</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Concordance varies by biological system and analysis type (whole transcriptome vs significant DEGs) and by specific disease model/diet (e.g., Western-diet vs choline-deficient).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6.45–270.28</w:t>
            </w:r>
            <w:r>
              <w:rPr>
                <w:rFonts w:ascii="Calibri" w:cs="Calibri" w:eastAsia="Calibri" w:hAnsi="Calibri"/>
                <w:sz w:val="18"/>
                <w:szCs w:val="18"/>
              </w:rPr>
              <w:t xml:space="preserve">  mean — 8 comparisons, median 130.755 — lowest Plasmin Production Rate (Mean, nM/min) (6.45), highest Thrombin Concentration Peak (Mean, nM) (270.28) (</w:t>
            </w:r>
            <w:hyperlink w:history="1" r:id="rIdkplgdi-k9gugaqqe2nhp1">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11.27–27.44</w:t>
            </w:r>
            <w:r>
              <w:rPr>
                <w:rFonts w:ascii="Calibri" w:cs="Calibri" w:eastAsia="Calibri" w:hAnsi="Calibri"/>
                <w:sz w:val="18"/>
                <w:szCs w:val="18"/>
              </w:rPr>
              <w:t xml:space="preserve">  mahalanobis distance — 7 comparisons, median 14.25 — lowest Mahalanobis distance to human for MMPs (MMP1, MMP3, MMP13) (11.27), highest Mahalanobis distance to human for all genes combined under healthy conditions (27.44) (</w:t>
            </w:r>
            <w:hyperlink w:history="1" r:id="rIdcwrnpmnyn3nqbm9hp_hzg">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-0.0063–0.0933</w:t>
            </w:r>
            <w:r>
              <w:rPr>
                <w:rFonts w:ascii="Calibri" w:cs="Calibri" w:eastAsia="Calibri" w:hAnsi="Calibri"/>
                <w:sz w:val="18"/>
                <w:szCs w:val="18"/>
              </w:rPr>
              <w:t xml:space="preserve">  slope — 6 comparisons, median 0.0018427 — lowest Migration slope (difference to human) under transient inflammation (-0.0063), highest Proliferation capacity (slope difference to human) under healthy conditions (0.0933) (</w:t>
            </w:r>
            <w:hyperlink w:history="1" r:id="rIdylyxhdenvtgyidtnytwz1">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-0.73–0.79</w:t>
            </w:r>
            <w:r>
              <w:rPr>
                <w:rFonts w:ascii="Calibri" w:cs="Calibri" w:eastAsia="Calibri" w:hAnsi="Calibri"/>
                <w:sz w:val="18"/>
                <w:szCs w:val="18"/>
              </w:rPr>
              <w:t xml:space="preserve">  pearson r — 6 comparisons, median 0.545 — lowest correlation between target lose-shift probability and reversals (-0.73), highest correlation between target win-stay probability and reversals (0.79) (</w:t>
            </w:r>
            <w:hyperlink w:history="1" r:id="rIdsndi8tbdqfvvf5ag6bvl7">
              <w:r>
                <w:rPr>
                  <w:rFonts w:ascii="Calibri" w:cs="Calibri" w:eastAsia="Calibri" w:hAnsi="Calibri"/>
                  <w:color w:val="1155CC"/>
                  <w:sz w:val="18"/>
                  <w:szCs w:val="18"/>
                  <w:u w:val="single"/>
                </w:rPr>
                <w:t xml:space="preserve">Der-Avakian et al. 2025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0.275–0.71</w:t>
            </w:r>
            <w:r>
              <w:rPr>
                <w:rFonts w:ascii="Calibri" w:cs="Calibri" w:eastAsia="Calibri" w:hAnsi="Calibri"/>
                <w:sz w:val="18"/>
                <w:szCs w:val="18"/>
              </w:rPr>
              <w:t xml:space="preserve">  mean — 4 comparisons, median 0.4395 — lowest Q-values for non-target stimuli (0.275), highest Q-values for target stimuli (0.71) (</w:t>
            </w:r>
            <w:hyperlink w:history="1" r:id="rIdst6pitg948man0n6473r8">
              <w:r>
                <w:rPr>
                  <w:rFonts w:ascii="Calibri" w:cs="Calibri" w:eastAsia="Calibri" w:hAnsi="Calibri"/>
                  <w:color w:val="1155CC"/>
                  <w:sz w:val="18"/>
                  <w:szCs w:val="18"/>
                  <w:u w:val="single"/>
                </w:rPr>
                <w:t xml:space="preserve">Der-Avakian et al. 2025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2–26</w:t>
            </w:r>
            <w:r>
              <w:rPr>
                <w:rFonts w:ascii="Calibri" w:cs="Calibri" w:eastAsia="Calibri" w:hAnsi="Calibri"/>
                <w:sz w:val="18"/>
                <w:szCs w:val="18"/>
              </w:rPr>
              <w:t xml:space="preserve">  count — 3 comparisons, median 15 — lowest significant species x exercise interactions in blood biochemical parameters (2), highest parameters with similar alteration pattern post exercise (26) (</w:t>
            </w:r>
            <w:hyperlink w:history="1" r:id="rIdft-v6zhzd3mmzrteagxmd">
              <w:r>
                <w:rPr>
                  <w:rFonts w:ascii="Calibri" w:cs="Calibri" w:eastAsia="Calibri" w:hAnsi="Calibri"/>
                  <w:color w:val="1155CC"/>
                  <w:sz w:val="18"/>
                  <w:szCs w:val="18"/>
                  <w:u w:val="single"/>
                </w:rPr>
                <w:t xml:space="preserve">Goutianos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MHPS scores are normalized between 0 and 1, where 1 indicates the highest proximity to human MASLD. The 'improved and statistically significant agreement' for DEGs and DRPs is a qualitative statement without a specific numerical value provided beyond the overall 50% alignment rate for the whole transcriptome.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c. elegans</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TOO LITTLE EVIDENCE</w:t>
            </w:r>
          </w:p>
          <w:p>
            <w:pPr>
              <w:spacing w:after="60"/>
            </w:pPr>
            <w:r>
              <w:rPr>
                <w:rFonts w:ascii="Calibri" w:cs="Calibri" w:eastAsia="Calibri" w:hAnsi="Calibri"/>
                <w:sz w:val="18"/>
                <w:szCs w:val="18"/>
              </w:rPr>
              <w:t xml:space="preserve">Evidence shows modest cross-species transcriptomic concordance for C. elegans with Drosophila: genome-wide c-scores &gt;0.1 for most within-stage comparisons, though one pair (ce.lar–dm.lar) was 0.087. The study reports no direct C. elegans–human disease concordance.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Variation comes from different developmental stage pairs (some within-stage pairs exceeded 0.1 while ce.lar–dm.lar was 0.087).</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0.087–0.1</w:t>
            </w:r>
            <w:r>
              <w:rPr>
                <w:rFonts w:ascii="Calibri" w:cs="Calibri" w:eastAsia="Calibri" w:hAnsi="Calibri"/>
                <w:sz w:val="18"/>
                <w:szCs w:val="18"/>
              </w:rPr>
              <w:t xml:space="preserve">  c-score — 2 comparisons, median 0.0935 — lowest c-score for ce.lar-dm.lar (0.087), highest genome-wide c-scores between Drosophila and C. elegans stages (0.1) (</w:t>
            </w:r>
            <w:hyperlink w:history="1" r:id="rIdpg3jyt3vrb911nknjtnt8">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 melanogaster</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TOO LITTLE EVIDENCE</w:t>
            </w:r>
          </w:p>
          <w:p>
            <w:pPr>
              <w:spacing w:after="60"/>
            </w:pPr>
            <w:r>
              <w:rPr>
                <w:rFonts w:ascii="Calibri" w:cs="Calibri" w:eastAsia="Calibri" w:hAnsi="Calibri"/>
                <w:sz w:val="18"/>
                <w:szCs w:val="18"/>
              </w:rPr>
              <w:t xml:space="preserve">Zong et al. 2023 found modest within-stage transcriptome similarity between D. melanogaster and C. elegans (most genome-wide c-scores &gt;0.1; ce.lar–dm.lar c-score = 0.087). The study reports no direct D. melanogaster–human disease comparisons, so evidence is insufficient to judge tracking of human disease.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0.087–0.1</w:t>
            </w:r>
            <w:r>
              <w:rPr>
                <w:rFonts w:ascii="Calibri" w:cs="Calibri" w:eastAsia="Calibri" w:hAnsi="Calibri"/>
                <w:sz w:val="18"/>
                <w:szCs w:val="18"/>
              </w:rPr>
              <w:t xml:space="preserve">  c-score — 2 comparisons, median 0.0935 — lowest c-score for ce.lar-dm.lar (0.087), highest genome-wide c-scores between Drosophila and C. elegans stages (0.1) (</w:t>
            </w:r>
            <w:hyperlink w:history="1" r:id="rIdahycjmejfad9gr4mbfxmx">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horse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Oreff et al. 2021: Horse tenocyte transcriptomes resembled human under transient inflammation (Mahalanobis 9.59 vs 23.05 in healthy), and proliferation difference was small/non-significant under transient inflammation (slope 0.0233, p=0.49). Migration differed from human in healthy (slope 0.0133, p=0.0038) and constant inflammation (−0.014, p=0.0302).</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Similarity and functional measures change with inflammatory state (healthy vs transient vs constant), producing the varied distances and slope differences.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4.65–23.05</w:t>
            </w:r>
            <w:r>
              <w:rPr>
                <w:rFonts w:ascii="Calibri" w:cs="Calibri" w:eastAsia="Calibri" w:hAnsi="Calibri"/>
                <w:sz w:val="18"/>
                <w:szCs w:val="18"/>
              </w:rPr>
              <w:t xml:space="preserve">  mahalanobis distance — 7 comparisons, median 9.59 — lowest Mahalanobis distance to human for MMPs (MMP1, MMP3, MMP13) (4.65), highest Mahalanobis distance to human for all genes combined under healthy conditions (23.05) (</w:t>
            </w:r>
            <w:hyperlink w:history="1" r:id="rIdmqlyqagadldimmvdegqrk">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-0.064–0.3</w:t>
            </w:r>
            <w:r>
              <w:rPr>
                <w:rFonts w:ascii="Calibri" w:cs="Calibri" w:eastAsia="Calibri" w:hAnsi="Calibri"/>
                <w:sz w:val="18"/>
                <w:szCs w:val="18"/>
              </w:rPr>
              <w:t xml:space="preserve">  slope — 6 comparisons, median 0.00047815 — lowest Proliferation capacity (slope difference to human) under constant inflammation (-0.064), highest Proliferation capacity (slope difference to human) under healthy conditions (0.3) (</w:t>
            </w:r>
            <w:hyperlink w:history="1" r:id="rIdocomi6lnctw7e-0kv9x8l">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Tarandovskiy et al. 2020: baboon and rhesus thrombin measures approximated human values (thrombin peak 433.8 and 399.0 nM vs human 484.3; production rates 124.2 and 111.2 nM/min vs human 111.5). Plasmin peaks were higher (546–566 vs 457 nM) and plasmin production rate was markedly higher in baboon (90.8 vs 34.8 nM/min).</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Different metrics diverge: thrombin measures are close to human while plasmin production rates are substantially higher (especially in baboon).</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49.78–565.84</w:t>
            </w:r>
            <w:r>
              <w:rPr>
                <w:rFonts w:ascii="Calibri" w:cs="Calibri" w:eastAsia="Calibri" w:hAnsi="Calibri"/>
                <w:sz w:val="18"/>
                <w:szCs w:val="18"/>
              </w:rPr>
              <w:t xml:space="preserve">  mean — 16 comparisons, median 261.585 — lowest Plasmin Production Rate (Mean, nM/min) (49.78), highest Plasmin Concentration Peak (Mean, nM) (565.84) (</w:t>
            </w:r>
            <w:hyperlink w:history="1" r:id="rIdyqrmx-kpxfcp1hpxmv2z3">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pig</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Tarandovskiy et al. 2020: swine thrombin generation partly tracked human values (peak 242.35 nM vs 484.25; rate 93.6 vs 111.51 nM/min) but swine had no detectable plasmin while humans showed plasmin peak 457.2 nM and rate 34.8 nM/min. Thus swine reflect thrombin but not plasmin/fibrinolysis.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1.48–242.35</w:t>
            </w:r>
            <w:r>
              <w:rPr>
                <w:rFonts w:ascii="Calibri" w:cs="Calibri" w:eastAsia="Calibri" w:hAnsi="Calibri"/>
                <w:sz w:val="18"/>
                <w:szCs w:val="18"/>
              </w:rPr>
              <w:t xml:space="preserve">  mean — 12 comparisons, median 45.92 — lowest Plasmin Production Rate (Mean, nM/min) (1.48), highest Thrombin Concentration Peak (Mean, nM) (242.35) (</w:t>
            </w:r>
            <w:hyperlink w:history="1" r:id="rIdoaqhwrthqxg-vy6h1pa3x">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rabbit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Tarandovskiy et al. 2020: Rabbit thrombin generation was much lower than in humans (peak 71.6 nM = 15% of human 484.3; rate 14.9 nM/min = 13% of human 111.5), while plasmin measures were closer (peak 197.7 nM = 43%; rate 17.6 = 51%). Rabbit plasmin-generation curves were highly variable.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Rabbit plasmin-generation (PG) curves showed high variability.</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14.93–197.71</w:t>
            </w:r>
            <w:r>
              <w:rPr>
                <w:rFonts w:ascii="Calibri" w:cs="Calibri" w:eastAsia="Calibri" w:hAnsi="Calibri"/>
                <w:sz w:val="18"/>
                <w:szCs w:val="18"/>
              </w:rPr>
              <w:t xml:space="preserve">  mean — 8 comparisons, median 44.615 — lowest Thrombin Production Rate (Mean, nM/min) (14.93), highest Plasmin Concentration Peak (Mean, nM) (197.71) (</w:t>
            </w:r>
            <w:hyperlink w:history="1" r:id="rIdj5unnyvpuiq_2ungfd9hc">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sheep</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Oreff et al. 2021: sheep tenocyte transcriptomes match human differently by inflammation — Mahalanobis 24.78 (healthy), 10.62 (transient), 8.94 (constant), so sheep best approximate humans under constant inflammation. Proliferation/migration slope differences vs human were small (range −0.0878 to 0.1169) though some were significant.</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Similarity measures differ across the three inflammatory states tested (healthy vs transient vs constant).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8.6–24.78</w:t>
            </w:r>
            <w:r>
              <w:rPr>
                <w:rFonts w:ascii="Calibri" w:cs="Calibri" w:eastAsia="Calibri" w:hAnsi="Calibri"/>
                <w:sz w:val="18"/>
                <w:szCs w:val="18"/>
              </w:rPr>
              <w:t xml:space="preserve">  mahalanobis distance — 7 comparisons, median 10.62 — lowest Mahalanobis distance to human for MMPs (MMP1, MMP3, MMP13) (8.6), highest Mahalanobis distance to human for all genes combined under healthy conditions (24.78) (</w:t>
            </w:r>
            <w:hyperlink w:history="1" r:id="rIdx53y2pruxrqpkbmmiexn7">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-0.0878–0.1169</w:t>
            </w:r>
            <w:r>
              <w:rPr>
                <w:rFonts w:ascii="Calibri" w:cs="Calibri" w:eastAsia="Calibri" w:hAnsi="Calibri"/>
                <w:sz w:val="18"/>
                <w:szCs w:val="18"/>
              </w:rPr>
              <w:t xml:space="preserve">  slope — 6 comparisons, median 0.0036775 — lowest Proliferation capacity (slope difference to human) under constant inflammation (-0.0878), highest Proliferation capacity (slope difference to human) under healthy conditions (0.1169) (</w:t>
            </w:r>
            <w:hyperlink w:history="1" r:id="rIdi1nj90t-fkzidn-7ny9yy">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Veterinary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does not support</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dog cancer models show substantial concordance with humans in many cancers (model robustness 31–85% across cancer types; Daluwatumulle et al. 2026), but RPE65 gene therapy outcomes did not translate—dogs had near‑normal ERG while humans showed no sustained ERG improvement (Petersen‑Jones et al. 2015).</w:t>
            </w:r>
          </w:p>
          <w:p>
            <w:pPr>
              <w:spacing w:after="50"/>
            </w:pPr>
            <w:r>
              <w:rPr>
                <w:rFonts w:ascii="Calibri" w:cs="Calibri" w:eastAsia="Calibri" w:hAnsi="Calibri"/>
                <w:b/>
                <w:bCs/>
                <w:color w:val="8A6D00"/>
                <w:sz w:val="17"/>
                <w:szCs w:val="17"/>
              </w:rPr>
              <w:t xml:space="preserve">Negative controls. </w:t>
            </w:r>
            <w:r>
              <w:rPr>
                <w:rFonts w:ascii="Calibri" w:cs="Calibri" w:eastAsia="Calibri" w:hAnsi="Calibri"/>
                <w:i/>
                <w:iCs/>
                <w:color w:val="8A6D00"/>
                <w:sz w:val="17"/>
                <w:szCs w:val="17"/>
              </w:rPr>
              <w:t xml:space="preserve">Negative-control cancers (ACC, LAML) had the lowest scores (≈31–40%). These are designed to score low and are excluded from the reading above.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Range reflects large variation across cancer types, adult vs pediatric cohorts, and inclusion of positive vs negative control cancers.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31–85.05%</w:t>
            </w:r>
            <w:r>
              <w:rPr>
                <w:rFonts w:ascii="Calibri" w:cs="Calibri" w:eastAsia="Calibri" w:hAnsi="Calibri"/>
                <w:sz w:val="18"/>
                <w:szCs w:val="18"/>
              </w:rPr>
              <w:t xml:space="preserve">  score — 20 comparisons, median 61.73% — lowest model robustness score for ACC (negative control) (31%), highest model robustness score for adult bladder cancer (85.05%) (</w:t>
            </w:r>
            <w:hyperlink w:history="1" r:id="rId3gopuhluthzcyi62h1nib">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0–24%</w:t>
            </w:r>
            <w:r>
              <w:rPr>
                <w:rFonts w:ascii="Calibri" w:cs="Calibri" w:eastAsia="Calibri" w:hAnsi="Calibri"/>
                <w:sz w:val="18"/>
                <w:szCs w:val="18"/>
              </w:rPr>
              <w:t xml:space="preserve">  percentage — 4 comparisons, median 3.5% — lowest percentage of cancer-specific DEGs for adult BLCA (0%), highest percentage of cancer-specific DEGs for adult DLBC (24%) (</w:t>
            </w:r>
            <w:hyperlink w:history="1" r:id="rId66sp1a6tdybwb1jgaufvu">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0.007–0.047</w:t>
            </w:r>
            <w:r>
              <w:rPr>
                <w:rFonts w:ascii="Calibri" w:cs="Calibri" w:eastAsia="Calibri" w:hAnsi="Calibri"/>
                <w:sz w:val="18"/>
                <w:szCs w:val="18"/>
              </w:rPr>
              <w:t xml:space="preserve">  normalized absolute distance — normalized absolute distance of per-gene median expression between species (</w:t>
            </w:r>
            <w:hyperlink w:history="1" r:id="rIdkfceenzynt7d5vbvc-ber">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0.92–0.99</w:t>
            </w:r>
            <w:r>
              <w:rPr>
                <w:rFonts w:ascii="Calibri" w:cs="Calibri" w:eastAsia="Calibri" w:hAnsi="Calibri"/>
                <w:sz w:val="18"/>
                <w:szCs w:val="18"/>
              </w:rPr>
              <w:t xml:space="preserve">  auc — 2 comparisons, median 0.955 — lowest AUC for adult samples (elastic net model) (0.92), highest AUC for pediatric samples (random forest model) (0.99) (</w:t>
            </w:r>
            <w:hyperlink w:history="1" r:id="rIdufdhurma2qrmiypmnwy3p">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31–85%</w:t>
            </w:r>
            <w:r>
              <w:rPr>
                <w:rFonts w:ascii="Calibri" w:cs="Calibri" w:eastAsia="Calibri" w:hAnsi="Calibri"/>
                <w:sz w:val="18"/>
                <w:szCs w:val="18"/>
              </w:rPr>
              <w:t xml:space="preserve">  range — model robustness score range (</w:t>
            </w:r>
            <w:hyperlink w:history="1" r:id="rIdomftt2vdludb8wv7xd5dy">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tc>
      </w:tr>
    </w:tbl>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glnypaeohdlzw9bfnb5b" Type="http://schemas.openxmlformats.org/officeDocument/2006/relationships/hyperlink" Target="https://rohitium.github.io/animal-model-concordance/" TargetMode="External"/><Relationship Id="rIdnl4x6g8d7i0dgscnvu-hd" Type="http://schemas.openxmlformats.org/officeDocument/2006/relationships/hyperlink" Target="https://pubmed.ncbi.nlm.nih.gov/16453316/" TargetMode="External"/><Relationship Id="rIdvrpqki8fqw9aylil82jpg" Type="http://schemas.openxmlformats.org/officeDocument/2006/relationships/hyperlink" Target="https://pubmed.ncbi.nlm.nih.gov/16453316/" TargetMode="External"/><Relationship Id="rIdakcfbfiu1b9izt-vkfpj4" Type="http://schemas.openxmlformats.org/officeDocument/2006/relationships/hyperlink" Target="https://pubmed.ncbi.nlm.nih.gov/31307492/" TargetMode="External"/><Relationship Id="rIdrtnvv980rucxz0jujtrsj" Type="http://schemas.openxmlformats.org/officeDocument/2006/relationships/hyperlink" Target="https://pubmed.ncbi.nlm.nih.gov/32391273/" TargetMode="External"/><Relationship Id="rIdb48fitmc0aalwtvyvs7nm" Type="http://schemas.openxmlformats.org/officeDocument/2006/relationships/hyperlink" Target="https://pubmed.ncbi.nlm.nih.gov/32391273/" TargetMode="External"/><Relationship Id="rIdvgwfl2ga7iypfiqtoe__q" Type="http://schemas.openxmlformats.org/officeDocument/2006/relationships/hyperlink" Target="https://pubmed.ncbi.nlm.nih.gov/32391273/" TargetMode="External"/><Relationship Id="rIdcmvxsnghddemzdzkj3a70" Type="http://schemas.openxmlformats.org/officeDocument/2006/relationships/hyperlink" Target="https://pubmed.ncbi.nlm.nih.gov/32391273/" TargetMode="External"/><Relationship Id="rIdqecpzz43bjbhvkfgzdhrn" Type="http://schemas.openxmlformats.org/officeDocument/2006/relationships/hyperlink" Target="https://pubmed.ncbi.nlm.nih.gov/31307492/" TargetMode="External"/><Relationship Id="rIdmz47fwgpjgbpyqdn1ob1o" Type="http://schemas.openxmlformats.org/officeDocument/2006/relationships/hyperlink" Target="https://pubmed.ncbi.nlm.nih.gov/17175568/" TargetMode="External"/><Relationship Id="rIdzqw1ml7f-46grta33skni" Type="http://schemas.openxmlformats.org/officeDocument/2006/relationships/hyperlink" Target="https://pubmed.ncbi.nlm.nih.gov/28893587/" TargetMode="External"/><Relationship Id="rIdbsipmgd_9jsh92x06wytq" Type="http://schemas.openxmlformats.org/officeDocument/2006/relationships/hyperlink" Target="https://pubmed.ncbi.nlm.nih.gov/28893587/" TargetMode="External"/><Relationship Id="rIdjr2t-bewggrkmvx2fys_z" Type="http://schemas.openxmlformats.org/officeDocument/2006/relationships/hyperlink" Target="https://pubmed.ncbi.nlm.nih.gov/31694927/" TargetMode="External"/><Relationship Id="rIdilqwxdgkvapi68u0okodp" Type="http://schemas.openxmlformats.org/officeDocument/2006/relationships/hyperlink" Target="https://pubmed.ncbi.nlm.nih.gov/28893587/" TargetMode="External"/><Relationship Id="rIdimfx0zfcatf4hookgsnud" Type="http://schemas.openxmlformats.org/officeDocument/2006/relationships/hyperlink" Target="https://pubmed.ncbi.nlm.nih.gov/32868897/" TargetMode="External"/><Relationship Id="rIdvsv0biujlb1rvu3roy2xb" Type="http://schemas.openxmlformats.org/officeDocument/2006/relationships/hyperlink" Target="https://pubmed.ncbi.nlm.nih.gov/32868897/" TargetMode="External"/><Relationship Id="rIdnlyzocuxttqt3hikfd9kf" Type="http://schemas.openxmlformats.org/officeDocument/2006/relationships/hyperlink" Target="https://pubmed.ncbi.nlm.nih.gov/28893587/" TargetMode="External"/><Relationship Id="rIdbccyiil3neeu70exm7tno" Type="http://schemas.openxmlformats.org/officeDocument/2006/relationships/hyperlink" Target="https://pubmed.ncbi.nlm.nih.gov/28893587/" TargetMode="External"/><Relationship Id="rIdi1n1ybumppo05x-a7txlm" Type="http://schemas.openxmlformats.org/officeDocument/2006/relationships/hyperlink" Target="https://pubmed.ncbi.nlm.nih.gov/28893587/" TargetMode="External"/><Relationship Id="rIdusfmdpevqbkpcwje9wleo" Type="http://schemas.openxmlformats.org/officeDocument/2006/relationships/hyperlink" Target="https://pubmed.ncbi.nlm.nih.gov/32868897/" TargetMode="External"/><Relationship Id="rIdba4q1_mdjndfur4rai6m1" Type="http://schemas.openxmlformats.org/officeDocument/2006/relationships/hyperlink" Target="https://pubmed.ncbi.nlm.nih.gov/32868897/" TargetMode="External"/><Relationship Id="rIdbzxjqig-txvjrvgz6u0e0" Type="http://schemas.openxmlformats.org/officeDocument/2006/relationships/hyperlink" Target="https://pubmed.ncbi.nlm.nih.gov/29730448/" TargetMode="External"/><Relationship Id="rIdtr3kicrtckfh97rd9j0nt" Type="http://schemas.openxmlformats.org/officeDocument/2006/relationships/hyperlink" Target="https://pubmed.ncbi.nlm.nih.gov/29730448/" TargetMode="External"/><Relationship Id="rIdmjfmlh8s25wgtztzxf8ws" Type="http://schemas.openxmlformats.org/officeDocument/2006/relationships/hyperlink" Target="https://pubmed.ncbi.nlm.nih.gov/32868897/" TargetMode="External"/><Relationship Id="rId1hwghoveilykeehxhvads" Type="http://schemas.openxmlformats.org/officeDocument/2006/relationships/hyperlink" Target="https://pubmed.ncbi.nlm.nih.gov/32868897/" TargetMode="External"/><Relationship Id="rIdpg55bprchgyyyrt1tnbnw" Type="http://schemas.openxmlformats.org/officeDocument/2006/relationships/hyperlink" Target="https://pubmed.ncbi.nlm.nih.gov/31694927/" TargetMode="External"/><Relationship Id="rIdcyfpaleauiigociysyznw" Type="http://schemas.openxmlformats.org/officeDocument/2006/relationships/hyperlink" Target="https://pubmed.ncbi.nlm.nih.gov/29730448/" TargetMode="External"/><Relationship Id="rIdpk2wwlv5urmzgrviqmxlh" Type="http://schemas.openxmlformats.org/officeDocument/2006/relationships/hyperlink" Target="https://pubmed.ncbi.nlm.nih.gov/26753942/" TargetMode="External"/><Relationship Id="rIdoyayscglrdb6uiym9lng-" Type="http://schemas.openxmlformats.org/officeDocument/2006/relationships/hyperlink" Target="https://pubmed.ncbi.nlm.nih.gov/29730448/" TargetMode="External"/><Relationship Id="rIdxylzyoajyzudfqg6cvumg" Type="http://schemas.openxmlformats.org/officeDocument/2006/relationships/hyperlink" Target="https://pubmed.ncbi.nlm.nih.gov/32868897/" TargetMode="External"/><Relationship Id="rIdg80pxegd-4ejxujdptmcf" Type="http://schemas.openxmlformats.org/officeDocument/2006/relationships/hyperlink" Target="https://pubmed.ncbi.nlm.nih.gov/32868897/" TargetMode="External"/><Relationship Id="rIdhjzgbibmzd2bh-2icql9s" Type="http://schemas.openxmlformats.org/officeDocument/2006/relationships/hyperlink" Target="https://pubmed.ncbi.nlm.nih.gov/26753942/" TargetMode="External"/><Relationship Id="rIdgdgk_xxfixxt-b3kfjh6h" Type="http://schemas.openxmlformats.org/officeDocument/2006/relationships/hyperlink" Target="https://pubmed.ncbi.nlm.nih.gov/28422076/" TargetMode="External"/><Relationship Id="rIdfb-jrupeq3kuxpawzb_72" Type="http://schemas.openxmlformats.org/officeDocument/2006/relationships/hyperlink" Target="https://pubmed.ncbi.nlm.nih.gov/28422076/" TargetMode="External"/><Relationship Id="rIdn5rs0uhm9oi7nrcsqeiqw" Type="http://schemas.openxmlformats.org/officeDocument/2006/relationships/hyperlink" Target="https://pubmed.ncbi.nlm.nih.gov/28422076/" TargetMode="External"/><Relationship Id="rId2_cqtuqaudendkrpu2wu2" Type="http://schemas.openxmlformats.org/officeDocument/2006/relationships/hyperlink" Target="https://pubmed.ncbi.nlm.nih.gov/18468556/" TargetMode="External"/><Relationship Id="rIdz5xqitj2fuo0c1-tqy_xv" Type="http://schemas.openxmlformats.org/officeDocument/2006/relationships/hyperlink" Target="https://pubmed.ncbi.nlm.nih.gov/18468556/" TargetMode="External"/><Relationship Id="rIdm-oth_p1cyy-vboldczvz" Type="http://schemas.openxmlformats.org/officeDocument/2006/relationships/hyperlink" Target="https://pubmed.ncbi.nlm.nih.gov/18468556/" TargetMode="External"/><Relationship Id="rIdjblcs1fopssczvdbi4t3u" Type="http://schemas.openxmlformats.org/officeDocument/2006/relationships/hyperlink" Target="https://pubmed.ncbi.nlm.nih.gov/29730448/" TargetMode="External"/><Relationship Id="rId9vcohlzkfmwedq5gungif" Type="http://schemas.openxmlformats.org/officeDocument/2006/relationships/hyperlink" Target="https://pubmed.ncbi.nlm.nih.gov/29730448/" TargetMode="External"/><Relationship Id="rId1k65-j48arkfza02gxklj" Type="http://schemas.openxmlformats.org/officeDocument/2006/relationships/hyperlink" Target="https://pubmed.ncbi.nlm.nih.gov/26753942/" TargetMode="External"/><Relationship Id="rIdcvvfsluoye3ocfr3ldapt" Type="http://schemas.openxmlformats.org/officeDocument/2006/relationships/hyperlink" Target="https://pubmed.ncbi.nlm.nih.gov/28893587/" TargetMode="External"/><Relationship Id="rIdlgiiqwlsmu_s4naf7wn6i" Type="http://schemas.openxmlformats.org/officeDocument/2006/relationships/hyperlink" Target="https://pubmed.ncbi.nlm.nih.gov/28893587/" TargetMode="External"/><Relationship Id="rIdbxvd99l5ctovrchoeese9" Type="http://schemas.openxmlformats.org/officeDocument/2006/relationships/hyperlink" Target="https://pubmed.ncbi.nlm.nih.gov/28893587/" TargetMode="External"/><Relationship Id="rIdshb2f0g_auo-uzeiwll5u" Type="http://schemas.openxmlformats.org/officeDocument/2006/relationships/hyperlink" Target="https://pubmed.ncbi.nlm.nih.gov/28893587/" TargetMode="External"/><Relationship Id="rIdx5zhwan0xqwealug4gtcr" Type="http://schemas.openxmlformats.org/officeDocument/2006/relationships/hyperlink" Target="https://pubmed.ncbi.nlm.nih.gov/28893587/" TargetMode="External"/><Relationship Id="rIdz0x9c6ahda6h9taf1vbce" Type="http://schemas.openxmlformats.org/officeDocument/2006/relationships/hyperlink" Target="https://pubmed.ncbi.nlm.nih.gov/28903488/" TargetMode="External"/><Relationship Id="rIdkecbldvussqy6eb_7a_-q" Type="http://schemas.openxmlformats.org/officeDocument/2006/relationships/hyperlink" Target="https://pubmed.ncbi.nlm.nih.gov/30726989/" TargetMode="External"/><Relationship Id="rIdg0f8y-ucpfk8jlpzc7dzd" Type="http://schemas.openxmlformats.org/officeDocument/2006/relationships/hyperlink" Target="https://pubmed.ncbi.nlm.nih.gov/30726989/" TargetMode="External"/><Relationship Id="rIdepueuyrhsfs0bqii4b9wp" Type="http://schemas.openxmlformats.org/officeDocument/2006/relationships/hyperlink" Target="https://pubmed.ncbi.nlm.nih.gov/38852684/" TargetMode="External"/><Relationship Id="rIdsjq_zsmaynqeo_mr7gijf" Type="http://schemas.openxmlformats.org/officeDocument/2006/relationships/hyperlink" Target="https://pubmed.ncbi.nlm.nih.gov/38852684/" TargetMode="External"/><Relationship Id="rId-2r1i0cbzwnm29buiuwxt" Type="http://schemas.openxmlformats.org/officeDocument/2006/relationships/hyperlink" Target="https://pubmed.ncbi.nlm.nih.gov/35148401/" TargetMode="External"/><Relationship Id="rIdcxxt31vvhlik_q0zcrbrw" Type="http://schemas.openxmlformats.org/officeDocument/2006/relationships/hyperlink" Target="https://pubmed.ncbi.nlm.nih.gov/30726989/" TargetMode="External"/><Relationship Id="rIdj6nczusszxttrvytrnrp9" Type="http://schemas.openxmlformats.org/officeDocument/2006/relationships/hyperlink" Target="https://pubmed.ncbi.nlm.nih.gov/30726989/" TargetMode="External"/><Relationship Id="rIdn90asl_6n22ew6h2iv0nh" Type="http://schemas.openxmlformats.org/officeDocument/2006/relationships/hyperlink" Target="https://pubmed.ncbi.nlm.nih.gov/38852684/" TargetMode="External"/><Relationship Id="rIdvztzk0nzzqlednca4ar9r" Type="http://schemas.openxmlformats.org/officeDocument/2006/relationships/hyperlink" Target="https://pubmed.ncbi.nlm.nih.gov/38852684/" TargetMode="External"/><Relationship Id="rIdzqh_mnnpfbs4voolawdon" Type="http://schemas.openxmlformats.org/officeDocument/2006/relationships/hyperlink" Target="https://pubmed.ncbi.nlm.nih.gov/30726989/" TargetMode="External"/><Relationship Id="rIdzmgozyrusxfopzlvj-h8g" Type="http://schemas.openxmlformats.org/officeDocument/2006/relationships/hyperlink" Target="https://pubmed.ncbi.nlm.nih.gov/30726989/" TargetMode="External"/><Relationship Id="rIdyki4uv_jqum-vxcxu59zo" Type="http://schemas.openxmlformats.org/officeDocument/2006/relationships/hyperlink" Target="https://pubmed.ncbi.nlm.nih.gov/30726989/" TargetMode="External"/><Relationship Id="rIdzbx_iqjqg89zkgehbdgtl" Type="http://schemas.openxmlformats.org/officeDocument/2006/relationships/hyperlink" Target="https://pubmed.ncbi.nlm.nih.gov/30726989/" TargetMode="External"/><Relationship Id="rId82gz7qj7tpgz-vzqnwj59" Type="http://schemas.openxmlformats.org/officeDocument/2006/relationships/hyperlink" Target="https://pubmed.ncbi.nlm.nih.gov/30726989/" TargetMode="External"/><Relationship Id="rId31pdb8nmlsss8_bcz6f2p" Type="http://schemas.openxmlformats.org/officeDocument/2006/relationships/hyperlink" Target="https://pubmed.ncbi.nlm.nih.gov/30726989/" TargetMode="External"/><Relationship Id="rIdy8hhir-0gzgmuwgxc25kd" Type="http://schemas.openxmlformats.org/officeDocument/2006/relationships/hyperlink" Target="https://pubmed.ncbi.nlm.nih.gov/30726989/" TargetMode="External"/><Relationship Id="rIdtku4y-icrui_832-euo24" Type="http://schemas.openxmlformats.org/officeDocument/2006/relationships/hyperlink" Target="https://pubmed.ncbi.nlm.nih.gov/25092317/" TargetMode="External"/><Relationship Id="rId_yfbq_td4nmemsvo3dben" Type="http://schemas.openxmlformats.org/officeDocument/2006/relationships/hyperlink" Target="https://pubmed.ncbi.nlm.nih.gov/23401516/" TargetMode="External"/><Relationship Id="rIdd6yob-t6mw2p1u8wy9dwh" Type="http://schemas.openxmlformats.org/officeDocument/2006/relationships/hyperlink" Target="https://pubmed.ncbi.nlm.nih.gov/25092317/" TargetMode="External"/><Relationship Id="rIdu2rwsb4pdf94eptuk1mrh" Type="http://schemas.openxmlformats.org/officeDocument/2006/relationships/hyperlink" Target="https://pubmed.ncbi.nlm.nih.gov/39255793/" TargetMode="External"/><Relationship Id="rId61eukawejvycsxygg-1mg" Type="http://schemas.openxmlformats.org/officeDocument/2006/relationships/hyperlink" Target="https://pubmed.ncbi.nlm.nih.gov/23401516/" TargetMode="External"/><Relationship Id="rIdo8iloelw-sf-s2ftiqrhl" Type="http://schemas.openxmlformats.org/officeDocument/2006/relationships/hyperlink" Target="https://pubmed.ncbi.nlm.nih.gov/27261415/" TargetMode="External"/><Relationship Id="rIdeiwu0dpwaayjlcqqj2wws" Type="http://schemas.openxmlformats.org/officeDocument/2006/relationships/hyperlink" Target="https://pubmed.ncbi.nlm.nih.gov/34558834/" TargetMode="External"/><Relationship Id="rIdq_bxasha_8hf2uwqffwlk" Type="http://schemas.openxmlformats.org/officeDocument/2006/relationships/hyperlink" Target="https://pubmed.ncbi.nlm.nih.gov/34127759/" TargetMode="External"/><Relationship Id="rIdkplgdi-k9gugaqqe2nhp1" Type="http://schemas.openxmlformats.org/officeDocument/2006/relationships/hyperlink" Target="https://pubmed.ncbi.nlm.nih.gov/32127577/" TargetMode="External"/><Relationship Id="rIdcwrnpmnyn3nqbm9hp_hzg" Type="http://schemas.openxmlformats.org/officeDocument/2006/relationships/hyperlink" Target="https://pubmed.ncbi.nlm.nih.gov/34127759/" TargetMode="External"/><Relationship Id="rIdylyxhdenvtgyidtnytwz1" Type="http://schemas.openxmlformats.org/officeDocument/2006/relationships/hyperlink" Target="https://pubmed.ncbi.nlm.nih.gov/34127759/" TargetMode="External"/><Relationship Id="rIdsndi8tbdqfvvf5ag6bvl7" Type="http://schemas.openxmlformats.org/officeDocument/2006/relationships/hyperlink" Target="https://pubmed.ncbi.nlm.nih.gov/40849367/" TargetMode="External"/><Relationship Id="rIdst6pitg948man0n6473r8" Type="http://schemas.openxmlformats.org/officeDocument/2006/relationships/hyperlink" Target="https://pubmed.ncbi.nlm.nih.gov/40849367/" TargetMode="External"/><Relationship Id="rIdft-v6zhzd3mmzrteagxmd" Type="http://schemas.openxmlformats.org/officeDocument/2006/relationships/hyperlink" Target="https://pubmed.ncbi.nlm.nih.gov/25677548/" TargetMode="External"/><Relationship Id="rIdpg3jyt3vrb911nknjtnt8" Type="http://schemas.openxmlformats.org/officeDocument/2006/relationships/hyperlink" Target="https://pubmed.ncbi.nlm.nih.gov/36730203/" TargetMode="External"/><Relationship Id="rIdahycjmejfad9gr4mbfxmx" Type="http://schemas.openxmlformats.org/officeDocument/2006/relationships/hyperlink" Target="https://pubmed.ncbi.nlm.nih.gov/36730203/" TargetMode="External"/><Relationship Id="rIdmqlyqagadldimmvdegqrk" Type="http://schemas.openxmlformats.org/officeDocument/2006/relationships/hyperlink" Target="https://pubmed.ncbi.nlm.nih.gov/34127759/" TargetMode="External"/><Relationship Id="rIdocomi6lnctw7e-0kv9x8l" Type="http://schemas.openxmlformats.org/officeDocument/2006/relationships/hyperlink" Target="https://pubmed.ncbi.nlm.nih.gov/34127759/" TargetMode="External"/><Relationship Id="rIdyqrmx-kpxfcp1hpxmv2z3" Type="http://schemas.openxmlformats.org/officeDocument/2006/relationships/hyperlink" Target="https://pubmed.ncbi.nlm.nih.gov/32127577/" TargetMode="External"/><Relationship Id="rIdoaqhwrthqxg-vy6h1pa3x" Type="http://schemas.openxmlformats.org/officeDocument/2006/relationships/hyperlink" Target="https://pubmed.ncbi.nlm.nih.gov/32127577/" TargetMode="External"/><Relationship Id="rIdj5unnyvpuiq_2ungfd9hc" Type="http://schemas.openxmlformats.org/officeDocument/2006/relationships/hyperlink" Target="https://pubmed.ncbi.nlm.nih.gov/32127577/" TargetMode="External"/><Relationship Id="rIdx53y2pruxrqpkbmmiexn7" Type="http://schemas.openxmlformats.org/officeDocument/2006/relationships/hyperlink" Target="https://pubmed.ncbi.nlm.nih.gov/34127759/" TargetMode="External"/><Relationship Id="rIdi1nj90t-fkzidn-7ny9yy" Type="http://schemas.openxmlformats.org/officeDocument/2006/relationships/hyperlink" Target="https://pubmed.ncbi.nlm.nih.gov/34127759/" TargetMode="External"/><Relationship Id="rId3gopuhluthzcyi62h1nib" Type="http://schemas.openxmlformats.org/officeDocument/2006/relationships/hyperlink" Target="https://pubmed.ncbi.nlm.nih.gov/42245789/" TargetMode="External"/><Relationship Id="rId66sp1a6tdybwb1jgaufvu" Type="http://schemas.openxmlformats.org/officeDocument/2006/relationships/hyperlink" Target="https://pubmed.ncbi.nlm.nih.gov/42245789/" TargetMode="External"/><Relationship Id="rIdkfceenzynt7d5vbvc-ber" Type="http://schemas.openxmlformats.org/officeDocument/2006/relationships/hyperlink" Target="https://pubmed.ncbi.nlm.nih.gov/42245789/" TargetMode="External"/><Relationship Id="rIdufdhurma2qrmiypmnwy3p" Type="http://schemas.openxmlformats.org/officeDocument/2006/relationships/hyperlink" Target="https://pubmed.ncbi.nlm.nih.gov/42245789/" TargetMode="External"/><Relationship Id="rIdomftt2vdludb8wv7xd5dy" Type="http://schemas.openxmlformats.org/officeDocument/2006/relationships/hyperlink" Target="https://pubmed.ncbi.nlm.nih.gov/42245789/" TargetMode="External"/><Relationship Id="rId9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2026-08-23T05:47:14.582Z</dcterms:created>
  <dcterms:modified xsi:type="dcterms:W3CDTF">2026-08-23T05:47:14.583Z</dcterms:modified>
</cp:coreProperties>
</file>

<file path=docProps/custom.xml><?xml version="1.0" encoding="utf-8"?>
<Properties xmlns="http://schemas.openxmlformats.org/officeDocument/2006/custom-properties" xmlns:vt="http://schemas.openxmlformats.org/officeDocument/2006/docPropsVTypes"/>
</file>