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sz w:val="30"/>
          <w:szCs w:val="30"/>
        </w:rPr>
        <w:t xml:space="preserve">How well do animal models predict human clinical outcomes?</w:t>
      </w:r>
    </w:p>
    <w:p>
      <w:pPr>
        <w:spacing w:after="80"/>
      </w:pPr>
      <w:r>
        <w:rPr>
          <w:rFonts w:ascii="Calibri" w:cs="Calibri" w:eastAsia="Calibri" w:hAnsi="Calibri"/>
          <w:color w:val="444444"/>
          <w:sz w:val="18"/>
          <w:szCs w:val="18"/>
        </w:rPr>
        <w:t xml:space="preserve">Evidence by assessment and model organism. Each figure is reported as the study reported it, in its own units. Nothing is averaged across studies; a range spans only figures measuring the same thing. Grouped labels such as “rodent” are kept as reported and never expanded into member species. Each row opens with a synthesis of what the evidence shows; the underlying figures follow. Study names link to PubMed.</w:t>
      </w:r>
    </w:p>
    <w:p>
      <w:pPr>
        <w:spacing w:after="200"/>
      </w:pPr>
      <w:r>
        <w:rPr>
          <w:rFonts w:ascii="Calibri" w:cs="Calibri" w:eastAsia="Calibri" w:hAnsi="Calibri"/>
          <w:color w:val="444444"/>
          <w:sz w:val="18"/>
          <w:szCs w:val="18"/>
        </w:rPr>
        <w:t xml:space="preserve">Source: </w:t>
      </w:r>
      <w:hyperlink w:history="1" r:id="rIdesb7ccpllrogi8jcodgpf">
        <w:r>
          <w:rPr>
            <w:rFonts w:ascii="Calibri" w:cs="Calibri" w:eastAsia="Calibri" w:hAnsi="Calibri"/>
            <w:color w:val="1155CC"/>
            <w:sz w:val="18"/>
            <w:szCs w:val="18"/>
            <w:u w:val="single"/>
          </w:rPr>
          <w:t xml:space="preserve">rohitium.github.io/animal-model-concordance</w:t>
        </w:r>
      </w:hyperlink>
      <w:r>
        <w:rPr>
          <w:rFonts w:ascii="Calibri" w:cs="Calibri" w:eastAsia="Calibri" w:hAnsi="Calibri"/>
          <w:color w:val="444444"/>
          <w:sz w:val="18"/>
          <w:szCs w:val="18"/>
        </w:rPr>
        <w:t xml:space="preserve">  ·  Not peer reviewed. Screening and extraction were model-assisted and have not been verified by a second reader. Verdict reliability: two independent raters agree on 73% of studies (Cohen’s kappa 0.58).</w:t>
      </w:r>
    </w:p>
    <w:tbl>
      <w:tblPr>
        <w:tblW w:type="dxa" w:w="13440"/>
        <w:tblBorders>
          <w:top w:val="single" w:color="C9CFD6" w:sz="2"/>
          <w:left w:val="single" w:color="C9CFD6" w:sz="2"/>
          <w:bottom w:val="single" w:color="C9CFD6" w:sz="2"/>
          <w:right w:val="single" w:color="C9CFD6" w:sz="2"/>
          <w:insideH w:val="single" w:color="C9CFD6" w:sz="2"/>
          <w:insideV w:val="single" w:color="C9CFD6" w:sz="2"/>
        </w:tblBorders>
      </w:tblPr>
      <w:tblGrid>
        <w:gridCol w:w="1700"/>
        <w:gridCol w:w="1500"/>
        <w:gridCol w:w="10240"/>
      </w:tblGrid>
      <w:tr>
        <w:trPr>
          <w:tblHeader/>
        </w:trPr>
        <w:tc>
          <w:tcPr>
            <w:tcW w:type="dxa" w:w="1700"/>
            <w:shd w:fill="2E3B4E"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Assessment</w:t>
            </w:r>
          </w:p>
        </w:tc>
        <w:tc>
          <w:tcPr>
            <w:tcW w:type="dxa" w:w="1500"/>
            <w:shd w:fill="2E3B4E"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Model organism</w:t>
            </w:r>
          </w:p>
        </w:tc>
        <w:tc>
          <w:tcPr>
            <w:tcW w:type="dxa" w:w="10240"/>
            <w:shd w:fill="2E3B4E" w:color="auto" w:val="clear"/>
            <w:tcMar>
              <w:top w:type="dxa" w:w="80"/>
              <w:left w:type="dxa" w:w="110"/>
              <w:bottom w:type="dxa" w:w="80"/>
              <w:right w:type="dxa" w:w="110"/>
            </w:tcMar>
          </w:tcPr>
          <w:p>
            <w:pPr>
              <w:spacing w:after="0"/>
            </w:pPr>
            <w:r>
              <w:rPr>
                <w:rFonts w:ascii="Calibri" w:cs="Calibri" w:eastAsia="Calibri" w:hAnsi="Calibri"/>
                <w:b/>
                <w:bCs/>
                <w:color w:val="FFFFFF"/>
                <w:sz w:val="19"/>
                <w:szCs w:val="19"/>
              </w:rPr>
              <w:t xml:space="preserve">Evidence</w:t>
            </w:r>
          </w:p>
        </w:tc>
      </w:tr>
      <w:tr>
        <w:tc>
          <w:tcPr>
            <w:tcW w:type="dxa" w:w="1700"/>
            <w:tcMar>
              <w:top w:type="dxa" w:w="80"/>
              <w:left w:type="dxa" w:w="110"/>
              <w:bottom w:type="dxa" w:w="80"/>
              <w:right w:type="dxa" w:w="110"/>
            </w:tcMar>
          </w:tcPr>
          <w:p>
            <w:pPr>
              <w:spacing w:after="0"/>
            </w:pPr>
            <w:r>
              <w:rPr>
                <w:rFonts w:ascii="Calibri" w:cs="Calibri" w:eastAsia="Calibri" w:hAnsi="Calibri"/>
                <w:b/>
                <w:bCs/>
                <w:sz w:val="19"/>
                <w:szCs w:val="19"/>
              </w:rPr>
              <w:t xml:space="preserve">Efficacy</w:t>
            </w:r>
          </w:p>
        </w:tc>
        <w:tc>
          <w:tcPr>
            <w:tcW w:type="dxa" w:w="1500"/>
            <w:tcMar>
              <w:top w:type="dxa" w:w="80"/>
              <w:left w:type="dxa" w:w="110"/>
              <w:bottom w:type="dxa" w:w="80"/>
              <w:right w:type="dxa" w:w="110"/>
            </w:tcMar>
          </w:tcPr>
          <w:p>
            <w:pPr>
              <w:spacing w:after="20"/>
            </w:pPr>
            <w:r>
              <w:rPr>
                <w:rFonts w:ascii="Calibri" w:cs="Calibri" w:eastAsia="Calibri" w:hAnsi="Calibri"/>
                <w:b/>
                <w:bCs/>
                <w:sz w:val="19"/>
                <w:szCs w:val="19"/>
              </w:rPr>
              <w:t xml:space="preserve">rodent</w:t>
            </w:r>
          </w:p>
          <w:p>
            <w:pPr>
              <w:spacing w:after="20"/>
            </w:pPr>
            <w:r>
              <w:rPr>
                <w:rFonts w:ascii="Calibri" w:cs="Calibri" w:eastAsia="Calibri" w:hAnsi="Calibri"/>
                <w:color w:val="666666"/>
                <w:sz w:val="17"/>
                <w:szCs w:val="17"/>
              </w:rPr>
              <w:t xml:space="preserve">3 studies</w:t>
            </w:r>
          </w:p>
          <w:p>
            <w:pPr>
              <w:spacing w:after="0"/>
            </w:pPr>
            <w:r>
              <w:rPr>
                <w:rFonts w:ascii="Calibri" w:cs="Calibri" w:eastAsia="Calibri" w:hAnsi="Calibri"/>
                <w:color w:val="666666"/>
                <w:sz w:val="16"/>
                <w:szCs w:val="16"/>
              </w:rPr>
              <w:t xml:space="preserve">2 does not support</w:t>
            </w:r>
          </w:p>
          <w:p>
            <w:pPr>
              <w:spacing w:after="0"/>
            </w:pPr>
            <w:r>
              <w:rPr>
                <w:rFonts w:ascii="Calibri" w:cs="Calibri" w:eastAsia="Calibri" w:hAnsi="Calibri"/>
                <w:color w:val="666666"/>
                <w:sz w:val="16"/>
                <w:szCs w:val="16"/>
              </w:rPr>
              <w:t xml:space="preserve">1 partly supports</w:t>
            </w:r>
          </w:p>
        </w:tc>
        <w:tc>
          <w:tcPr>
            <w:tcW w:type="dxa" w:w="10240"/>
            <w:tcMar>
              <w:top w:type="dxa" w:w="80"/>
              <w:left w:type="dxa" w:w="110"/>
              <w:bottom w:type="dxa" w:w="80"/>
              <w:right w:type="dxa" w:w="110"/>
            </w:tcMar>
          </w:tcPr>
          <w:p>
            <w:pPr>
              <w:spacing w:after="40"/>
            </w:pPr>
            <w:r>
              <w:rPr>
                <w:rFonts w:ascii="Calibri" w:cs="Calibri" w:eastAsia="Calibri" w:hAnsi="Calibri"/>
                <w:b/>
                <w:bCs/>
                <w:color w:val="8A2727"/>
                <w:sz w:val="16"/>
                <w:szCs w:val="16"/>
              </w:rPr>
              <w:t xml:space="preserve">EVIDENCE DOES NOT FAVOUR THE MODEL</w:t>
            </w:r>
          </w:p>
          <w:p>
            <w:pPr>
              <w:spacing w:after="60"/>
            </w:pPr>
            <w:r>
              <w:rPr>
                <w:rFonts w:ascii="Calibri" w:cs="Calibri" w:eastAsia="Calibri" w:hAnsi="Calibri"/>
                <w:sz w:val="18"/>
                <w:szCs w:val="18"/>
              </w:rPr>
              <w:t xml:space="preserve">Rodent efficacy findings did not reliably predict clinical efficacy: O'Collins et al. 2006 found similar mean neuroprotection in focal ischemia for drugs tested only in animals (24.4%) and drugs used clinically (31.3%, p&gt;0.05), and translation rates ranged 0–100% (Ritskes‑Hoitinga et al. 2022). Many preclinical studies (82%) reported positive findings, suggesting publication/selection bias.</w:t>
            </w:r>
          </w:p>
          <w:p>
            <w:pPr>
              <w:spacing w:after="60"/>
            </w:pPr>
            <w:r>
              <w:rPr>
                <w:rFonts w:ascii="Calibri" w:cs="Calibri" w:eastAsia="Calibri" w:hAnsi="Calibri"/>
                <w:b/>
                <w:bCs/>
                <w:color w:val="555555"/>
                <w:sz w:val="17"/>
                <w:szCs w:val="17"/>
              </w:rPr>
              <w:t xml:space="preserve">What varies across the range. </w:t>
            </w:r>
            <w:r>
              <w:rPr>
                <w:rFonts w:ascii="Calibri" w:cs="Calibri" w:eastAsia="Calibri" w:hAnsi="Calibri"/>
                <w:color w:val="555555"/>
                <w:sz w:val="17"/>
                <w:szCs w:val="17"/>
              </w:rPr>
              <w:t xml:space="preserve">Translation rates came from heterogeneous studies and outcomes across reviews and were affected by publication bias and selective reporting.</w:t>
            </w:r>
          </w:p>
          <w:p>
            <w:pPr>
              <w:spacing w:after="30"/>
            </w:pPr>
            <w:r>
              <w:rPr>
                <w:rFonts w:ascii="Calibri" w:cs="Calibri" w:eastAsia="Calibri" w:hAnsi="Calibri"/>
                <w:b/>
                <w:bCs/>
                <w:color w:val="666666"/>
                <w:sz w:val="16"/>
                <w:szCs w:val="16"/>
              </w:rPr>
              <w:t xml:space="preserve">Figures behind this row</w:t>
            </w:r>
          </w:p>
          <w:p>
            <w:pPr>
              <w:spacing w:after="70"/>
            </w:pPr>
            <w:r>
              <w:rPr>
                <w:rFonts w:ascii="Calibri" w:cs="Calibri" w:eastAsia="Calibri" w:hAnsi="Calibri"/>
                <w:b/>
                <w:bCs/>
                <w:sz w:val="19"/>
                <w:szCs w:val="19"/>
              </w:rPr>
              <w:t xml:space="preserve">3–70%</w:t>
            </w:r>
            <w:r>
              <w:rPr>
                <w:rFonts w:ascii="Calibri" w:cs="Calibri" w:eastAsia="Calibri" w:hAnsi="Calibri"/>
                <w:sz w:val="18"/>
                <w:szCs w:val="18"/>
              </w:rPr>
              <w:t xml:space="preserve">  proportion — neuroprotective efficacy in global ischemia models (superior to control) (</w:t>
            </w:r>
            <w:hyperlink w:history="1" r:id="rIdzkjc6p9kcaz-0qklbjoe6">
              <w:r>
                <w:rPr>
                  <w:rFonts w:ascii="Calibri" w:cs="Calibri" w:eastAsia="Calibri" w:hAnsi="Calibri"/>
                  <w:color w:val="1155CC"/>
                  <w:sz w:val="18"/>
                  <w:szCs w:val="18"/>
                  <w:u w:val="single"/>
                </w:rPr>
                <w:t xml:space="preserve">O'Collins et al. 2006</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4–62%</w:t>
            </w:r>
            <w:r>
              <w:rPr>
                <w:rFonts w:ascii="Calibri" w:cs="Calibri" w:eastAsia="Calibri" w:hAnsi="Calibri"/>
                <w:sz w:val="18"/>
                <w:szCs w:val="18"/>
              </w:rPr>
              <w:t xml:space="preserve">  proportion — neuroprotective efficacy in focal ischemia experimental results (superior to control) (</w:t>
            </w:r>
            <w:hyperlink w:history="1" r:id="rIdrvlrnozg6coxdykrk7iqv">
              <w:r>
                <w:rPr>
                  <w:rFonts w:ascii="Calibri" w:cs="Calibri" w:eastAsia="Calibri" w:hAnsi="Calibri"/>
                  <w:color w:val="1155CC"/>
                  <w:sz w:val="18"/>
                  <w:szCs w:val="18"/>
                  <w:u w:val="single"/>
                </w:rPr>
                <w:t xml:space="preserve">O'Collins et al. 2006</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24.4–31.3%</w:t>
            </w:r>
            <w:r>
              <w:rPr>
                <w:rFonts w:ascii="Calibri" w:cs="Calibri" w:eastAsia="Calibri" w:hAnsi="Calibri"/>
                <w:sz w:val="18"/>
                <w:szCs w:val="18"/>
              </w:rPr>
              <w:t xml:space="preserve">  mean, n=351 experimental agents — improvement in focal models for drugs tested only in animal models vs. drugs tested clinically (</w:t>
            </w:r>
            <w:hyperlink w:history="1" r:id="rIddrzqgodbtbm5xtzor1rng">
              <w:r>
                <w:rPr>
                  <w:rFonts w:ascii="Calibri" w:cs="Calibri" w:eastAsia="Calibri" w:hAnsi="Calibri"/>
                  <w:color w:val="1155CC"/>
                  <w:sz w:val="18"/>
                  <w:szCs w:val="18"/>
                  <w:u w:val="single"/>
                </w:rPr>
                <w:t xml:space="preserve">O'Collins et al. 2006</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74%</w:t>
            </w:r>
            <w:r>
              <w:rPr>
                <w:rFonts w:ascii="Calibri" w:cs="Calibri" w:eastAsia="Calibri" w:hAnsi="Calibri"/>
                <w:sz w:val="18"/>
                <w:szCs w:val="18"/>
              </w:rPr>
              <w:t xml:space="preserve">  proportion — neuroprotective efficacy in culture models (superior to control) (</w:t>
            </w:r>
            <w:hyperlink w:history="1" r:id="rIdgbra-jdum8bh6wqbv0hfu">
              <w:r>
                <w:rPr>
                  <w:rFonts w:ascii="Calibri" w:cs="Calibri" w:eastAsia="Calibri" w:hAnsi="Calibri"/>
                  <w:color w:val="1155CC"/>
                  <w:sz w:val="18"/>
                  <w:szCs w:val="18"/>
                  <w:u w:val="single"/>
                </w:rPr>
                <w:t xml:space="preserve">O'Collins et al. 2006</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44%</w:t>
            </w:r>
            <w:r>
              <w:rPr>
                <w:rFonts w:ascii="Calibri" w:cs="Calibri" w:eastAsia="Calibri" w:hAnsi="Calibri"/>
                <w:sz w:val="18"/>
                <w:szCs w:val="18"/>
              </w:rPr>
              <w:t xml:space="preserve">  concordance rate, n=951 compounds — concordance of liver effects (</w:t>
            </w:r>
            <w:hyperlink w:history="1" r:id="rIdxlzzg2m8n4pjsxnlvjk0s">
              <w:r>
                <w:rPr>
                  <w:rFonts w:ascii="Calibri" w:cs="Calibri" w:eastAsia="Calibri" w:hAnsi="Calibri"/>
                  <w:color w:val="1155CC"/>
                  <w:sz w:val="18"/>
                  <w:szCs w:val="18"/>
                  <w:u w:val="single"/>
                </w:rPr>
                <w:t xml:space="preserve">Leenaars et al. 2019</w:t>
              </w:r>
            </w:hyperlink>
            <w:r>
              <w:rPr>
                <w:rFonts w:ascii="Calibri" w:cs="Calibri" w:eastAsia="Calibri" w:hAnsi="Calibri"/>
                <w:sz w:val="18"/>
                <w:szCs w:val="18"/>
              </w:rPr>
              <w:t xml:space="preserve">)</w:t>
            </w:r>
          </w:p>
          <w:p>
            <w:pPr>
              <w:spacing w:after="40"/>
            </w:pPr>
            <w:r>
              <w:rPr>
                <w:rFonts w:ascii="Calibri" w:cs="Calibri" w:eastAsia="Calibri" w:hAnsi="Calibri"/>
                <w:b/>
                <w:bCs/>
                <w:color w:val="8A6D00"/>
                <w:sz w:val="17"/>
                <w:szCs w:val="17"/>
              </w:rPr>
              <w:t xml:space="preserve">Caveat. </w:t>
            </w:r>
            <w:r>
              <w:rPr>
                <w:rFonts w:ascii="Calibri" w:cs="Calibri" w:eastAsia="Calibri" w:hAnsi="Calibri"/>
                <w:i/>
                <w:iCs/>
                <w:color w:val="8A6D00"/>
                <w:sz w:val="17"/>
                <w:szCs w:val="17"/>
              </w:rPr>
              <w:t xml:space="preserve">The high percentage of positive findings in animal studies (82%) is likely inflated due to publication bias and selective reporting, as noted by the authors. The range of translation rates (0-100%) indicates high variability and unreliability.</w:t>
            </w:r>
          </w:p>
        </w:tc>
      </w:tr>
      <w:tr>
        <w:tc>
          <w:tcPr>
            <w:tcW w:type="dxa" w:w="1700"/>
            <w:shd w:fill="F4F6F8"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Efficacy</w:t>
            </w:r>
          </w:p>
        </w:tc>
        <w:tc>
          <w:tcPr>
            <w:tcW w:type="dxa" w:w="1500"/>
            <w:shd w:fill="F4F6F8" w:color="auto" w:val="clear"/>
            <w:tcMar>
              <w:top w:type="dxa" w:w="80"/>
              <w:left w:type="dxa" w:w="110"/>
              <w:bottom w:type="dxa" w:w="80"/>
              <w:right w:type="dxa" w:w="110"/>
            </w:tcMar>
          </w:tcPr>
          <w:p>
            <w:pPr>
              <w:spacing w:after="20"/>
            </w:pPr>
            <w:r>
              <w:rPr>
                <w:rFonts w:ascii="Calibri" w:cs="Calibri" w:eastAsia="Calibri" w:hAnsi="Calibri"/>
                <w:b/>
                <w:bCs/>
                <w:sz w:val="19"/>
                <w:szCs w:val="19"/>
              </w:rPr>
              <w:t xml:space="preserve">mouse</w:t>
            </w:r>
          </w:p>
          <w:p>
            <w:pPr>
              <w:spacing w:after="20"/>
            </w:pPr>
            <w:r>
              <w:rPr>
                <w:rFonts w:ascii="Calibri" w:cs="Calibri" w:eastAsia="Calibri" w:hAnsi="Calibri"/>
                <w:color w:val="666666"/>
                <w:sz w:val="17"/>
                <w:szCs w:val="17"/>
              </w:rPr>
              <w:t xml:space="preserve">1 study</w:t>
            </w:r>
          </w:p>
          <w:p>
            <w:pPr>
              <w:spacing w:after="0"/>
            </w:pPr>
            <w:r>
              <w:rPr>
                <w:rFonts w:ascii="Calibri" w:cs="Calibri" w:eastAsia="Calibri" w:hAnsi="Calibri"/>
                <w:color w:val="666666"/>
                <w:sz w:val="16"/>
                <w:szCs w:val="16"/>
              </w:rPr>
              <w:t xml:space="preserve">1 does not support</w:t>
            </w:r>
          </w:p>
        </w:tc>
        <w:tc>
          <w:tcPr>
            <w:tcW w:type="dxa" w:w="10240"/>
            <w:shd w:fill="F4F6F8" w:color="auto" w:val="clear"/>
            <w:tcMar>
              <w:top w:type="dxa" w:w="80"/>
              <w:left w:type="dxa" w:w="110"/>
              <w:bottom w:type="dxa" w:w="80"/>
              <w:right w:type="dxa" w:w="110"/>
            </w:tcMar>
          </w:tcPr>
          <w:p>
            <w:pPr>
              <w:spacing w:after="40"/>
            </w:pPr>
            <w:r>
              <w:rPr>
                <w:rFonts w:ascii="Calibri" w:cs="Calibri" w:eastAsia="Calibri" w:hAnsi="Calibri"/>
                <w:b/>
                <w:bCs/>
                <w:color w:val="8A2727"/>
                <w:sz w:val="16"/>
                <w:szCs w:val="16"/>
              </w:rPr>
              <w:t xml:space="preserve">EVIDENCE DOES NOT FAVOUR THE MODEL</w:t>
            </w:r>
          </w:p>
          <w:p>
            <w:pPr>
              <w:spacing w:after="60"/>
            </w:pPr>
            <w:r>
              <w:rPr>
                <w:rFonts w:ascii="Calibri" w:cs="Calibri" w:eastAsia="Calibri" w:hAnsi="Calibri"/>
                <w:sz w:val="18"/>
                <w:szCs w:val="18"/>
              </w:rPr>
              <w:t xml:space="preserve">Pan et al. 2020: mouse tumor-growth-inhibition (TGI) did not predict clinical approval—median TGI 0.74 for approved vs 0.77 for failed drugs and AUC=0.45 for predicting approval; odds ratios for higher TGI quartiles vs lowest were 0.74–0.90 and non-significant. Comparisons are limited by few approved drugs and variable TGI measurement across studies.</w:t>
            </w:r>
          </w:p>
          <w:p>
            <w:pPr>
              <w:spacing w:after="60"/>
            </w:pPr>
            <w:r>
              <w:rPr>
                <w:rFonts w:ascii="Calibri" w:cs="Calibri" w:eastAsia="Calibri" w:hAnsi="Calibri"/>
                <w:b/>
                <w:bCs/>
                <w:color w:val="555555"/>
                <w:sz w:val="17"/>
                <w:szCs w:val="17"/>
              </w:rPr>
              <w:t xml:space="preserve">What varies across the range. </w:t>
            </w:r>
            <w:r>
              <w:rPr>
                <w:rFonts w:ascii="Calibri" w:cs="Calibri" w:eastAsia="Calibri" w:hAnsi="Calibri"/>
                <w:color w:val="555555"/>
                <w:sz w:val="17"/>
                <w:szCs w:val="17"/>
              </w:rPr>
              <w:t xml:space="preserve">OR range reflects separate comparisons of TGI quartiles Q2–Q4 versus Q1.</w:t>
            </w:r>
          </w:p>
          <w:p>
            <w:pPr>
              <w:spacing w:after="30"/>
            </w:pPr>
            <w:r>
              <w:rPr>
                <w:rFonts w:ascii="Calibri" w:cs="Calibri" w:eastAsia="Calibri" w:hAnsi="Calibri"/>
                <w:b/>
                <w:bCs/>
                <w:color w:val="666666"/>
                <w:sz w:val="16"/>
                <w:szCs w:val="16"/>
              </w:rPr>
              <w:t xml:space="preserve">Figures behind this row</w:t>
            </w:r>
          </w:p>
          <w:p>
            <w:pPr>
              <w:spacing w:after="70"/>
            </w:pPr>
            <w:r>
              <w:rPr>
                <w:rFonts w:ascii="Calibri" w:cs="Calibri" w:eastAsia="Calibri" w:hAnsi="Calibri"/>
                <w:b/>
                <w:bCs/>
                <w:sz w:val="19"/>
                <w:szCs w:val="19"/>
              </w:rPr>
              <w:t xml:space="preserve">0.74–0.9</w:t>
            </w:r>
            <w:r>
              <w:rPr>
                <w:rFonts w:ascii="Calibri" w:cs="Calibri" w:eastAsia="Calibri" w:hAnsi="Calibri"/>
                <w:sz w:val="18"/>
                <w:szCs w:val="18"/>
              </w:rPr>
              <w:t xml:space="preserve">  or — Odds Ratio for drug success (Q2 TGI vs Q1 TGI) (</w:t>
            </w:r>
            <w:hyperlink w:history="1" r:id="rIdiggg6sxdo0-k4d-tv0gec">
              <w:r>
                <w:rPr>
                  <w:rFonts w:ascii="Calibri" w:cs="Calibri" w:eastAsia="Calibri" w:hAnsi="Calibri"/>
                  <w:color w:val="1155CC"/>
                  <w:sz w:val="18"/>
                  <w:szCs w:val="18"/>
                  <w:u w:val="single"/>
                </w:rPr>
                <w:t xml:space="preserve">Pan et al. 2020</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0.74–0.77</w:t>
            </w:r>
            <w:r>
              <w:rPr>
                <w:rFonts w:ascii="Calibri" w:cs="Calibri" w:eastAsia="Calibri" w:hAnsi="Calibri"/>
                <w:sz w:val="18"/>
                <w:szCs w:val="18"/>
              </w:rPr>
              <w:t xml:space="preserve">  median — TGI values for approved vs. failed drugs (</w:t>
            </w:r>
            <w:hyperlink w:history="1" r:id="rIdd8dkmbjbdbrgh5o3civwu">
              <w:r>
                <w:rPr>
                  <w:rFonts w:ascii="Calibri" w:cs="Calibri" w:eastAsia="Calibri" w:hAnsi="Calibri"/>
                  <w:color w:val="1155CC"/>
                  <w:sz w:val="18"/>
                  <w:szCs w:val="18"/>
                  <w:u w:val="single"/>
                </w:rPr>
                <w:t xml:space="preserve">Pan et al. 2020</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0.375</w:t>
            </w:r>
            <w:r>
              <w:rPr>
                <w:rFonts w:ascii="Calibri" w:cs="Calibri" w:eastAsia="Calibri" w:hAnsi="Calibri"/>
                <w:sz w:val="18"/>
                <w:szCs w:val="18"/>
              </w:rPr>
              <w:t xml:space="preserve">  p-value — Statistical significance of TGI difference between approved and failed drugs (</w:t>
            </w:r>
            <w:hyperlink w:history="1" r:id="rIdrbbv7yerfayerjepzue_k">
              <w:r>
                <w:rPr>
                  <w:rFonts w:ascii="Calibri" w:cs="Calibri" w:eastAsia="Calibri" w:hAnsi="Calibri"/>
                  <w:color w:val="1155CC"/>
                  <w:sz w:val="18"/>
                  <w:szCs w:val="18"/>
                  <w:u w:val="single"/>
                </w:rPr>
                <w:t xml:space="preserve">Pan et al. 2020</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0.45</w:t>
            </w:r>
            <w:r>
              <w:rPr>
                <w:rFonts w:ascii="Calibri" w:cs="Calibri" w:eastAsia="Calibri" w:hAnsi="Calibri"/>
                <w:sz w:val="18"/>
                <w:szCs w:val="18"/>
              </w:rPr>
              <w:t xml:space="preserve">  auc — Area Under the Curve (AUC) for TGI predicting success (</w:t>
            </w:r>
            <w:hyperlink w:history="1" r:id="rIdultnw7bn3ftjl2rzgak1v">
              <w:r>
                <w:rPr>
                  <w:rFonts w:ascii="Calibri" w:cs="Calibri" w:eastAsia="Calibri" w:hAnsi="Calibri"/>
                  <w:color w:val="1155CC"/>
                  <w:sz w:val="18"/>
                  <w:szCs w:val="18"/>
                  <w:u w:val="single"/>
                </w:rPr>
                <w:t xml:space="preserve">Pan et al. 2020</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0.636</w:t>
            </w:r>
            <w:r>
              <w:rPr>
                <w:rFonts w:ascii="Calibri" w:cs="Calibri" w:eastAsia="Calibri" w:hAnsi="Calibri"/>
                <w:sz w:val="18"/>
                <w:szCs w:val="18"/>
              </w:rPr>
              <w:t xml:space="preserve">  p-value — P-trend for TGI and drug success (</w:t>
            </w:r>
            <w:hyperlink w:history="1" r:id="rId22ztklijqxdgynimukxlr">
              <w:r>
                <w:rPr>
                  <w:rFonts w:ascii="Calibri" w:cs="Calibri" w:eastAsia="Calibri" w:hAnsi="Calibri"/>
                  <w:color w:val="1155CC"/>
                  <w:sz w:val="18"/>
                  <w:szCs w:val="18"/>
                  <w:u w:val="single"/>
                </w:rPr>
                <w:t xml:space="preserve">Pan et al. 2020</w:t>
              </w:r>
            </w:hyperlink>
            <w:r>
              <w:rPr>
                <w:rFonts w:ascii="Calibri" w:cs="Calibri" w:eastAsia="Calibri" w:hAnsi="Calibri"/>
                <w:sz w:val="18"/>
                <w:szCs w:val="18"/>
              </w:rPr>
              <w:t xml:space="preserve">)</w:t>
            </w:r>
          </w:p>
          <w:p>
            <w:pPr>
              <w:spacing w:after="40"/>
            </w:pPr>
            <w:r>
              <w:rPr>
                <w:rFonts w:ascii="Calibri" w:cs="Calibri" w:eastAsia="Calibri" w:hAnsi="Calibri"/>
                <w:b/>
                <w:bCs/>
                <w:color w:val="8A6D00"/>
                <w:sz w:val="17"/>
                <w:szCs w:val="17"/>
              </w:rPr>
              <w:t xml:space="preserve">Caveat. </w:t>
            </w:r>
            <w:r>
              <w:rPr>
                <w:rFonts w:ascii="Calibri" w:cs="Calibri" w:eastAsia="Calibri" w:hAnsi="Calibri"/>
                <w:i/>
                <w:iCs/>
                <w:color w:val="8A6D00"/>
                <w:sz w:val="17"/>
                <w:szCs w:val="17"/>
              </w:rPr>
              <w:t xml:space="preserve">The study notes that there is a naturally low proportion of approved drugs compared to failed drugs, which may make comparisons between the two drug classes less robust due to sparse data for the approved category. Also, the variability in TGI measurement across studies due to lack of standardized criteria may have affected the results.</w:t>
            </w:r>
          </w:p>
        </w:tc>
      </w:tr>
      <w:tr>
        <w:tc>
          <w:tcPr>
            <w:tcW w:type="dxa" w:w="1700"/>
            <w:tcMar>
              <w:top w:type="dxa" w:w="80"/>
              <w:left w:type="dxa" w:w="110"/>
              <w:bottom w:type="dxa" w:w="80"/>
              <w:right w:type="dxa" w:w="110"/>
            </w:tcMar>
          </w:tcPr>
          <w:p>
            <w:pPr>
              <w:spacing w:after="0"/>
            </w:pPr>
            <w:r>
              <w:rPr>
                <w:rFonts w:ascii="Calibri" w:cs="Calibri" w:eastAsia="Calibri" w:hAnsi="Calibri"/>
                <w:b/>
                <w:bCs/>
                <w:sz w:val="19"/>
                <w:szCs w:val="19"/>
              </w:rPr>
              <w:t xml:space="preserve">Efficacy</w:t>
            </w:r>
          </w:p>
        </w:tc>
        <w:tc>
          <w:tcPr>
            <w:tcW w:type="dxa" w:w="1500"/>
            <w:tcMar>
              <w:top w:type="dxa" w:w="80"/>
              <w:left w:type="dxa" w:w="110"/>
              <w:bottom w:type="dxa" w:w="80"/>
              <w:right w:type="dxa" w:w="110"/>
            </w:tcMar>
          </w:tcPr>
          <w:p>
            <w:pPr>
              <w:spacing w:after="20"/>
            </w:pPr>
            <w:r>
              <w:rPr>
                <w:rFonts w:ascii="Calibri" w:cs="Calibri" w:eastAsia="Calibri" w:hAnsi="Calibri"/>
                <w:b/>
                <w:bCs/>
                <w:sz w:val="19"/>
                <w:szCs w:val="19"/>
              </w:rPr>
              <w:t xml:space="preserve">non-rodent</w:t>
            </w:r>
          </w:p>
          <w:p>
            <w:pPr>
              <w:spacing w:after="20"/>
            </w:pPr>
            <w:r>
              <w:rPr>
                <w:rFonts w:ascii="Calibri" w:cs="Calibri" w:eastAsia="Calibri" w:hAnsi="Calibri"/>
                <w:color w:val="666666"/>
                <w:sz w:val="17"/>
                <w:szCs w:val="17"/>
              </w:rPr>
              <w:t xml:space="preserve">1 study</w:t>
            </w:r>
          </w:p>
          <w:p>
            <w:pPr>
              <w:spacing w:after="0"/>
            </w:pPr>
            <w:r>
              <w:rPr>
                <w:rFonts w:ascii="Calibri" w:cs="Calibri" w:eastAsia="Calibri" w:hAnsi="Calibri"/>
                <w:color w:val="666666"/>
                <w:sz w:val="16"/>
                <w:szCs w:val="16"/>
              </w:rPr>
              <w:t xml:space="preserve">1 partly supports</w:t>
            </w:r>
          </w:p>
        </w:tc>
        <w:tc>
          <w:tcPr>
            <w:tcW w:type="dxa" w:w="10240"/>
            <w:tcMar>
              <w:top w:type="dxa" w:w="80"/>
              <w:left w:type="dxa" w:w="110"/>
              <w:bottom w:type="dxa" w:w="80"/>
              <w:right w:type="dxa" w:w="110"/>
            </w:tcMar>
          </w:tcPr>
          <w:p>
            <w:pPr>
              <w:spacing w:after="40"/>
            </w:pPr>
            <w:r>
              <w:rPr>
                <w:rFonts w:ascii="Calibri" w:cs="Calibri" w:eastAsia="Calibri" w:hAnsi="Calibri"/>
                <w:b/>
                <w:bCs/>
                <w:color w:val="7A5B00"/>
                <w:sz w:val="16"/>
                <w:szCs w:val="16"/>
              </w:rPr>
              <w:t xml:space="preserve">TOO LITTLE EVIDENCE</w:t>
            </w:r>
          </w:p>
          <w:p>
            <w:pPr>
              <w:spacing w:after="60"/>
            </w:pPr>
            <w:r>
              <w:rPr>
                <w:rFonts w:ascii="Calibri" w:cs="Calibri" w:eastAsia="Calibri" w:hAnsi="Calibri"/>
                <w:sz w:val="18"/>
                <w:szCs w:val="18"/>
              </w:rPr>
              <w:t xml:space="preserve">Leenaars et al. 2019 provides no direct efficacy data; for toxicity it reports non‑rodent→human concordance for liver effects 40% (n=951) and that animal data predicted 48% of 221 human adverse drug reactions. They also report 71% concordance when all species are pooled and state predictivity is higher for non‑rodents than rodents.</w:t>
            </w:r>
          </w:p>
          <w:p>
            <w:pPr>
              <w:spacing w:after="60"/>
            </w:pPr>
            <w:r>
              <w:rPr>
                <w:rFonts w:ascii="Calibri" w:cs="Calibri" w:eastAsia="Calibri" w:hAnsi="Calibri"/>
                <w:b/>
                <w:bCs/>
                <w:color w:val="555555"/>
                <w:sz w:val="17"/>
                <w:szCs w:val="17"/>
              </w:rPr>
              <w:t xml:space="preserve">What varies across the range. </w:t>
            </w:r>
            <w:r>
              <w:rPr>
                <w:rFonts w:ascii="Calibri" w:cs="Calibri" w:eastAsia="Calibri" w:hAnsi="Calibri"/>
                <w:color w:val="555555"/>
                <w:sz w:val="17"/>
                <w:szCs w:val="17"/>
              </w:rPr>
              <w:t xml:space="preserve">The 71% figure pools all species; 40% is the non‑rodent-specific concordance for liver effects.</w:t>
            </w:r>
          </w:p>
          <w:p>
            <w:pPr>
              <w:spacing w:after="30"/>
            </w:pPr>
            <w:r>
              <w:rPr>
                <w:rFonts w:ascii="Calibri" w:cs="Calibri" w:eastAsia="Calibri" w:hAnsi="Calibri"/>
                <w:b/>
                <w:bCs/>
                <w:color w:val="666666"/>
                <w:sz w:val="16"/>
                <w:szCs w:val="16"/>
              </w:rPr>
              <w:t xml:space="preserve">Figures behind this row</w:t>
            </w:r>
          </w:p>
          <w:p>
            <w:pPr>
              <w:spacing w:after="70"/>
            </w:pPr>
            <w:r>
              <w:rPr>
                <w:rFonts w:ascii="Calibri" w:cs="Calibri" w:eastAsia="Calibri" w:hAnsi="Calibri"/>
                <w:b/>
                <w:bCs/>
                <w:sz w:val="19"/>
                <w:szCs w:val="19"/>
              </w:rPr>
              <w:t xml:space="preserve">40%</w:t>
            </w:r>
            <w:r>
              <w:rPr>
                <w:rFonts w:ascii="Calibri" w:cs="Calibri" w:eastAsia="Calibri" w:hAnsi="Calibri"/>
                <w:sz w:val="18"/>
                <w:szCs w:val="18"/>
              </w:rPr>
              <w:t xml:space="preserve">  concordance rate, n=951 compounds — concordance of liver effects (</w:t>
            </w:r>
            <w:hyperlink w:history="1" r:id="rIdrcooajttfmkzzpqciiei-">
              <w:r>
                <w:rPr>
                  <w:rFonts w:ascii="Calibri" w:cs="Calibri" w:eastAsia="Calibri" w:hAnsi="Calibri"/>
                  <w:color w:val="1155CC"/>
                  <w:sz w:val="18"/>
                  <w:szCs w:val="18"/>
                  <w:u w:val="single"/>
                </w:rPr>
                <w:t xml:space="preserve">Leenaars et al. 2019</w:t>
              </w:r>
            </w:hyperlink>
            <w:r>
              <w:rPr>
                <w:rFonts w:ascii="Calibri" w:cs="Calibri" w:eastAsia="Calibri" w:hAnsi="Calibri"/>
                <w:sz w:val="18"/>
                <w:szCs w:val="18"/>
              </w:rPr>
              <w:t xml:space="preserve">)</w:t>
            </w:r>
          </w:p>
        </w:tc>
      </w:tr>
      <w:tr>
        <w:tc>
          <w:tcPr>
            <w:tcW w:type="dxa" w:w="1700"/>
            <w:shd w:fill="F4F6F8"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Efficacy</w:t>
            </w:r>
          </w:p>
        </w:tc>
        <w:tc>
          <w:tcPr>
            <w:tcW w:type="dxa" w:w="1500"/>
            <w:shd w:fill="F4F6F8" w:color="auto" w:val="clear"/>
            <w:tcMar>
              <w:top w:type="dxa" w:w="80"/>
              <w:left w:type="dxa" w:w="110"/>
              <w:bottom w:type="dxa" w:w="80"/>
              <w:right w:type="dxa" w:w="110"/>
            </w:tcMar>
          </w:tcPr>
          <w:p>
            <w:pPr>
              <w:spacing w:after="20"/>
            </w:pPr>
            <w:r>
              <w:rPr>
                <w:rFonts w:ascii="Calibri" w:cs="Calibri" w:eastAsia="Calibri" w:hAnsi="Calibri"/>
                <w:b/>
                <w:bCs/>
                <w:sz w:val="19"/>
                <w:szCs w:val="19"/>
              </w:rPr>
              <w:t xml:space="preserve">sheep</w:t>
            </w:r>
          </w:p>
          <w:p>
            <w:pPr>
              <w:spacing w:after="20"/>
            </w:pPr>
            <w:r>
              <w:rPr>
                <w:rFonts w:ascii="Calibri" w:cs="Calibri" w:eastAsia="Calibri" w:hAnsi="Calibri"/>
                <w:color w:val="666666"/>
                <w:sz w:val="17"/>
                <w:szCs w:val="17"/>
              </w:rPr>
              <w:t xml:space="preserve">1 study</w:t>
            </w:r>
          </w:p>
          <w:p>
            <w:pPr>
              <w:spacing w:after="0"/>
            </w:pPr>
            <w:r>
              <w:rPr>
                <w:rFonts w:ascii="Calibri" w:cs="Calibri" w:eastAsia="Calibri" w:hAnsi="Calibri"/>
                <w:color w:val="666666"/>
                <w:sz w:val="16"/>
                <w:szCs w:val="16"/>
              </w:rPr>
              <w:t xml:space="preserve">1 partly supports</w:t>
            </w:r>
          </w:p>
        </w:tc>
        <w:tc>
          <w:tcPr>
            <w:tcW w:type="dxa" w:w="10240"/>
            <w:shd w:fill="F4F6F8" w:color="auto" w:val="clear"/>
            <w:tcMar>
              <w:top w:type="dxa" w:w="80"/>
              <w:left w:type="dxa" w:w="110"/>
              <w:bottom w:type="dxa" w:w="80"/>
              <w:right w:type="dxa" w:w="110"/>
            </w:tcMar>
          </w:tcPr>
          <w:p>
            <w:pPr>
              <w:spacing w:after="40"/>
            </w:pPr>
            <w:r>
              <w:rPr>
                <w:rFonts w:ascii="Calibri" w:cs="Calibri" w:eastAsia="Calibri" w:hAnsi="Calibri"/>
                <w:b/>
                <w:bCs/>
                <w:color w:val="8A2727"/>
                <w:sz w:val="16"/>
                <w:szCs w:val="16"/>
              </w:rPr>
              <w:t xml:space="preserve">EVIDENCE DOES NOT FAVOUR THE MODEL</w:t>
            </w:r>
          </w:p>
          <w:p>
            <w:pPr>
              <w:spacing w:after="60"/>
            </w:pPr>
            <w:r>
              <w:rPr>
                <w:rFonts w:ascii="Calibri" w:cs="Calibri" w:eastAsia="Calibri" w:hAnsi="Calibri"/>
                <w:sz w:val="18"/>
                <w:szCs w:val="18"/>
              </w:rPr>
              <w:t xml:space="preserve">Perel et al. 2007: in ewe models antenatal corticosteroids were linked to higher neonatal mortality (pooled OR 12.5, 95% CI 1.9–79.2), which contrasts with no benefit in clinical trials — sheep results did not track human outcomes. The estimate is imprecise.</w:t>
            </w:r>
          </w:p>
          <w:p>
            <w:pPr>
              <w:spacing w:after="60"/>
            </w:pPr>
            <w:r>
              <w:rPr>
                <w:rFonts w:ascii="Calibri" w:cs="Calibri" w:eastAsia="Calibri" w:hAnsi="Calibri"/>
                <w:b/>
                <w:bCs/>
                <w:color w:val="555555"/>
                <w:sz w:val="17"/>
                <w:szCs w:val="17"/>
              </w:rPr>
              <w:t xml:space="preserve">What varies across the range. </w:t>
            </w:r>
            <w:r>
              <w:rPr>
                <w:rFonts w:ascii="Calibri" w:cs="Calibri" w:eastAsia="Calibri" w:hAnsi="Calibri"/>
                <w:color w:val="555555"/>
                <w:sz w:val="17"/>
                <w:szCs w:val="17"/>
              </w:rPr>
              <w:t xml:space="preserve">Very wide CI reflects few and/or small ewe experiments giving imprecise estimates.</w:t>
            </w:r>
          </w:p>
          <w:p>
            <w:pPr>
              <w:spacing w:after="30"/>
            </w:pPr>
            <w:r>
              <w:rPr>
                <w:rFonts w:ascii="Calibri" w:cs="Calibri" w:eastAsia="Calibri" w:hAnsi="Calibri"/>
                <w:b/>
                <w:bCs/>
                <w:color w:val="666666"/>
                <w:sz w:val="16"/>
                <w:szCs w:val="16"/>
              </w:rPr>
              <w:t xml:space="preserve">Figures behind this row</w:t>
            </w:r>
          </w:p>
          <w:p>
            <w:pPr>
              <w:spacing w:after="70"/>
            </w:pPr>
            <w:r>
              <w:rPr>
                <w:rFonts w:ascii="Calibri" w:cs="Calibri" w:eastAsia="Calibri" w:hAnsi="Calibri"/>
                <w:b/>
                <w:bCs/>
                <w:sz w:val="19"/>
                <w:szCs w:val="19"/>
              </w:rPr>
              <w:t xml:space="preserve">12.5</w:t>
            </w:r>
            <w:r>
              <w:rPr>
                <w:rFonts w:ascii="Calibri" w:cs="Calibri" w:eastAsia="Calibri" w:hAnsi="Calibri"/>
                <w:sz w:val="18"/>
                <w:szCs w:val="18"/>
              </w:rPr>
              <w:t xml:space="preserve">  odds ratio — Antenatal corticosteroids: neonatal mortality in ewe models (pooled odds ratio) (</w:t>
            </w:r>
            <w:hyperlink w:history="1" r:id="rIdawvrrdg-9rvyb1izt52co">
              <w:r>
                <w:rPr>
                  <w:rFonts w:ascii="Calibri" w:cs="Calibri" w:eastAsia="Calibri" w:hAnsi="Calibri"/>
                  <w:color w:val="1155CC"/>
                  <w:sz w:val="18"/>
                  <w:szCs w:val="18"/>
                  <w:u w:val="single"/>
                </w:rPr>
                <w:t xml:space="preserve">Perel et al. 2007</w:t>
              </w:r>
            </w:hyperlink>
            <w:r>
              <w:rPr>
                <w:rFonts w:ascii="Calibri" w:cs="Calibri" w:eastAsia="Calibri" w:hAnsi="Calibri"/>
                <w:sz w:val="18"/>
                <w:szCs w:val="18"/>
              </w:rPr>
              <w:t xml:space="preserve">)</w:t>
            </w:r>
          </w:p>
        </w:tc>
      </w:tr>
      <w:tr>
        <w:tc>
          <w:tcPr>
            <w:tcW w:type="dxa" w:w="1700"/>
            <w:tcMar>
              <w:top w:type="dxa" w:w="80"/>
              <w:left w:type="dxa" w:w="110"/>
              <w:bottom w:type="dxa" w:w="80"/>
              <w:right w:type="dxa" w:w="110"/>
            </w:tcMar>
          </w:tcPr>
          <w:p>
            <w:pPr>
              <w:spacing w:after="0"/>
            </w:pPr>
            <w:r>
              <w:rPr>
                <w:rFonts w:ascii="Calibri" w:cs="Calibri" w:eastAsia="Calibri" w:hAnsi="Calibri"/>
                <w:b/>
                <w:bCs/>
                <w:sz w:val="19"/>
                <w:szCs w:val="19"/>
              </w:rPr>
              <w:t xml:space="preserve">Toxicology</w:t>
            </w:r>
          </w:p>
        </w:tc>
        <w:tc>
          <w:tcPr>
            <w:tcW w:type="dxa" w:w="1500"/>
            <w:tcMar>
              <w:top w:type="dxa" w:w="80"/>
              <w:left w:type="dxa" w:w="110"/>
              <w:bottom w:type="dxa" w:w="80"/>
              <w:right w:type="dxa" w:w="110"/>
            </w:tcMar>
          </w:tcPr>
          <w:p>
            <w:pPr>
              <w:spacing w:after="20"/>
            </w:pPr>
            <w:r>
              <w:rPr>
                <w:rFonts w:ascii="Calibri" w:cs="Calibri" w:eastAsia="Calibri" w:hAnsi="Calibri"/>
                <w:b/>
                <w:bCs/>
                <w:sz w:val="19"/>
                <w:szCs w:val="19"/>
              </w:rPr>
              <w:t xml:space="preserve">dog</w:t>
            </w:r>
          </w:p>
          <w:p>
            <w:pPr>
              <w:spacing w:after="20"/>
            </w:pPr>
            <w:r>
              <w:rPr>
                <w:rFonts w:ascii="Calibri" w:cs="Calibri" w:eastAsia="Calibri" w:hAnsi="Calibri"/>
                <w:color w:val="666666"/>
                <w:sz w:val="17"/>
                <w:szCs w:val="17"/>
              </w:rPr>
              <w:t xml:space="preserve">6 studies</w:t>
            </w:r>
          </w:p>
          <w:p>
            <w:pPr>
              <w:spacing w:after="0"/>
            </w:pPr>
            <w:r>
              <w:rPr>
                <w:rFonts w:ascii="Calibri" w:cs="Calibri" w:eastAsia="Calibri" w:hAnsi="Calibri"/>
                <w:color w:val="666666"/>
                <w:sz w:val="16"/>
                <w:szCs w:val="16"/>
              </w:rPr>
              <w:t xml:space="preserve">3 does not support</w:t>
            </w:r>
          </w:p>
          <w:p>
            <w:pPr>
              <w:spacing w:after="0"/>
            </w:pPr>
            <w:r>
              <w:rPr>
                <w:rFonts w:ascii="Calibri" w:cs="Calibri" w:eastAsia="Calibri" w:hAnsi="Calibri"/>
                <w:color w:val="666666"/>
                <w:sz w:val="16"/>
                <w:szCs w:val="16"/>
              </w:rPr>
              <w:t xml:space="preserve">3 partly supports</w:t>
            </w:r>
          </w:p>
        </w:tc>
        <w:tc>
          <w:tcPr>
            <w:tcW w:type="dxa" w:w="10240"/>
            <w:tcMar>
              <w:top w:type="dxa" w:w="80"/>
              <w:left w:type="dxa" w:w="110"/>
              <w:bottom w:type="dxa" w:w="80"/>
              <w:right w:type="dxa" w:w="110"/>
            </w:tcMar>
          </w:tcPr>
          <w:p>
            <w:pPr>
              <w:spacing w:after="40"/>
            </w:pPr>
            <w:r>
              <w:rPr>
                <w:rFonts w:ascii="Calibri" w:cs="Calibri" w:eastAsia="Calibri" w:hAnsi="Calibri"/>
                <w:b/>
                <w:bCs/>
                <w:color w:val="7A5B00"/>
                <w:sz w:val="16"/>
                <w:szCs w:val="16"/>
              </w:rPr>
              <w:t xml:space="preserve">MIXED</w:t>
            </w:r>
          </w:p>
          <w:p>
            <w:pPr>
              <w:spacing w:after="60"/>
            </w:pPr>
            <w:r>
              <w:rPr>
                <w:rFonts w:ascii="Calibri" w:cs="Calibri" w:eastAsia="Calibri" w:hAnsi="Calibri"/>
                <w:sz w:val="18"/>
                <w:szCs w:val="18"/>
              </w:rPr>
              <w:t xml:space="preserve">Evidence is mixed — dog data sometimes track human toxicities for specific endpoints (dog LR+ for cardiac disorders 6.11; regulatory rat+dog testing flagged 71% of human toxicities (Jang et al. 2019)). However absence of dog toxicity gives only modest reassurance (~72% no human toxicity; dog iNLR≈1.10).</w:t>
            </w:r>
          </w:p>
          <w:p>
            <w:pPr>
              <w:spacing w:after="60"/>
            </w:pPr>
            <w:r>
              <w:rPr>
                <w:rFonts w:ascii="Calibri" w:cs="Calibri" w:eastAsia="Calibri" w:hAnsi="Calibri"/>
                <w:b/>
                <w:bCs/>
                <w:color w:val="555555"/>
                <w:sz w:val="17"/>
                <w:szCs w:val="17"/>
              </w:rPr>
              <w:t xml:space="preserve">What varies across the range. </w:t>
            </w:r>
            <w:r>
              <w:rPr>
                <w:rFonts w:ascii="Calibri" w:cs="Calibri" w:eastAsia="Calibri" w:hAnsi="Calibri"/>
                <w:color w:val="555555"/>
                <w:sz w:val="17"/>
                <w:szCs w:val="17"/>
              </w:rPr>
              <w:t xml:space="preserve">Performance varies by organ class, endpoint and toxicity severity (e.g., cardiac vs hepatic, grade 3–4 vs all grades, in vitro vs in vivo).</w:t>
            </w:r>
          </w:p>
          <w:p>
            <w:pPr>
              <w:spacing w:after="30"/>
            </w:pPr>
            <w:r>
              <w:rPr>
                <w:rFonts w:ascii="Calibri" w:cs="Calibri" w:eastAsia="Calibri" w:hAnsi="Calibri"/>
                <w:b/>
                <w:bCs/>
                <w:color w:val="666666"/>
                <w:sz w:val="16"/>
                <w:szCs w:val="16"/>
              </w:rPr>
              <w:t xml:space="preserve">Figures behind this row</w:t>
            </w:r>
          </w:p>
          <w:p>
            <w:pPr>
              <w:spacing w:after="70"/>
            </w:pPr>
            <w:r>
              <w:rPr>
                <w:rFonts w:ascii="Calibri" w:cs="Calibri" w:eastAsia="Calibri" w:hAnsi="Calibri"/>
                <w:b/>
                <w:bCs/>
                <w:sz w:val="19"/>
                <w:szCs w:val="19"/>
              </w:rPr>
              <w:t xml:space="preserve">3–10</w:t>
            </w:r>
            <w:r>
              <w:rPr>
                <w:rFonts w:ascii="Calibri" w:cs="Calibri" w:eastAsia="Calibri" w:hAnsi="Calibri"/>
                <w:sz w:val="18"/>
                <w:szCs w:val="18"/>
              </w:rPr>
              <w:t xml:space="preserve">  more potent — JNJ-3 induced albumin secretion decrease in dog Liver-Chip vs human Liver-Chip (</w:t>
            </w:r>
            <w:hyperlink w:history="1" r:id="rIdi2asb5rtxzjtww7xjdnpl">
              <w:r>
                <w:rPr>
                  <w:rFonts w:ascii="Calibri" w:cs="Calibri" w:eastAsia="Calibri" w:hAnsi="Calibri"/>
                  <w:color w:val="1155CC"/>
                  <w:sz w:val="18"/>
                  <w:szCs w:val="18"/>
                  <w:u w:val="single"/>
                </w:rPr>
                <w:t xml:space="preserve">Jang et al. 2019</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30–40%</w:t>
            </w:r>
            <w:r>
              <w:rPr>
                <w:rFonts w:ascii="Calibri" w:cs="Calibri" w:eastAsia="Calibri" w:hAnsi="Calibri"/>
                <w:sz w:val="18"/>
                <w:szCs w:val="18"/>
              </w:rPr>
              <w:t xml:space="preserve">  pru — Proportionate Reduction in Uncertainty (PRU) for GI (Dog) (</w:t>
            </w:r>
            <w:hyperlink w:history="1" r:id="rId_aalqgifqtjjxnpstmvrm">
              <w:r>
                <w:rPr>
                  <w:rFonts w:ascii="Calibri" w:cs="Calibri" w:eastAsia="Calibri" w:hAnsi="Calibri"/>
                  <w:color w:val="1155CC"/>
                  <w:sz w:val="18"/>
                  <w:szCs w:val="18"/>
                  <w:u w:val="single"/>
                </w:rPr>
                <w:t xml:space="preserve">Monticello et al. 2017</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3.42–6.11</w:t>
            </w:r>
            <w:r>
              <w:rPr>
                <w:rFonts w:ascii="Calibri" w:cs="Calibri" w:eastAsia="Calibri" w:hAnsi="Calibri"/>
                <w:sz w:val="18"/>
                <w:szCs w:val="18"/>
              </w:rPr>
              <w:t xml:space="preserve">  lr+, n=404 — Likelihood Ratio for dog, Cardiac disorders (</w:t>
            </w:r>
            <w:hyperlink w:history="1" r:id="rIdcu05cxffnzwgkr9m1prm-">
              <w:r>
                <w:rPr>
                  <w:rFonts w:ascii="Calibri" w:cs="Calibri" w:eastAsia="Calibri" w:hAnsi="Calibri"/>
                  <w:color w:val="1155CC"/>
                  <w:sz w:val="18"/>
                  <w:szCs w:val="18"/>
                  <w:u w:val="single"/>
                </w:rPr>
                <w:t xml:space="preserve">Clark et al. 2018</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30</w:t>
            </w:r>
            <w:r>
              <w:rPr>
                <w:rFonts w:ascii="Calibri" w:cs="Calibri" w:eastAsia="Calibri" w:hAnsi="Calibri"/>
                <w:sz w:val="18"/>
                <w:szCs w:val="18"/>
              </w:rPr>
              <w:t xml:space="preserve">  ic50 (half-maximal inhibitory concentration) — IC50 for bosentan-induced albumin secretion decrease (</w:t>
            </w:r>
            <w:hyperlink w:history="1" r:id="rIdx8ffzuxjcbdugbdx-kmi3">
              <w:r>
                <w:rPr>
                  <w:rFonts w:ascii="Calibri" w:cs="Calibri" w:eastAsia="Calibri" w:hAnsi="Calibri"/>
                  <w:color w:val="1155CC"/>
                  <w:sz w:val="18"/>
                  <w:szCs w:val="18"/>
                  <w:u w:val="single"/>
                </w:rPr>
                <w:t xml:space="preserve">Jang et al. 2019</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50%</w:t>
            </w:r>
            <w:r>
              <w:rPr>
                <w:rFonts w:ascii="Calibri" w:cs="Calibri" w:eastAsia="Calibri" w:hAnsi="Calibri"/>
                <w:sz w:val="18"/>
                <w:szCs w:val="18"/>
              </w:rPr>
              <w:t xml:space="preserve">  ppv — PPV for Cutaneous (</w:t>
            </w:r>
            <w:hyperlink w:history="1" r:id="rIddo2cwlldgy4rhihos-kh6">
              <w:r>
                <w:rPr>
                  <w:rFonts w:ascii="Calibri" w:cs="Calibri" w:eastAsia="Calibri" w:hAnsi="Calibri"/>
                  <w:color w:val="1155CC"/>
                  <w:sz w:val="18"/>
                  <w:szCs w:val="18"/>
                  <w:u w:val="single"/>
                </w:rPr>
                <w:t xml:space="preserve">Monticello et al. 2017</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91%</w:t>
            </w:r>
            <w:r>
              <w:rPr>
                <w:rFonts w:ascii="Calibri" w:cs="Calibri" w:eastAsia="Calibri" w:hAnsi="Calibri"/>
                <w:sz w:val="18"/>
                <w:szCs w:val="18"/>
              </w:rPr>
              <w:t xml:space="preserve">  npv — NPV for Cutaneous (</w:t>
            </w:r>
            <w:hyperlink w:history="1" r:id="rIdofwi6yuiipiyi65ipl0ak">
              <w:r>
                <w:rPr>
                  <w:rFonts w:ascii="Calibri" w:cs="Calibri" w:eastAsia="Calibri" w:hAnsi="Calibri"/>
                  <w:color w:val="1155CC"/>
                  <w:sz w:val="18"/>
                  <w:szCs w:val="18"/>
                  <w:u w:val="single"/>
                </w:rPr>
                <w:t xml:space="preserve">Monticello et al. 2017</w:t>
              </w:r>
            </w:hyperlink>
            <w:r>
              <w:rPr>
                <w:rFonts w:ascii="Calibri" w:cs="Calibri" w:eastAsia="Calibri" w:hAnsi="Calibri"/>
                <w:sz w:val="18"/>
                <w:szCs w:val="18"/>
              </w:rPr>
              <w:t xml:space="preserve">)</w:t>
            </w:r>
          </w:p>
          <w:p>
            <w:pPr>
              <w:spacing w:after="40"/>
            </w:pPr>
            <w:r>
              <w:rPr>
                <w:rFonts w:ascii="Calibri" w:cs="Calibri" w:eastAsia="Calibri" w:hAnsi="Calibri"/>
                <w:b/>
                <w:bCs/>
                <w:color w:val="8A6D00"/>
                <w:sz w:val="17"/>
                <w:szCs w:val="17"/>
              </w:rPr>
              <w:t xml:space="preserve">Caveat. </w:t>
            </w:r>
            <w:r>
              <w:rPr>
                <w:rFonts w:ascii="Calibri" w:cs="Calibri" w:eastAsia="Calibri" w:hAnsi="Calibri"/>
                <w:i/>
                <w:iCs/>
                <w:color w:val="8A6D00"/>
                <w:sz w:val="17"/>
                <w:szCs w:val="17"/>
              </w:rPr>
              <w:t xml:space="preserve">NPV is often high simply because most findings are negative. The paper notes that for grades 3 and 4 toxicities, there were no conditions in which PPV and NPV were both &gt;0.75, but there were six conditions for which PPV and NPV were both &gt;0.6. This suggests that even for severe toxicities, the predictive values are not consistently high.</w:t>
            </w:r>
          </w:p>
        </w:tc>
      </w:tr>
      <w:tr>
        <w:tc>
          <w:tcPr>
            <w:tcW w:type="dxa" w:w="1700"/>
            <w:shd w:fill="F4F6F8"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Toxicology</w:t>
            </w:r>
          </w:p>
        </w:tc>
        <w:tc>
          <w:tcPr>
            <w:tcW w:type="dxa" w:w="1500"/>
            <w:shd w:fill="F4F6F8" w:color="auto" w:val="clear"/>
            <w:tcMar>
              <w:top w:type="dxa" w:w="80"/>
              <w:left w:type="dxa" w:w="110"/>
              <w:bottom w:type="dxa" w:w="80"/>
              <w:right w:type="dxa" w:w="110"/>
            </w:tcMar>
          </w:tcPr>
          <w:p>
            <w:pPr>
              <w:spacing w:after="20"/>
            </w:pPr>
            <w:r>
              <w:rPr>
                <w:rFonts w:ascii="Calibri" w:cs="Calibri" w:eastAsia="Calibri" w:hAnsi="Calibri"/>
                <w:b/>
                <w:bCs/>
                <w:sz w:val="19"/>
                <w:szCs w:val="19"/>
              </w:rPr>
              <w:t xml:space="preserve">non-human primate</w:t>
            </w:r>
          </w:p>
          <w:p>
            <w:pPr>
              <w:spacing w:after="20"/>
            </w:pPr>
            <w:r>
              <w:rPr>
                <w:rFonts w:ascii="Calibri" w:cs="Calibri" w:eastAsia="Calibri" w:hAnsi="Calibri"/>
                <w:color w:val="666666"/>
                <w:sz w:val="17"/>
                <w:szCs w:val="17"/>
              </w:rPr>
              <w:t xml:space="preserve">5 studies</w:t>
            </w:r>
          </w:p>
          <w:p>
            <w:pPr>
              <w:spacing w:after="0"/>
            </w:pPr>
            <w:r>
              <w:rPr>
                <w:rFonts w:ascii="Calibri" w:cs="Calibri" w:eastAsia="Calibri" w:hAnsi="Calibri"/>
                <w:color w:val="666666"/>
                <w:sz w:val="16"/>
                <w:szCs w:val="16"/>
              </w:rPr>
              <w:t xml:space="preserve">3 does not support</w:t>
            </w:r>
          </w:p>
          <w:p>
            <w:pPr>
              <w:spacing w:after="0"/>
            </w:pPr>
            <w:r>
              <w:rPr>
                <w:rFonts w:ascii="Calibri" w:cs="Calibri" w:eastAsia="Calibri" w:hAnsi="Calibri"/>
                <w:color w:val="666666"/>
                <w:sz w:val="16"/>
                <w:szCs w:val="16"/>
              </w:rPr>
              <w:t xml:space="preserve">2 partly supports</w:t>
            </w:r>
          </w:p>
        </w:tc>
        <w:tc>
          <w:tcPr>
            <w:tcW w:type="dxa" w:w="10240"/>
            <w:shd w:fill="F4F6F8" w:color="auto" w:val="clear"/>
            <w:tcMar>
              <w:top w:type="dxa" w:w="80"/>
              <w:left w:type="dxa" w:w="110"/>
              <w:bottom w:type="dxa" w:w="80"/>
              <w:right w:type="dxa" w:w="110"/>
            </w:tcMar>
          </w:tcPr>
          <w:p>
            <w:pPr>
              <w:spacing w:after="40"/>
            </w:pPr>
            <w:r>
              <w:rPr>
                <w:rFonts w:ascii="Calibri" w:cs="Calibri" w:eastAsia="Calibri" w:hAnsi="Calibri"/>
                <w:b/>
                <w:bCs/>
                <w:color w:val="7A5B00"/>
                <w:sz w:val="16"/>
                <w:szCs w:val="16"/>
              </w:rPr>
              <w:t xml:space="preserve">MIXED</w:t>
            </w:r>
          </w:p>
          <w:p>
            <w:pPr>
              <w:spacing w:after="60"/>
            </w:pPr>
            <w:r>
              <w:rPr>
                <w:rFonts w:ascii="Calibri" w:cs="Calibri" w:eastAsia="Calibri" w:hAnsi="Calibri"/>
                <w:sz w:val="18"/>
                <w:szCs w:val="18"/>
              </w:rPr>
              <w:t xml:space="preserve">Evidence is mixed: NHP findings sometimes predict human toxicity — Monticello 2017 overall sensitivity 48% and specificity 84% (GI PPV 91%, nervous PPV 83%), and Clark 2018 LR+ up to 11.02. But other analyses report weak or inconsistent prediction (Bailey 2019 no-animal→no-human 70.4%; Bailey 2015 iNLR 1.02).</w:t>
            </w:r>
          </w:p>
          <w:p>
            <w:pPr>
              <w:spacing w:after="60"/>
            </w:pPr>
            <w:r>
              <w:rPr>
                <w:rFonts w:ascii="Calibri" w:cs="Calibri" w:eastAsia="Calibri" w:hAnsi="Calibri"/>
                <w:b/>
                <w:bCs/>
                <w:color w:val="555555"/>
                <w:sz w:val="17"/>
                <w:szCs w:val="17"/>
              </w:rPr>
              <w:t xml:space="preserve">What varies across the range. </w:t>
            </w:r>
            <w:r>
              <w:rPr>
                <w:rFonts w:ascii="Calibri" w:cs="Calibri" w:eastAsia="Calibri" w:hAnsi="Calibri"/>
                <w:color w:val="555555"/>
                <w:sz w:val="17"/>
                <w:szCs w:val="17"/>
              </w:rPr>
              <w:t xml:space="preserve">Performance varies by organ/endpoint, toxicity severity, study selection bias and low clinical positive prevalence.</w:t>
            </w:r>
          </w:p>
          <w:p>
            <w:pPr>
              <w:spacing w:after="30"/>
            </w:pPr>
            <w:r>
              <w:rPr>
                <w:rFonts w:ascii="Calibri" w:cs="Calibri" w:eastAsia="Calibri" w:hAnsi="Calibri"/>
                <w:b/>
                <w:bCs/>
                <w:color w:val="666666"/>
                <w:sz w:val="16"/>
                <w:szCs w:val="16"/>
              </w:rPr>
              <w:t xml:space="preserve">Figures behind this row</w:t>
            </w:r>
          </w:p>
          <w:p>
            <w:pPr>
              <w:spacing w:after="70"/>
            </w:pPr>
            <w:r>
              <w:rPr>
                <w:rFonts w:ascii="Calibri" w:cs="Calibri" w:eastAsia="Calibri" w:hAnsi="Calibri"/>
                <w:b/>
                <w:bCs/>
                <w:sz w:val="19"/>
                <w:szCs w:val="19"/>
              </w:rPr>
              <w:t xml:space="preserve">27–62%</w:t>
            </w:r>
            <w:r>
              <w:rPr>
                <w:rFonts w:ascii="Calibri" w:cs="Calibri" w:eastAsia="Calibri" w:hAnsi="Calibri"/>
                <w:sz w:val="18"/>
                <w:szCs w:val="18"/>
              </w:rPr>
              <w:t xml:space="preserve">  ppv — PPV for Liver (</w:t>
            </w:r>
            <w:hyperlink w:history="1" r:id="rId0jjqacfivd46amggg4vvj">
              <w:r>
                <w:rPr>
                  <w:rFonts w:ascii="Calibri" w:cs="Calibri" w:eastAsia="Calibri" w:hAnsi="Calibri"/>
                  <w:color w:val="1155CC"/>
                  <w:sz w:val="18"/>
                  <w:szCs w:val="18"/>
                  <w:u w:val="single"/>
                </w:rPr>
                <w:t xml:space="preserve">Monticello et al. 2017</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85–92%</w:t>
            </w:r>
            <w:r>
              <w:rPr>
                <w:rFonts w:ascii="Calibri" w:cs="Calibri" w:eastAsia="Calibri" w:hAnsi="Calibri"/>
                <w:sz w:val="18"/>
                <w:szCs w:val="18"/>
              </w:rPr>
              <w:t xml:space="preserve">  npv — NPV for Liver (</w:t>
            </w:r>
            <w:hyperlink w:history="1" r:id="rIdfwbwtpqcmh9hv8aynrumj">
              <w:r>
                <w:rPr>
                  <w:rFonts w:ascii="Calibri" w:cs="Calibri" w:eastAsia="Calibri" w:hAnsi="Calibri"/>
                  <w:color w:val="1155CC"/>
                  <w:sz w:val="18"/>
                  <w:szCs w:val="18"/>
                  <w:u w:val="single"/>
                </w:rPr>
                <w:t xml:space="preserve">Monticello et al. 2017</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60–80%</w:t>
            </w:r>
            <w:r>
              <w:rPr>
                <w:rFonts w:ascii="Calibri" w:cs="Calibri" w:eastAsia="Calibri" w:hAnsi="Calibri"/>
                <w:sz w:val="18"/>
                <w:szCs w:val="18"/>
              </w:rPr>
              <w:t xml:space="preserve">  pru — Proportionate Reduction in Uncertainty (PRU) for GI (Monkey) (</w:t>
            </w:r>
            <w:hyperlink w:history="1" r:id="rIdgpbxdcu_uvbzrn-qpujtg">
              <w:r>
                <w:rPr>
                  <w:rFonts w:ascii="Calibri" w:cs="Calibri" w:eastAsia="Calibri" w:hAnsi="Calibri"/>
                  <w:color w:val="1155CC"/>
                  <w:sz w:val="18"/>
                  <w:szCs w:val="18"/>
                  <w:u w:val="single"/>
                </w:rPr>
                <w:t xml:space="preserve">Monticello et al. 2017</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9.52–11.02</w:t>
            </w:r>
            <w:r>
              <w:rPr>
                <w:rFonts w:ascii="Calibri" w:cs="Calibri" w:eastAsia="Calibri" w:hAnsi="Calibri"/>
                <w:sz w:val="18"/>
                <w:szCs w:val="18"/>
              </w:rPr>
              <w:t xml:space="preserve">  lr+, n=84 — Likelihood Ratio for cynomolgus monkey, Cardiac disorders (</w:t>
            </w:r>
            <w:hyperlink w:history="1" r:id="rIdeie2alxmgub673f5cg4mp">
              <w:r>
                <w:rPr>
                  <w:rFonts w:ascii="Calibri" w:cs="Calibri" w:eastAsia="Calibri" w:hAnsi="Calibri"/>
                  <w:color w:val="1155CC"/>
                  <w:sz w:val="18"/>
                  <w:szCs w:val="18"/>
                  <w:u w:val="single"/>
                </w:rPr>
                <w:t xml:space="preserve">Clark et al. 2018</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1.02</w:t>
            </w:r>
            <w:r>
              <w:rPr>
                <w:rFonts w:ascii="Calibri" w:cs="Calibri" w:eastAsia="Calibri" w:hAnsi="Calibri"/>
                <w:sz w:val="18"/>
                <w:szCs w:val="18"/>
              </w:rPr>
              <w:t xml:space="preserve">  median inlr — NHP-human median iNLR (</w:t>
            </w:r>
            <w:hyperlink w:history="1" r:id="rIdvd2ghzxuqybdwgv35v7uh">
              <w:r>
                <w:rPr>
                  <w:rFonts w:ascii="Calibri" w:cs="Calibri" w:eastAsia="Calibri" w:hAnsi="Calibri"/>
                  <w:color w:val="1155CC"/>
                  <w:sz w:val="18"/>
                  <w:szCs w:val="18"/>
                  <w:u w:val="single"/>
                </w:rPr>
                <w:t xml:space="preserve">Bailey et al. 2015</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67%</w:t>
            </w:r>
            <w:r>
              <w:rPr>
                <w:rFonts w:ascii="Calibri" w:cs="Calibri" w:eastAsia="Calibri" w:hAnsi="Calibri"/>
                <w:sz w:val="18"/>
                <w:szCs w:val="18"/>
              </w:rPr>
              <w:t xml:space="preserve">  ppv — PPV for Cutaneous (</w:t>
            </w:r>
            <w:hyperlink w:history="1" r:id="rIdzyg35egilvqn8a3gv8nfa">
              <w:r>
                <w:rPr>
                  <w:rFonts w:ascii="Calibri" w:cs="Calibri" w:eastAsia="Calibri" w:hAnsi="Calibri"/>
                  <w:color w:val="1155CC"/>
                  <w:sz w:val="18"/>
                  <w:szCs w:val="18"/>
                  <w:u w:val="single"/>
                </w:rPr>
                <w:t xml:space="preserve">Monticello et al. 2017</w:t>
              </w:r>
            </w:hyperlink>
            <w:r>
              <w:rPr>
                <w:rFonts w:ascii="Calibri" w:cs="Calibri" w:eastAsia="Calibri" w:hAnsi="Calibri"/>
                <w:sz w:val="18"/>
                <w:szCs w:val="18"/>
              </w:rPr>
              <w:t xml:space="preserve">)</w:t>
            </w:r>
          </w:p>
          <w:p>
            <w:pPr>
              <w:spacing w:after="40"/>
            </w:pPr>
            <w:r>
              <w:rPr>
                <w:rFonts w:ascii="Calibri" w:cs="Calibri" w:eastAsia="Calibri" w:hAnsi="Calibri"/>
                <w:b/>
                <w:bCs/>
                <w:color w:val="8A6D00"/>
                <w:sz w:val="17"/>
                <w:szCs w:val="17"/>
              </w:rPr>
              <w:t xml:space="preserve">Caveat. </w:t>
            </w:r>
            <w:r>
              <w:rPr>
                <w:rFonts w:ascii="Calibri" w:cs="Calibri" w:eastAsia="Calibri" w:hAnsi="Calibri"/>
                <w:i/>
                <w:iCs/>
                <w:color w:val="8A6D00"/>
                <w:sz w:val="17"/>
                <w:szCs w:val="17"/>
              </w:rPr>
              <w:t xml:space="preserve">NPV is often high simply because most findings are negative. The paper notes that for grades 3 and 4 toxicities, there were no conditions in which PPV and NPV were both &gt;0.75, but there were six conditions for which PPV and NPV were both &gt;0.6. This suggests that even for severe toxicities, the predictive values are not consistently high.</w:t>
            </w:r>
          </w:p>
        </w:tc>
      </w:tr>
      <w:tr>
        <w:tc>
          <w:tcPr>
            <w:tcW w:type="dxa" w:w="1700"/>
            <w:tcMar>
              <w:top w:type="dxa" w:w="80"/>
              <w:left w:type="dxa" w:w="110"/>
              <w:bottom w:type="dxa" w:w="80"/>
              <w:right w:type="dxa" w:w="110"/>
            </w:tcMar>
          </w:tcPr>
          <w:p>
            <w:pPr>
              <w:spacing w:after="0"/>
            </w:pPr>
            <w:r>
              <w:rPr>
                <w:rFonts w:ascii="Calibri" w:cs="Calibri" w:eastAsia="Calibri" w:hAnsi="Calibri"/>
                <w:b/>
                <w:bCs/>
                <w:sz w:val="19"/>
                <w:szCs w:val="19"/>
              </w:rPr>
              <w:t xml:space="preserve">Toxicology</w:t>
            </w:r>
          </w:p>
        </w:tc>
        <w:tc>
          <w:tcPr>
            <w:tcW w:type="dxa" w:w="1500"/>
            <w:tcMar>
              <w:top w:type="dxa" w:w="80"/>
              <w:left w:type="dxa" w:w="110"/>
              <w:bottom w:type="dxa" w:w="80"/>
              <w:right w:type="dxa" w:w="110"/>
            </w:tcMar>
          </w:tcPr>
          <w:p>
            <w:pPr>
              <w:spacing w:after="20"/>
            </w:pPr>
            <w:r>
              <w:rPr>
                <w:rFonts w:ascii="Calibri" w:cs="Calibri" w:eastAsia="Calibri" w:hAnsi="Calibri"/>
                <w:b/>
                <w:bCs/>
                <w:sz w:val="19"/>
                <w:szCs w:val="19"/>
              </w:rPr>
              <w:t xml:space="preserve">rat</w:t>
            </w:r>
          </w:p>
          <w:p>
            <w:pPr>
              <w:spacing w:after="20"/>
            </w:pPr>
            <w:r>
              <w:rPr>
                <w:rFonts w:ascii="Calibri" w:cs="Calibri" w:eastAsia="Calibri" w:hAnsi="Calibri"/>
                <w:color w:val="666666"/>
                <w:sz w:val="17"/>
                <w:szCs w:val="17"/>
              </w:rPr>
              <w:t xml:space="preserve">4 studies</w:t>
            </w:r>
          </w:p>
          <w:p>
            <w:pPr>
              <w:spacing w:after="0"/>
            </w:pPr>
            <w:r>
              <w:rPr>
                <w:rFonts w:ascii="Calibri" w:cs="Calibri" w:eastAsia="Calibri" w:hAnsi="Calibri"/>
                <w:color w:val="666666"/>
                <w:sz w:val="16"/>
                <w:szCs w:val="16"/>
              </w:rPr>
              <w:t xml:space="preserve">2 does not support</w:t>
            </w:r>
          </w:p>
          <w:p>
            <w:pPr>
              <w:spacing w:after="0"/>
            </w:pPr>
            <w:r>
              <w:rPr>
                <w:rFonts w:ascii="Calibri" w:cs="Calibri" w:eastAsia="Calibri" w:hAnsi="Calibri"/>
                <w:color w:val="666666"/>
                <w:sz w:val="16"/>
                <w:szCs w:val="16"/>
              </w:rPr>
              <w:t xml:space="preserve">2 partly supports</w:t>
            </w:r>
          </w:p>
        </w:tc>
        <w:tc>
          <w:tcPr>
            <w:tcW w:type="dxa" w:w="10240"/>
            <w:tcMar>
              <w:top w:type="dxa" w:w="80"/>
              <w:left w:type="dxa" w:w="110"/>
              <w:bottom w:type="dxa" w:w="80"/>
              <w:right w:type="dxa" w:w="110"/>
            </w:tcMar>
          </w:tcPr>
          <w:p>
            <w:pPr>
              <w:spacing w:after="40"/>
            </w:pPr>
            <w:r>
              <w:rPr>
                <w:rFonts w:ascii="Calibri" w:cs="Calibri" w:eastAsia="Calibri" w:hAnsi="Calibri"/>
                <w:b/>
                <w:bCs/>
                <w:color w:val="7A5B00"/>
                <w:sz w:val="16"/>
                <w:szCs w:val="16"/>
              </w:rPr>
              <w:t xml:space="preserve">MIXED</w:t>
            </w:r>
          </w:p>
          <w:p>
            <w:pPr>
              <w:spacing w:after="60"/>
            </w:pPr>
            <w:r>
              <w:rPr>
                <w:rFonts w:ascii="Calibri" w:cs="Calibri" w:eastAsia="Calibri" w:hAnsi="Calibri"/>
                <w:sz w:val="18"/>
                <w:szCs w:val="18"/>
              </w:rPr>
              <w:t xml:space="preserve">Evidence is mixed: some studies find rat findings often align with human toxicity (regulatory tests predicted 71% of human toxicities; rat LR+ 4.73 for cardiac and 2.74 for hepatobiliary), but other analyses show only modest predictive power (median PPV 0.65; iNLR 1.82). Variation by endpoint, severity and study methods limits generalisability.</w:t>
            </w:r>
          </w:p>
          <w:p>
            <w:pPr>
              <w:spacing w:after="60"/>
            </w:pPr>
            <w:r>
              <w:rPr>
                <w:rFonts w:ascii="Calibri" w:cs="Calibri" w:eastAsia="Calibri" w:hAnsi="Calibri"/>
                <w:b/>
                <w:bCs/>
                <w:color w:val="555555"/>
                <w:sz w:val="17"/>
                <w:szCs w:val="17"/>
              </w:rPr>
              <w:t xml:space="preserve">What varies across the range. </w:t>
            </w:r>
            <w:r>
              <w:rPr>
                <w:rFonts w:ascii="Calibri" w:cs="Calibri" w:eastAsia="Calibri" w:hAnsi="Calibri"/>
                <w:color w:val="555555"/>
                <w:sz w:val="17"/>
                <w:szCs w:val="17"/>
              </w:rPr>
              <w:t xml:space="preserve">Results vary by endpoint, toxicity grade and study methods/datasets (e.g., Jang pooled rats and dogs; Atkins stratified by severity).</w:t>
            </w:r>
          </w:p>
          <w:p>
            <w:pPr>
              <w:spacing w:after="30"/>
            </w:pPr>
            <w:r>
              <w:rPr>
                <w:rFonts w:ascii="Calibri" w:cs="Calibri" w:eastAsia="Calibri" w:hAnsi="Calibri"/>
                <w:b/>
                <w:bCs/>
                <w:color w:val="666666"/>
                <w:sz w:val="16"/>
                <w:szCs w:val="16"/>
              </w:rPr>
              <w:t xml:space="preserve">Figures behind this row</w:t>
            </w:r>
          </w:p>
          <w:p>
            <w:pPr>
              <w:spacing w:after="70"/>
            </w:pPr>
            <w:r>
              <w:rPr>
                <w:rFonts w:ascii="Calibri" w:cs="Calibri" w:eastAsia="Calibri" w:hAnsi="Calibri"/>
                <w:b/>
                <w:bCs/>
                <w:sz w:val="19"/>
                <w:szCs w:val="19"/>
              </w:rPr>
              <w:t xml:space="preserve">2.74–4.73</w:t>
            </w:r>
            <w:r>
              <w:rPr>
                <w:rFonts w:ascii="Calibri" w:cs="Calibri" w:eastAsia="Calibri" w:hAnsi="Calibri"/>
                <w:sz w:val="18"/>
                <w:szCs w:val="18"/>
              </w:rPr>
              <w:t xml:space="preserve">  lr+, n=521 — Likelihood Ratio for rat, Cardiac disorders (</w:t>
            </w:r>
            <w:hyperlink w:history="1" r:id="rIdoxskxbk3wdzq5pck1xxtg">
              <w:r>
                <w:rPr>
                  <w:rFonts w:ascii="Calibri" w:cs="Calibri" w:eastAsia="Calibri" w:hAnsi="Calibri"/>
                  <w:color w:val="1155CC"/>
                  <w:sz w:val="18"/>
                  <w:szCs w:val="18"/>
                  <w:u w:val="single"/>
                </w:rPr>
                <w:t xml:space="preserve">Clark et al. 2018</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100</w:t>
            </w:r>
            <w:r>
              <w:rPr>
                <w:rFonts w:ascii="Calibri" w:cs="Calibri" w:eastAsia="Calibri" w:hAnsi="Calibri"/>
                <w:sz w:val="18"/>
                <w:szCs w:val="18"/>
              </w:rPr>
              <w:t xml:space="preserve">  ic50 (half-maximal inhibitory concentration) — IC50 for bosentan-induced albumin secretion decrease (</w:t>
            </w:r>
            <w:hyperlink w:history="1" r:id="rIdlr8mfaciifzwihb2aeabo">
              <w:r>
                <w:rPr>
                  <w:rFonts w:ascii="Calibri" w:cs="Calibri" w:eastAsia="Calibri" w:hAnsi="Calibri"/>
                  <w:color w:val="1155CC"/>
                  <w:sz w:val="18"/>
                  <w:szCs w:val="18"/>
                  <w:u w:val="single"/>
                </w:rPr>
                <w:t xml:space="preserve">Jang et al. 2019</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0.65</w:t>
            </w:r>
            <w:r>
              <w:rPr>
                <w:rFonts w:ascii="Calibri" w:cs="Calibri" w:eastAsia="Calibri" w:hAnsi="Calibri"/>
                <w:sz w:val="18"/>
                <w:szCs w:val="18"/>
              </w:rPr>
              <w:t xml:space="preserve">  median ppv — PPV for all toxicity grades (</w:t>
            </w:r>
            <w:hyperlink w:history="1" r:id="rIdujx4msahox5o11llqlwzp">
              <w:r>
                <w:rPr>
                  <w:rFonts w:ascii="Calibri" w:cs="Calibri" w:eastAsia="Calibri" w:hAnsi="Calibri"/>
                  <w:color w:val="1155CC"/>
                  <w:sz w:val="18"/>
                  <w:szCs w:val="18"/>
                  <w:u w:val="single"/>
                </w:rPr>
                <w:t xml:space="preserve">Atkins et al. 2020</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0.41</w:t>
            </w:r>
            <w:r>
              <w:rPr>
                <w:rFonts w:ascii="Calibri" w:cs="Calibri" w:eastAsia="Calibri" w:hAnsi="Calibri"/>
                <w:sz w:val="18"/>
                <w:szCs w:val="18"/>
              </w:rPr>
              <w:t xml:space="preserve">  median ppv — PPV for grade 3 and 4 toxicities (</w:t>
            </w:r>
            <w:hyperlink w:history="1" r:id="rIdtjhfxy3kr7akuf3nlny3h">
              <w:r>
                <w:rPr>
                  <w:rFonts w:ascii="Calibri" w:cs="Calibri" w:eastAsia="Calibri" w:hAnsi="Calibri"/>
                  <w:color w:val="1155CC"/>
                  <w:sz w:val="18"/>
                  <w:szCs w:val="18"/>
                  <w:u w:val="single"/>
                </w:rPr>
                <w:t xml:space="preserve">Atkins et al. 2020</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0.51</w:t>
            </w:r>
            <w:r>
              <w:rPr>
                <w:rFonts w:ascii="Calibri" w:cs="Calibri" w:eastAsia="Calibri" w:hAnsi="Calibri"/>
                <w:sz w:val="18"/>
                <w:szCs w:val="18"/>
              </w:rPr>
              <w:t xml:space="preserve">  median npv — NPV for all toxicity grades (</w:t>
            </w:r>
            <w:hyperlink w:history="1" r:id="rIdjvgjsq9bprshw6_dlein6">
              <w:r>
                <w:rPr>
                  <w:rFonts w:ascii="Calibri" w:cs="Calibri" w:eastAsia="Calibri" w:hAnsi="Calibri"/>
                  <w:color w:val="1155CC"/>
                  <w:sz w:val="18"/>
                  <w:szCs w:val="18"/>
                  <w:u w:val="single"/>
                </w:rPr>
                <w:t xml:space="preserve">Atkins et al. 2020</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0.72</w:t>
            </w:r>
            <w:r>
              <w:rPr>
                <w:rFonts w:ascii="Calibri" w:cs="Calibri" w:eastAsia="Calibri" w:hAnsi="Calibri"/>
                <w:sz w:val="18"/>
                <w:szCs w:val="18"/>
              </w:rPr>
              <w:t xml:space="preserve">  median npv — NPV for grade 3 and 4 toxicities (</w:t>
            </w:r>
            <w:hyperlink w:history="1" r:id="rIdf3jm-cliwwhlsurt-fb6w">
              <w:r>
                <w:rPr>
                  <w:rFonts w:ascii="Calibri" w:cs="Calibri" w:eastAsia="Calibri" w:hAnsi="Calibri"/>
                  <w:color w:val="1155CC"/>
                  <w:sz w:val="18"/>
                  <w:szCs w:val="18"/>
                  <w:u w:val="single"/>
                </w:rPr>
                <w:t xml:space="preserve">Atkins et al. 2020</w:t>
              </w:r>
            </w:hyperlink>
            <w:r>
              <w:rPr>
                <w:rFonts w:ascii="Calibri" w:cs="Calibri" w:eastAsia="Calibri" w:hAnsi="Calibri"/>
                <w:sz w:val="18"/>
                <w:szCs w:val="18"/>
              </w:rPr>
              <w:t xml:space="preserve">)</w:t>
            </w:r>
          </w:p>
          <w:p>
            <w:pPr>
              <w:spacing w:after="40"/>
            </w:pPr>
            <w:r>
              <w:rPr>
                <w:rFonts w:ascii="Calibri" w:cs="Calibri" w:eastAsia="Calibri" w:hAnsi="Calibri"/>
                <w:b/>
                <w:bCs/>
                <w:color w:val="8A6D00"/>
                <w:sz w:val="17"/>
                <w:szCs w:val="17"/>
              </w:rPr>
              <w:t xml:space="preserve">Caveat. </w:t>
            </w:r>
            <w:r>
              <w:rPr>
                <w:rFonts w:ascii="Calibri" w:cs="Calibri" w:eastAsia="Calibri" w:hAnsi="Calibri"/>
                <w:i/>
                <w:iCs/>
                <w:color w:val="8A6D00"/>
                <w:sz w:val="17"/>
                <w:szCs w:val="17"/>
              </w:rPr>
              <w:t xml:space="preserve">NPV is often high simply because most findings are negative. The paper notes that for grades 3 and 4 toxicities, there were no conditions in which PPV and NPV were both &gt;0.75, but there were six conditions for which PPV and NPV were both &gt;0.6. This suggests that even for severe toxicities, the predictive values are not consistently high.</w:t>
            </w:r>
          </w:p>
        </w:tc>
      </w:tr>
      <w:tr>
        <w:tc>
          <w:tcPr>
            <w:tcW w:type="dxa" w:w="1700"/>
            <w:shd w:fill="F4F6F8"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Toxicology</w:t>
            </w:r>
          </w:p>
        </w:tc>
        <w:tc>
          <w:tcPr>
            <w:tcW w:type="dxa" w:w="1500"/>
            <w:shd w:fill="F4F6F8" w:color="auto" w:val="clear"/>
            <w:tcMar>
              <w:top w:type="dxa" w:w="80"/>
              <w:left w:type="dxa" w:w="110"/>
              <w:bottom w:type="dxa" w:w="80"/>
              <w:right w:type="dxa" w:w="110"/>
            </w:tcMar>
          </w:tcPr>
          <w:p>
            <w:pPr>
              <w:spacing w:after="20"/>
            </w:pPr>
            <w:r>
              <w:rPr>
                <w:rFonts w:ascii="Calibri" w:cs="Calibri" w:eastAsia="Calibri" w:hAnsi="Calibri"/>
                <w:b/>
                <w:bCs/>
                <w:sz w:val="19"/>
                <w:szCs w:val="19"/>
              </w:rPr>
              <w:t xml:space="preserve">mouse</w:t>
            </w:r>
          </w:p>
          <w:p>
            <w:pPr>
              <w:spacing w:after="20"/>
            </w:pPr>
            <w:r>
              <w:rPr>
                <w:rFonts w:ascii="Calibri" w:cs="Calibri" w:eastAsia="Calibri" w:hAnsi="Calibri"/>
                <w:color w:val="666666"/>
                <w:sz w:val="17"/>
                <w:szCs w:val="17"/>
              </w:rPr>
              <w:t xml:space="preserve">3 studies</w:t>
            </w:r>
          </w:p>
          <w:p>
            <w:pPr>
              <w:spacing w:after="0"/>
            </w:pPr>
            <w:r>
              <w:rPr>
                <w:rFonts w:ascii="Calibri" w:cs="Calibri" w:eastAsia="Calibri" w:hAnsi="Calibri"/>
                <w:color w:val="666666"/>
                <w:sz w:val="16"/>
                <w:szCs w:val="16"/>
              </w:rPr>
              <w:t xml:space="preserve">2 does not support</w:t>
            </w:r>
          </w:p>
          <w:p>
            <w:pPr>
              <w:spacing w:after="0"/>
            </w:pPr>
            <w:r>
              <w:rPr>
                <w:rFonts w:ascii="Calibri" w:cs="Calibri" w:eastAsia="Calibri" w:hAnsi="Calibri"/>
                <w:color w:val="666666"/>
                <w:sz w:val="16"/>
                <w:szCs w:val="16"/>
              </w:rPr>
              <w:t xml:space="preserve">1 partly supports</w:t>
            </w:r>
          </w:p>
        </w:tc>
        <w:tc>
          <w:tcPr>
            <w:tcW w:type="dxa" w:w="10240"/>
            <w:shd w:fill="F4F6F8" w:color="auto" w:val="clear"/>
            <w:tcMar>
              <w:top w:type="dxa" w:w="80"/>
              <w:left w:type="dxa" w:w="110"/>
              <w:bottom w:type="dxa" w:w="80"/>
              <w:right w:type="dxa" w:w="110"/>
            </w:tcMar>
          </w:tcPr>
          <w:p>
            <w:pPr>
              <w:spacing w:after="40"/>
            </w:pPr>
            <w:r>
              <w:rPr>
                <w:rFonts w:ascii="Calibri" w:cs="Calibri" w:eastAsia="Calibri" w:hAnsi="Calibri"/>
                <w:b/>
                <w:bCs/>
                <w:color w:val="7A5B00"/>
                <w:sz w:val="16"/>
                <w:szCs w:val="16"/>
              </w:rPr>
              <w:t xml:space="preserve">MIXED</w:t>
            </w:r>
          </w:p>
          <w:p>
            <w:pPr>
              <w:spacing w:after="60"/>
            </w:pPr>
            <w:r>
              <w:rPr>
                <w:rFonts w:ascii="Calibri" w:cs="Calibri" w:eastAsia="Calibri" w:hAnsi="Calibri"/>
                <w:sz w:val="18"/>
                <w:szCs w:val="18"/>
              </w:rPr>
              <w:t xml:space="preserve">Mouse toxicology is mixed: some mouse signals predict human toxicity (Clark et al. 2018 — LR+ cardiac 5.29; hepatobiliary 3.73; pain 7.4). However overall discrimination is weak (Atkins et al. 2020 median PPV 0.57 all grades, 0.43 for grade 3–4; Bailey et al. 2015 iNLR 1.39).</w:t>
            </w:r>
          </w:p>
          <w:p>
            <w:pPr>
              <w:spacing w:after="60"/>
            </w:pPr>
            <w:r>
              <w:rPr>
                <w:rFonts w:ascii="Calibri" w:cs="Calibri" w:eastAsia="Calibri" w:hAnsi="Calibri"/>
                <w:b/>
                <w:bCs/>
                <w:color w:val="555555"/>
                <w:sz w:val="17"/>
                <w:szCs w:val="17"/>
              </w:rPr>
              <w:t xml:space="preserve">What varies across the range. </w:t>
            </w:r>
            <w:r>
              <w:rPr>
                <w:rFonts w:ascii="Calibri" w:cs="Calibri" w:eastAsia="Calibri" w:hAnsi="Calibri"/>
                <w:color w:val="555555"/>
                <w:sz w:val="17"/>
                <w:szCs w:val="17"/>
              </w:rPr>
              <w:t xml:space="preserve">Results vary by specific organ endpoint and toxicity severity (Clark shows high LR+ for some endpoints; Atkins shows PPV falls for grade 3–4).</w:t>
            </w:r>
          </w:p>
          <w:p>
            <w:pPr>
              <w:spacing w:after="30"/>
            </w:pPr>
            <w:r>
              <w:rPr>
                <w:rFonts w:ascii="Calibri" w:cs="Calibri" w:eastAsia="Calibri" w:hAnsi="Calibri"/>
                <w:b/>
                <w:bCs/>
                <w:color w:val="666666"/>
                <w:sz w:val="16"/>
                <w:szCs w:val="16"/>
              </w:rPr>
              <w:t xml:space="preserve">Figures behind this row</w:t>
            </w:r>
          </w:p>
          <w:p>
            <w:pPr>
              <w:spacing w:after="70"/>
            </w:pPr>
            <w:r>
              <w:rPr>
                <w:rFonts w:ascii="Calibri" w:cs="Calibri" w:eastAsia="Calibri" w:hAnsi="Calibri"/>
                <w:b/>
                <w:bCs/>
                <w:sz w:val="19"/>
                <w:szCs w:val="19"/>
              </w:rPr>
              <w:t xml:space="preserve">3.73–5.29</w:t>
            </w:r>
            <w:r>
              <w:rPr>
                <w:rFonts w:ascii="Calibri" w:cs="Calibri" w:eastAsia="Calibri" w:hAnsi="Calibri"/>
                <w:sz w:val="18"/>
                <w:szCs w:val="18"/>
              </w:rPr>
              <w:t xml:space="preserve">  lr+, n=210 — Likelihood Ratio for mouse, Cardiac disorders (</w:t>
            </w:r>
            <w:hyperlink w:history="1" r:id="rId2m9ijjtktrtjcqlfwquhc">
              <w:r>
                <w:rPr>
                  <w:rFonts w:ascii="Calibri" w:cs="Calibri" w:eastAsia="Calibri" w:hAnsi="Calibri"/>
                  <w:color w:val="1155CC"/>
                  <w:sz w:val="18"/>
                  <w:szCs w:val="18"/>
                  <w:u w:val="single"/>
                </w:rPr>
                <w:t xml:space="preserve">Clark et al. 2018</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0.57</w:t>
            </w:r>
            <w:r>
              <w:rPr>
                <w:rFonts w:ascii="Calibri" w:cs="Calibri" w:eastAsia="Calibri" w:hAnsi="Calibri"/>
                <w:sz w:val="18"/>
                <w:szCs w:val="18"/>
              </w:rPr>
              <w:t xml:space="preserve">  median ppv — PPV for all toxicity grades (</w:t>
            </w:r>
            <w:hyperlink w:history="1" r:id="rIdheibauehycq3pkqoyxb5d">
              <w:r>
                <w:rPr>
                  <w:rFonts w:ascii="Calibri" w:cs="Calibri" w:eastAsia="Calibri" w:hAnsi="Calibri"/>
                  <w:color w:val="1155CC"/>
                  <w:sz w:val="18"/>
                  <w:szCs w:val="18"/>
                  <w:u w:val="single"/>
                </w:rPr>
                <w:t xml:space="preserve">Atkins et al. 2020</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0.43</w:t>
            </w:r>
            <w:r>
              <w:rPr>
                <w:rFonts w:ascii="Calibri" w:cs="Calibri" w:eastAsia="Calibri" w:hAnsi="Calibri"/>
                <w:sz w:val="18"/>
                <w:szCs w:val="18"/>
              </w:rPr>
              <w:t xml:space="preserve">  median ppv — PPV for grade 3 and 4 toxicities (</w:t>
            </w:r>
            <w:hyperlink w:history="1" r:id="rIdsl6yinzm5qciuxpkwv-y1">
              <w:r>
                <w:rPr>
                  <w:rFonts w:ascii="Calibri" w:cs="Calibri" w:eastAsia="Calibri" w:hAnsi="Calibri"/>
                  <w:color w:val="1155CC"/>
                  <w:sz w:val="18"/>
                  <w:szCs w:val="18"/>
                  <w:u w:val="single"/>
                </w:rPr>
                <w:t xml:space="preserve">Atkins et al. 2020</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0.57</w:t>
            </w:r>
            <w:r>
              <w:rPr>
                <w:rFonts w:ascii="Calibri" w:cs="Calibri" w:eastAsia="Calibri" w:hAnsi="Calibri"/>
                <w:sz w:val="18"/>
                <w:szCs w:val="18"/>
              </w:rPr>
              <w:t xml:space="preserve">  median npv — NPV for all toxicity grades (</w:t>
            </w:r>
            <w:hyperlink w:history="1" r:id="rIdodvuc-nc3gnzoxeyuxoxh">
              <w:r>
                <w:rPr>
                  <w:rFonts w:ascii="Calibri" w:cs="Calibri" w:eastAsia="Calibri" w:hAnsi="Calibri"/>
                  <w:color w:val="1155CC"/>
                  <w:sz w:val="18"/>
                  <w:szCs w:val="18"/>
                  <w:u w:val="single"/>
                </w:rPr>
                <w:t xml:space="preserve">Atkins et al. 2020</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0.81</w:t>
            </w:r>
            <w:r>
              <w:rPr>
                <w:rFonts w:ascii="Calibri" w:cs="Calibri" w:eastAsia="Calibri" w:hAnsi="Calibri"/>
                <w:sz w:val="18"/>
                <w:szCs w:val="18"/>
              </w:rPr>
              <w:t xml:space="preserve">  median npv — NPV for grade 3 and 4 toxicities (</w:t>
            </w:r>
            <w:hyperlink w:history="1" r:id="rIdrdk4uapmi-zll8lvu7ibd">
              <w:r>
                <w:rPr>
                  <w:rFonts w:ascii="Calibri" w:cs="Calibri" w:eastAsia="Calibri" w:hAnsi="Calibri"/>
                  <w:color w:val="1155CC"/>
                  <w:sz w:val="18"/>
                  <w:szCs w:val="18"/>
                  <w:u w:val="single"/>
                </w:rPr>
                <w:t xml:space="preserve">Atkins et al. 2020</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7.4</w:t>
            </w:r>
            <w:r>
              <w:rPr>
                <w:rFonts w:ascii="Calibri" w:cs="Calibri" w:eastAsia="Calibri" w:hAnsi="Calibri"/>
                <w:sz w:val="18"/>
                <w:szCs w:val="18"/>
              </w:rPr>
              <w:t xml:space="preserve">  lr+ — Likelihood Ratio for Pain (mouse) (</w:t>
            </w:r>
            <w:hyperlink w:history="1" r:id="rId-ds69gwup2frlolf5xe5n">
              <w:r>
                <w:rPr>
                  <w:rFonts w:ascii="Calibri" w:cs="Calibri" w:eastAsia="Calibri" w:hAnsi="Calibri"/>
                  <w:color w:val="1155CC"/>
                  <w:sz w:val="18"/>
                  <w:szCs w:val="18"/>
                  <w:u w:val="single"/>
                </w:rPr>
                <w:t xml:space="preserve">Clark et al. 2018</w:t>
              </w:r>
            </w:hyperlink>
            <w:r>
              <w:rPr>
                <w:rFonts w:ascii="Calibri" w:cs="Calibri" w:eastAsia="Calibri" w:hAnsi="Calibri"/>
                <w:sz w:val="18"/>
                <w:szCs w:val="18"/>
              </w:rPr>
              <w:t xml:space="preserve">)</w:t>
            </w:r>
          </w:p>
          <w:p>
            <w:pPr>
              <w:spacing w:after="40"/>
            </w:pPr>
            <w:r>
              <w:rPr>
                <w:rFonts w:ascii="Calibri" w:cs="Calibri" w:eastAsia="Calibri" w:hAnsi="Calibri"/>
                <w:b/>
                <w:bCs/>
                <w:color w:val="8A6D00"/>
                <w:sz w:val="17"/>
                <w:szCs w:val="17"/>
              </w:rPr>
              <w:t xml:space="preserve">Caveat. </w:t>
            </w:r>
            <w:r>
              <w:rPr>
                <w:rFonts w:ascii="Calibri" w:cs="Calibri" w:eastAsia="Calibri" w:hAnsi="Calibri"/>
                <w:i/>
                <w:iCs/>
                <w:color w:val="8A6D00"/>
                <w:sz w:val="17"/>
                <w:szCs w:val="17"/>
              </w:rPr>
              <w:t xml:space="preserve">NPV is often high simply because most findings are negative. The paper notes that for grades 3 and 4 toxicities, there were no conditions in which PPV and NPV were both &gt;0.75, but there were six conditions for which PPV and NPV were both &gt;0.6. This suggests that even for severe toxicities, the predictive values are not consistently high.</w:t>
            </w:r>
          </w:p>
        </w:tc>
      </w:tr>
      <w:tr>
        <w:tc>
          <w:tcPr>
            <w:tcW w:type="dxa" w:w="1700"/>
            <w:tcMar>
              <w:top w:type="dxa" w:w="80"/>
              <w:left w:type="dxa" w:w="110"/>
              <w:bottom w:type="dxa" w:w="80"/>
              <w:right w:type="dxa" w:w="110"/>
            </w:tcMar>
          </w:tcPr>
          <w:p>
            <w:pPr>
              <w:spacing w:after="0"/>
            </w:pPr>
            <w:r>
              <w:rPr>
                <w:rFonts w:ascii="Calibri" w:cs="Calibri" w:eastAsia="Calibri" w:hAnsi="Calibri"/>
                <w:b/>
                <w:bCs/>
                <w:sz w:val="19"/>
                <w:szCs w:val="19"/>
              </w:rPr>
              <w:t xml:space="preserve">Toxicology</w:t>
            </w:r>
          </w:p>
        </w:tc>
        <w:tc>
          <w:tcPr>
            <w:tcW w:type="dxa" w:w="1500"/>
            <w:tcMar>
              <w:top w:type="dxa" w:w="80"/>
              <w:left w:type="dxa" w:w="110"/>
              <w:bottom w:type="dxa" w:w="80"/>
              <w:right w:type="dxa" w:w="110"/>
            </w:tcMar>
          </w:tcPr>
          <w:p>
            <w:pPr>
              <w:spacing w:after="20"/>
            </w:pPr>
            <w:r>
              <w:rPr>
                <w:rFonts w:ascii="Calibri" w:cs="Calibri" w:eastAsia="Calibri" w:hAnsi="Calibri"/>
                <w:b/>
                <w:bCs/>
                <w:sz w:val="19"/>
                <w:szCs w:val="19"/>
              </w:rPr>
              <w:t xml:space="preserve">rabbit</w:t>
            </w:r>
          </w:p>
          <w:p>
            <w:pPr>
              <w:spacing w:after="20"/>
            </w:pPr>
            <w:r>
              <w:rPr>
                <w:rFonts w:ascii="Calibri" w:cs="Calibri" w:eastAsia="Calibri" w:hAnsi="Calibri"/>
                <w:color w:val="666666"/>
                <w:sz w:val="17"/>
                <w:szCs w:val="17"/>
              </w:rPr>
              <w:t xml:space="preserve">2 studies</w:t>
            </w:r>
          </w:p>
          <w:p>
            <w:pPr>
              <w:spacing w:after="0"/>
            </w:pPr>
            <w:r>
              <w:rPr>
                <w:rFonts w:ascii="Calibri" w:cs="Calibri" w:eastAsia="Calibri" w:hAnsi="Calibri"/>
                <w:color w:val="666666"/>
                <w:sz w:val="16"/>
                <w:szCs w:val="16"/>
              </w:rPr>
              <w:t xml:space="preserve">1 partly supports</w:t>
            </w:r>
          </w:p>
          <w:p>
            <w:pPr>
              <w:spacing w:after="0"/>
            </w:pPr>
            <w:r>
              <w:rPr>
                <w:rFonts w:ascii="Calibri" w:cs="Calibri" w:eastAsia="Calibri" w:hAnsi="Calibri"/>
                <w:color w:val="666666"/>
                <w:sz w:val="16"/>
                <w:szCs w:val="16"/>
              </w:rPr>
              <w:t xml:space="preserve">1 does not support</w:t>
            </w:r>
          </w:p>
        </w:tc>
        <w:tc>
          <w:tcPr>
            <w:tcW w:type="dxa" w:w="10240"/>
            <w:tcMar>
              <w:top w:type="dxa" w:w="80"/>
              <w:left w:type="dxa" w:w="110"/>
              <w:bottom w:type="dxa" w:w="80"/>
              <w:right w:type="dxa" w:w="110"/>
            </w:tcMar>
          </w:tcPr>
          <w:p>
            <w:pPr>
              <w:spacing w:after="40"/>
            </w:pPr>
            <w:r>
              <w:rPr>
                <w:rFonts w:ascii="Calibri" w:cs="Calibri" w:eastAsia="Calibri" w:hAnsi="Calibri"/>
                <w:b/>
                <w:bCs/>
                <w:color w:val="7A5B00"/>
                <w:sz w:val="16"/>
                <w:szCs w:val="16"/>
              </w:rPr>
              <w:t xml:space="preserve">MIXED</w:t>
            </w:r>
          </w:p>
          <w:p>
            <w:pPr>
              <w:spacing w:after="60"/>
            </w:pPr>
            <w:r>
              <w:rPr>
                <w:rFonts w:ascii="Calibri" w:cs="Calibri" w:eastAsia="Calibri" w:hAnsi="Calibri"/>
                <w:sz w:val="18"/>
                <w:szCs w:val="18"/>
              </w:rPr>
              <w:t xml:space="preserve">Evidence is mixed: rabbit tests show signal for some cardiac endpoints (Clark et al. 2018: rabbit LR+ 3.54 for cardiac disorders; QT prolongation post-test odds 83%). But overall animal-to-human discriminative weight is minimal (Bailey et al. 2015: rabbit median iNLR 1.12).</w:t>
            </w:r>
          </w:p>
          <w:p>
            <w:pPr>
              <w:spacing w:after="60"/>
            </w:pPr>
            <w:r>
              <w:rPr>
                <w:rFonts w:ascii="Calibri" w:cs="Calibri" w:eastAsia="Calibri" w:hAnsi="Calibri"/>
                <w:b/>
                <w:bCs/>
                <w:color w:val="555555"/>
                <w:sz w:val="17"/>
                <w:szCs w:val="17"/>
              </w:rPr>
              <w:t xml:space="preserve">What varies across the range. </w:t>
            </w:r>
            <w:r>
              <w:rPr>
                <w:rFonts w:ascii="Calibri" w:cs="Calibri" w:eastAsia="Calibri" w:hAnsi="Calibri"/>
                <w:color w:val="555555"/>
                <w:sz w:val="17"/>
                <w:szCs w:val="17"/>
              </w:rPr>
              <w:t xml:space="preserve">Performance varies by endpoint and dataset selection (overall selectivity low while specific cardiac endpoints show higher concordance).</w:t>
            </w:r>
          </w:p>
          <w:p>
            <w:pPr>
              <w:spacing w:after="30"/>
            </w:pPr>
            <w:r>
              <w:rPr>
                <w:rFonts w:ascii="Calibri" w:cs="Calibri" w:eastAsia="Calibri" w:hAnsi="Calibri"/>
                <w:b/>
                <w:bCs/>
                <w:color w:val="666666"/>
                <w:sz w:val="16"/>
                <w:szCs w:val="16"/>
              </w:rPr>
              <w:t xml:space="preserve">Figures behind this row</w:t>
            </w:r>
          </w:p>
          <w:p>
            <w:pPr>
              <w:spacing w:after="70"/>
            </w:pPr>
            <w:r>
              <w:rPr>
                <w:rFonts w:ascii="Calibri" w:cs="Calibri" w:eastAsia="Calibri" w:hAnsi="Calibri"/>
                <w:b/>
                <w:bCs/>
                <w:sz w:val="19"/>
                <w:szCs w:val="19"/>
              </w:rPr>
              <w:t xml:space="preserve">2.8–3.54</w:t>
            </w:r>
            <w:r>
              <w:rPr>
                <w:rFonts w:ascii="Calibri" w:cs="Calibri" w:eastAsia="Calibri" w:hAnsi="Calibri"/>
                <w:sz w:val="18"/>
                <w:szCs w:val="18"/>
              </w:rPr>
              <w:t xml:space="preserve">  lr+, n=99 — Likelihood Ratio for rabbit, Cardiac disorders (</w:t>
            </w:r>
            <w:hyperlink w:history="1" r:id="rIdho9lkn-vq2cbqedndnd6l">
              <w:r>
                <w:rPr>
                  <w:rFonts w:ascii="Calibri" w:cs="Calibri" w:eastAsia="Calibri" w:hAnsi="Calibri"/>
                  <w:color w:val="1155CC"/>
                  <w:sz w:val="18"/>
                  <w:szCs w:val="18"/>
                  <w:u w:val="single"/>
                </w:rPr>
                <w:t xml:space="preserve">Clark et al. 2018</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83%</w:t>
            </w:r>
            <w:r>
              <w:rPr>
                <w:rFonts w:ascii="Calibri" w:cs="Calibri" w:eastAsia="Calibri" w:hAnsi="Calibri"/>
                <w:sz w:val="18"/>
                <w:szCs w:val="18"/>
              </w:rPr>
              <w:t xml:space="preserve">  post-test odds — QT prolongation post-test odds (rabbit) (</w:t>
            </w:r>
            <w:hyperlink w:history="1" r:id="rIdntmf6tipidlulhvwtrfoe">
              <w:r>
                <w:rPr>
                  <w:rFonts w:ascii="Calibri" w:cs="Calibri" w:eastAsia="Calibri" w:hAnsi="Calibri"/>
                  <w:color w:val="1155CC"/>
                  <w:sz w:val="18"/>
                  <w:szCs w:val="18"/>
                  <w:u w:val="single"/>
                </w:rPr>
                <w:t xml:space="preserve">Clark et al. 2018</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1.12</w:t>
            </w:r>
            <w:r>
              <w:rPr>
                <w:rFonts w:ascii="Calibri" w:cs="Calibri" w:eastAsia="Calibri" w:hAnsi="Calibri"/>
                <w:sz w:val="18"/>
                <w:szCs w:val="18"/>
              </w:rPr>
              <w:t xml:space="preserve">  median inlr — Rabbit-human median iNLR (</w:t>
            </w:r>
            <w:hyperlink w:history="1" r:id="rId2-hcb3dh4jkxgr5wgtsgy">
              <w:r>
                <w:rPr>
                  <w:rFonts w:ascii="Calibri" w:cs="Calibri" w:eastAsia="Calibri" w:hAnsi="Calibri"/>
                  <w:color w:val="1155CC"/>
                  <w:sz w:val="18"/>
                  <w:szCs w:val="18"/>
                  <w:u w:val="single"/>
                </w:rPr>
                <w:t xml:space="preserve">Bailey et al. 2015</w:t>
              </w:r>
            </w:hyperlink>
            <w:r>
              <w:rPr>
                <w:rFonts w:ascii="Calibri" w:cs="Calibri" w:eastAsia="Calibri" w:hAnsi="Calibri"/>
                <w:sz w:val="18"/>
                <w:szCs w:val="18"/>
              </w:rPr>
              <w:t xml:space="preserve">)</w:t>
            </w:r>
          </w:p>
          <w:p>
            <w:pPr>
              <w:spacing w:after="40"/>
            </w:pPr>
            <w:r>
              <w:rPr>
                <w:rFonts w:ascii="Calibri" w:cs="Calibri" w:eastAsia="Calibri" w:hAnsi="Calibri"/>
                <w:b/>
                <w:bCs/>
                <w:color w:val="8A6D00"/>
                <w:sz w:val="17"/>
                <w:szCs w:val="17"/>
              </w:rPr>
              <w:t xml:space="preserve">Caveat. </w:t>
            </w:r>
            <w:r>
              <w:rPr>
                <w:rFonts w:ascii="Calibri" w:cs="Calibri" w:eastAsia="Calibri" w:hAnsi="Calibri"/>
                <w:i/>
                <w:iCs/>
                <w:color w:val="8A6D00"/>
                <w:sz w:val="17"/>
                <w:szCs w:val="17"/>
              </w:rPr>
              <w:t xml:space="preserve">The selectivity of 7% is low, but the paper notes that the data set differs from other studies, as it focuses on marketed drugs that passed rigorous clinical safety testing. The high LR+ for dizziness (1000) might be an outlier or reflect specific testing practices.</w:t>
            </w:r>
          </w:p>
        </w:tc>
      </w:tr>
      <w:tr>
        <w:tc>
          <w:tcPr>
            <w:tcW w:type="dxa" w:w="1700"/>
            <w:shd w:fill="F4F6F8"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Toxicology</w:t>
            </w:r>
          </w:p>
        </w:tc>
        <w:tc>
          <w:tcPr>
            <w:tcW w:type="dxa" w:w="1500"/>
            <w:shd w:fill="F4F6F8" w:color="auto" w:val="clear"/>
            <w:tcMar>
              <w:top w:type="dxa" w:w="80"/>
              <w:left w:type="dxa" w:w="110"/>
              <w:bottom w:type="dxa" w:w="80"/>
              <w:right w:type="dxa" w:w="110"/>
            </w:tcMar>
          </w:tcPr>
          <w:p>
            <w:pPr>
              <w:spacing w:after="20"/>
            </w:pPr>
            <w:r>
              <w:rPr>
                <w:rFonts w:ascii="Calibri" w:cs="Calibri" w:eastAsia="Calibri" w:hAnsi="Calibri"/>
                <w:b/>
                <w:bCs/>
                <w:sz w:val="19"/>
                <w:szCs w:val="19"/>
              </w:rPr>
              <w:t xml:space="preserve">zebrafish</w:t>
            </w:r>
          </w:p>
          <w:p>
            <w:pPr>
              <w:spacing w:after="20"/>
            </w:pPr>
            <w:r>
              <w:rPr>
                <w:rFonts w:ascii="Calibri" w:cs="Calibri" w:eastAsia="Calibri" w:hAnsi="Calibri"/>
                <w:color w:val="666666"/>
                <w:sz w:val="17"/>
                <w:szCs w:val="17"/>
              </w:rPr>
              <w:t xml:space="preserve">2 studies</w:t>
            </w:r>
          </w:p>
          <w:p>
            <w:pPr>
              <w:spacing w:after="0"/>
            </w:pPr>
            <w:r>
              <w:rPr>
                <w:rFonts w:ascii="Calibri" w:cs="Calibri" w:eastAsia="Calibri" w:hAnsi="Calibri"/>
                <w:color w:val="666666"/>
                <w:sz w:val="16"/>
                <w:szCs w:val="16"/>
              </w:rPr>
              <w:t xml:space="preserve">1 supports</w:t>
            </w:r>
          </w:p>
          <w:p>
            <w:pPr>
              <w:spacing w:after="0"/>
            </w:pPr>
            <w:r>
              <w:rPr>
                <w:rFonts w:ascii="Calibri" w:cs="Calibri" w:eastAsia="Calibri" w:hAnsi="Calibri"/>
                <w:color w:val="666666"/>
                <w:sz w:val="16"/>
                <w:szCs w:val="16"/>
              </w:rPr>
              <w:t xml:space="preserve">1 partly supports</w:t>
            </w:r>
          </w:p>
        </w:tc>
        <w:tc>
          <w:tcPr>
            <w:tcW w:type="dxa" w:w="10240"/>
            <w:shd w:fill="F4F6F8" w:color="auto" w:val="clear"/>
            <w:tcMar>
              <w:top w:type="dxa" w:w="80"/>
              <w:left w:type="dxa" w:w="110"/>
              <w:bottom w:type="dxa" w:w="80"/>
              <w:right w:type="dxa" w:w="110"/>
            </w:tcMar>
          </w:tcPr>
          <w:p>
            <w:pPr>
              <w:spacing w:after="40"/>
            </w:pPr>
            <w:r>
              <w:rPr>
                <w:rFonts w:ascii="Calibri" w:cs="Calibri" w:eastAsia="Calibri" w:hAnsi="Calibri"/>
                <w:b/>
                <w:bCs/>
                <w:color w:val="7A5B00"/>
                <w:sz w:val="16"/>
                <w:szCs w:val="16"/>
              </w:rPr>
              <w:t xml:space="preserve">MIXED</w:t>
            </w:r>
          </w:p>
          <w:p>
            <w:pPr>
              <w:spacing w:after="60"/>
            </w:pPr>
            <w:r>
              <w:rPr>
                <w:rFonts w:ascii="Calibri" w:cs="Calibri" w:eastAsia="Calibri" w:hAnsi="Calibri"/>
                <w:sz w:val="18"/>
                <w:szCs w:val="18"/>
              </w:rPr>
              <w:t xml:space="preserve">Zebrafish assays generally track human toxicology: McGrath et al. 2008 detected 100% of teratogens and 75% of non‑teratogens; Cornet et al. 2017 reported 78% accuracy (89% specificity, 68% sensitivity). Performance varies by endpoint (neuro 54% vs hepatotoxicity 80%).</w:t>
            </w:r>
          </w:p>
          <w:p>
            <w:pPr>
              <w:spacing w:after="60"/>
            </w:pPr>
            <w:r>
              <w:rPr>
                <w:rFonts w:ascii="Calibri" w:cs="Calibri" w:eastAsia="Calibri" w:hAnsi="Calibri"/>
                <w:b/>
                <w:bCs/>
                <w:color w:val="555555"/>
                <w:sz w:val="17"/>
                <w:szCs w:val="17"/>
              </w:rPr>
              <w:t xml:space="preserve">What varies across the range. </w:t>
            </w:r>
            <w:r>
              <w:rPr>
                <w:rFonts w:ascii="Calibri" w:cs="Calibri" w:eastAsia="Calibri" w:hAnsi="Calibri"/>
                <w:color w:val="555555"/>
                <w:sz w:val="17"/>
                <w:szCs w:val="17"/>
              </w:rPr>
              <w:t xml:space="preserve">Sensitivity differs by toxicity endpoint (e.g. neurotoxicity 54% vs hepatotoxicity 80%).</w:t>
            </w:r>
          </w:p>
          <w:p>
            <w:pPr>
              <w:spacing w:after="30"/>
            </w:pPr>
            <w:r>
              <w:rPr>
                <w:rFonts w:ascii="Calibri" w:cs="Calibri" w:eastAsia="Calibri" w:hAnsi="Calibri"/>
                <w:b/>
                <w:bCs/>
                <w:color w:val="666666"/>
                <w:sz w:val="16"/>
                <w:szCs w:val="16"/>
              </w:rPr>
              <w:t xml:space="preserve">Figures behind this row</w:t>
            </w:r>
          </w:p>
          <w:p>
            <w:pPr>
              <w:spacing w:after="70"/>
            </w:pPr>
            <w:r>
              <w:rPr>
                <w:rFonts w:ascii="Calibri" w:cs="Calibri" w:eastAsia="Calibri" w:hAnsi="Calibri"/>
                <w:b/>
                <w:bCs/>
                <w:sz w:val="19"/>
                <w:szCs w:val="19"/>
              </w:rPr>
              <w:t xml:space="preserve">75%</w:t>
            </w:r>
            <w:r>
              <w:rPr>
                <w:rFonts w:ascii="Calibri" w:cs="Calibri" w:eastAsia="Calibri" w:hAnsi="Calibri"/>
                <w:sz w:val="18"/>
                <w:szCs w:val="18"/>
              </w:rPr>
              <w:t xml:space="preserve">  success rate — success rate in identifying nonteratogenic compounds (</w:t>
            </w:r>
            <w:hyperlink w:history="1" r:id="rId6lehwgjrsp5xpgdhrp0rc">
              <w:r>
                <w:rPr>
                  <w:rFonts w:ascii="Calibri" w:cs="Calibri" w:eastAsia="Calibri" w:hAnsi="Calibri"/>
                  <w:color w:val="1155CC"/>
                  <w:sz w:val="18"/>
                  <w:szCs w:val="18"/>
                  <w:u w:val="single"/>
                </w:rPr>
                <w:t xml:space="preserve">McGrath et al. 2008</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100%</w:t>
            </w:r>
            <w:r>
              <w:rPr>
                <w:rFonts w:ascii="Calibri" w:cs="Calibri" w:eastAsia="Calibri" w:hAnsi="Calibri"/>
                <w:sz w:val="18"/>
                <w:szCs w:val="18"/>
              </w:rPr>
              <w:t xml:space="preserve">  success rate — success rate in identifying teratogens (</w:t>
            </w:r>
            <w:hyperlink w:history="1" r:id="rIdvhhjwou2ep5rn1bblbm_y">
              <w:r>
                <w:rPr>
                  <w:rFonts w:ascii="Calibri" w:cs="Calibri" w:eastAsia="Calibri" w:hAnsi="Calibri"/>
                  <w:color w:val="1155CC"/>
                  <w:sz w:val="18"/>
                  <w:szCs w:val="18"/>
                  <w:u w:val="single"/>
                </w:rPr>
                <w:t xml:space="preserve">McGrath et al. 2008</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70%</w:t>
            </w:r>
            <w:r>
              <w:rPr>
                <w:rFonts w:ascii="Calibri" w:cs="Calibri" w:eastAsia="Calibri" w:hAnsi="Calibri"/>
                <w:sz w:val="18"/>
                <w:szCs w:val="18"/>
              </w:rPr>
              <w:t xml:space="preserve">  good — specificity (</w:t>
            </w:r>
            <w:hyperlink w:history="1" r:id="rIdpfzyppzbobov4a_c5ohem">
              <w:r>
                <w:rPr>
                  <w:rFonts w:ascii="Calibri" w:cs="Calibri" w:eastAsia="Calibri" w:hAnsi="Calibri"/>
                  <w:color w:val="1155CC"/>
                  <w:sz w:val="18"/>
                  <w:szCs w:val="18"/>
                  <w:u w:val="single"/>
                </w:rPr>
                <w:t xml:space="preserve">McGrath et al. 2008</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80%</w:t>
            </w:r>
            <w:r>
              <w:rPr>
                <w:rFonts w:ascii="Calibri" w:cs="Calibri" w:eastAsia="Calibri" w:hAnsi="Calibri"/>
                <w:sz w:val="18"/>
                <w:szCs w:val="18"/>
              </w:rPr>
              <w:t xml:space="preserve">  excellent — specificity (</w:t>
            </w:r>
            <w:hyperlink w:history="1" r:id="rIdv9jhuducnzxly_vwmcihw">
              <w:r>
                <w:rPr>
                  <w:rFonts w:ascii="Calibri" w:cs="Calibri" w:eastAsia="Calibri" w:hAnsi="Calibri"/>
                  <w:color w:val="1155CC"/>
                  <w:sz w:val="18"/>
                  <w:szCs w:val="18"/>
                  <w:u w:val="single"/>
                </w:rPr>
                <w:t xml:space="preserve">McGrath et al. 2008</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89%</w:t>
            </w:r>
            <w:r>
              <w:rPr>
                <w:rFonts w:ascii="Calibri" w:cs="Calibri" w:eastAsia="Calibri" w:hAnsi="Calibri"/>
                <w:sz w:val="18"/>
                <w:szCs w:val="18"/>
              </w:rPr>
              <w:t xml:space="preserve">  specificity — ZeGlobalTox predictive assessment (overall) (</w:t>
            </w:r>
            <w:hyperlink w:history="1" r:id="rId_afjic_8avwysypfpqavn">
              <w:r>
                <w:rPr>
                  <w:rFonts w:ascii="Calibri" w:cs="Calibri" w:eastAsia="Calibri" w:hAnsi="Calibri"/>
                  <w:color w:val="1155CC"/>
                  <w:sz w:val="18"/>
                  <w:szCs w:val="18"/>
                  <w:u w:val="single"/>
                </w:rPr>
                <w:t xml:space="preserve">Cornet et al. 2017</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68%</w:t>
            </w:r>
            <w:r>
              <w:rPr>
                <w:rFonts w:ascii="Calibri" w:cs="Calibri" w:eastAsia="Calibri" w:hAnsi="Calibri"/>
                <w:sz w:val="18"/>
                <w:szCs w:val="18"/>
              </w:rPr>
              <w:t xml:space="preserve">  sensitivity — ZeGlobalTox predictive assessment (overall) (</w:t>
            </w:r>
            <w:hyperlink w:history="1" r:id="rIdld6iaztzagwlsdayv_gli">
              <w:r>
                <w:rPr>
                  <w:rFonts w:ascii="Calibri" w:cs="Calibri" w:eastAsia="Calibri" w:hAnsi="Calibri"/>
                  <w:color w:val="1155CC"/>
                  <w:sz w:val="18"/>
                  <w:szCs w:val="18"/>
                  <w:u w:val="single"/>
                </w:rPr>
                <w:t xml:space="preserve">Cornet et al. 2017</w:t>
              </w:r>
            </w:hyperlink>
            <w:r>
              <w:rPr>
                <w:rFonts w:ascii="Calibri" w:cs="Calibri" w:eastAsia="Calibri" w:hAnsi="Calibri"/>
                <w:sz w:val="18"/>
                <w:szCs w:val="18"/>
              </w:rPr>
              <w:t xml:space="preserve">)</w:t>
            </w:r>
          </w:p>
        </w:tc>
      </w:tr>
      <w:tr>
        <w:tc>
          <w:tcPr>
            <w:tcW w:type="dxa" w:w="1700"/>
            <w:tcMar>
              <w:top w:type="dxa" w:w="80"/>
              <w:left w:type="dxa" w:w="110"/>
              <w:bottom w:type="dxa" w:w="80"/>
              <w:right w:type="dxa" w:w="110"/>
            </w:tcMar>
          </w:tcPr>
          <w:p>
            <w:pPr>
              <w:spacing w:after="0"/>
            </w:pPr>
            <w:r>
              <w:rPr>
                <w:rFonts w:ascii="Calibri" w:cs="Calibri" w:eastAsia="Calibri" w:hAnsi="Calibri"/>
                <w:b/>
                <w:bCs/>
                <w:sz w:val="19"/>
                <w:szCs w:val="19"/>
              </w:rPr>
              <w:t xml:space="preserve">Toxicology</w:t>
            </w:r>
          </w:p>
        </w:tc>
        <w:tc>
          <w:tcPr>
            <w:tcW w:type="dxa" w:w="1500"/>
            <w:tcMar>
              <w:top w:type="dxa" w:w="80"/>
              <w:left w:type="dxa" w:w="110"/>
              <w:bottom w:type="dxa" w:w="80"/>
              <w:right w:type="dxa" w:w="110"/>
            </w:tcMar>
          </w:tcPr>
          <w:p>
            <w:pPr>
              <w:spacing w:after="20"/>
            </w:pPr>
            <w:r>
              <w:rPr>
                <w:rFonts w:ascii="Calibri" w:cs="Calibri" w:eastAsia="Calibri" w:hAnsi="Calibri"/>
                <w:b/>
                <w:bCs/>
                <w:sz w:val="19"/>
                <w:szCs w:val="19"/>
              </w:rPr>
              <w:t xml:space="preserve">rodent</w:t>
            </w:r>
          </w:p>
          <w:p>
            <w:pPr>
              <w:spacing w:after="20"/>
            </w:pPr>
            <w:r>
              <w:rPr>
                <w:rFonts w:ascii="Calibri" w:cs="Calibri" w:eastAsia="Calibri" w:hAnsi="Calibri"/>
                <w:color w:val="666666"/>
                <w:sz w:val="17"/>
                <w:szCs w:val="17"/>
              </w:rPr>
              <w:t xml:space="preserve">1 study</w:t>
            </w:r>
          </w:p>
          <w:p>
            <w:pPr>
              <w:spacing w:after="0"/>
            </w:pPr>
            <w:r>
              <w:rPr>
                <w:rFonts w:ascii="Calibri" w:cs="Calibri" w:eastAsia="Calibri" w:hAnsi="Calibri"/>
                <w:color w:val="666666"/>
                <w:sz w:val="16"/>
                <w:szCs w:val="16"/>
              </w:rPr>
              <w:t xml:space="preserve">1 partly supports</w:t>
            </w:r>
          </w:p>
        </w:tc>
        <w:tc>
          <w:tcPr>
            <w:tcW w:type="dxa" w:w="10240"/>
            <w:tcMar>
              <w:top w:type="dxa" w:w="80"/>
              <w:left w:type="dxa" w:w="110"/>
              <w:bottom w:type="dxa" w:w="80"/>
              <w:right w:type="dxa" w:w="110"/>
            </w:tcMar>
          </w:tcPr>
          <w:p>
            <w:pPr>
              <w:spacing w:after="40"/>
            </w:pPr>
            <w:r>
              <w:rPr>
                <w:rFonts w:ascii="Calibri" w:cs="Calibri" w:eastAsia="Calibri" w:hAnsi="Calibri"/>
                <w:b/>
                <w:bCs/>
                <w:color w:val="7A5B00"/>
                <w:sz w:val="16"/>
                <w:szCs w:val="16"/>
              </w:rPr>
              <w:t xml:space="preserve">MIXED</w:t>
            </w:r>
          </w:p>
          <w:p>
            <w:pPr>
              <w:spacing w:after="60"/>
            </w:pPr>
            <w:r>
              <w:rPr>
                <w:rFonts w:ascii="Calibri" w:cs="Calibri" w:eastAsia="Calibri" w:hAnsi="Calibri"/>
                <w:sz w:val="18"/>
                <w:szCs w:val="18"/>
              </w:rPr>
              <w:t xml:space="preserve">Monticello et al. 2017: rodent toxicology showed modest sensitivity (48%) and PPV (43%) but higher specificity (84%) and NPV (86%), so rodent findings only partially tracked human adverse effects. Performance varied by organ (PPV 0–54%; e.g. Ophthalmology 0%, Biochemical 54%) and was poor for subjective 'other' events (PPV 9%, NPV 14%).</w:t>
            </w:r>
          </w:p>
          <w:p>
            <w:pPr>
              <w:spacing w:after="60"/>
            </w:pPr>
            <w:r>
              <w:rPr>
                <w:rFonts w:ascii="Calibri" w:cs="Calibri" w:eastAsia="Calibri" w:hAnsi="Calibri"/>
                <w:b/>
                <w:bCs/>
                <w:color w:val="555555"/>
                <w:sz w:val="17"/>
                <w:szCs w:val="17"/>
              </w:rPr>
              <w:t xml:space="preserve">What varies across the range. </w:t>
            </w:r>
            <w:r>
              <w:rPr>
                <w:rFonts w:ascii="Calibri" w:cs="Calibri" w:eastAsia="Calibri" w:hAnsi="Calibri"/>
                <w:color w:val="555555"/>
                <w:sz w:val="17"/>
                <w:szCs w:val="17"/>
              </w:rPr>
              <w:t xml:space="preserve">Predictive values differ by target organ and event type; subjective 'other' events had especially low PPV/NPV.</w:t>
            </w:r>
          </w:p>
          <w:p>
            <w:pPr>
              <w:spacing w:after="30"/>
            </w:pPr>
            <w:r>
              <w:rPr>
                <w:rFonts w:ascii="Calibri" w:cs="Calibri" w:eastAsia="Calibri" w:hAnsi="Calibri"/>
                <w:b/>
                <w:bCs/>
                <w:color w:val="666666"/>
                <w:sz w:val="16"/>
                <w:szCs w:val="16"/>
              </w:rPr>
              <w:t xml:space="preserve">Figures behind this row</w:t>
            </w:r>
          </w:p>
          <w:p>
            <w:pPr>
              <w:spacing w:after="70"/>
            </w:pPr>
            <w:r>
              <w:rPr>
                <w:rFonts w:ascii="Calibri" w:cs="Calibri" w:eastAsia="Calibri" w:hAnsi="Calibri"/>
                <w:b/>
                <w:bCs/>
                <w:sz w:val="19"/>
                <w:szCs w:val="19"/>
              </w:rPr>
              <w:t xml:space="preserve">26–62%</w:t>
            </w:r>
            <w:r>
              <w:rPr>
                <w:rFonts w:ascii="Calibri" w:cs="Calibri" w:eastAsia="Calibri" w:hAnsi="Calibri"/>
                <w:sz w:val="18"/>
                <w:szCs w:val="18"/>
              </w:rPr>
              <w:t xml:space="preserve">  ppv — PPV for Liver (</w:t>
            </w:r>
            <w:hyperlink w:history="1" r:id="rIdmqxgj6wao8i3ttad03osn">
              <w:r>
                <w:rPr>
                  <w:rFonts w:ascii="Calibri" w:cs="Calibri" w:eastAsia="Calibri" w:hAnsi="Calibri"/>
                  <w:color w:val="1155CC"/>
                  <w:sz w:val="18"/>
                  <w:szCs w:val="18"/>
                  <w:u w:val="single"/>
                </w:rPr>
                <w:t xml:space="preserve">Monticello et al. 2017</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86–92%</w:t>
            </w:r>
            <w:r>
              <w:rPr>
                <w:rFonts w:ascii="Calibri" w:cs="Calibri" w:eastAsia="Calibri" w:hAnsi="Calibri"/>
                <w:sz w:val="18"/>
                <w:szCs w:val="18"/>
              </w:rPr>
              <w:t xml:space="preserve">  npv — NPV for Liver (</w:t>
            </w:r>
            <w:hyperlink w:history="1" r:id="rIdjozdafvpil7mlz7yxttzz">
              <w:r>
                <w:rPr>
                  <w:rFonts w:ascii="Calibri" w:cs="Calibri" w:eastAsia="Calibri" w:hAnsi="Calibri"/>
                  <w:color w:val="1155CC"/>
                  <w:sz w:val="18"/>
                  <w:szCs w:val="18"/>
                  <w:u w:val="single"/>
                </w:rPr>
                <w:t xml:space="preserve">Monticello et al. 2017</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20–40%</w:t>
            </w:r>
            <w:r>
              <w:rPr>
                <w:rFonts w:ascii="Calibri" w:cs="Calibri" w:eastAsia="Calibri" w:hAnsi="Calibri"/>
                <w:sz w:val="18"/>
                <w:szCs w:val="18"/>
              </w:rPr>
              <w:t xml:space="preserve">  pru — Proportionate Reduction in Uncertainty (PRU) for GI (Rodent) (</w:t>
            </w:r>
            <w:hyperlink w:history="1" r:id="rIdm0q-jhi4f6crg5yuq3ukj">
              <w:r>
                <w:rPr>
                  <w:rFonts w:ascii="Calibri" w:cs="Calibri" w:eastAsia="Calibri" w:hAnsi="Calibri"/>
                  <w:color w:val="1155CC"/>
                  <w:sz w:val="18"/>
                  <w:szCs w:val="18"/>
                  <w:u w:val="single"/>
                </w:rPr>
                <w:t xml:space="preserve">Monticello et al. 2017</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40%</w:t>
            </w:r>
            <w:r>
              <w:rPr>
                <w:rFonts w:ascii="Calibri" w:cs="Calibri" w:eastAsia="Calibri" w:hAnsi="Calibri"/>
                <w:sz w:val="18"/>
                <w:szCs w:val="18"/>
              </w:rPr>
              <w:t xml:space="preserve">  ppv — PPV for Cutaneous (</w:t>
            </w:r>
            <w:hyperlink w:history="1" r:id="rIddmr9qkdwism98fe8rvtxa">
              <w:r>
                <w:rPr>
                  <w:rFonts w:ascii="Calibri" w:cs="Calibri" w:eastAsia="Calibri" w:hAnsi="Calibri"/>
                  <w:color w:val="1155CC"/>
                  <w:sz w:val="18"/>
                  <w:szCs w:val="18"/>
                  <w:u w:val="single"/>
                </w:rPr>
                <w:t xml:space="preserve">Monticello et al. 2017</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82%</w:t>
            </w:r>
            <w:r>
              <w:rPr>
                <w:rFonts w:ascii="Calibri" w:cs="Calibri" w:eastAsia="Calibri" w:hAnsi="Calibri"/>
                <w:sz w:val="18"/>
                <w:szCs w:val="18"/>
              </w:rPr>
              <w:t xml:space="preserve">  npv — NPV for Cutaneous (</w:t>
            </w:r>
            <w:hyperlink w:history="1" r:id="rId4xmmhv9ivkhlgrtlkeok1">
              <w:r>
                <w:rPr>
                  <w:rFonts w:ascii="Calibri" w:cs="Calibri" w:eastAsia="Calibri" w:hAnsi="Calibri"/>
                  <w:color w:val="1155CC"/>
                  <w:sz w:val="18"/>
                  <w:szCs w:val="18"/>
                  <w:u w:val="single"/>
                </w:rPr>
                <w:t xml:space="preserve">Monticello et al. 2017</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14%</w:t>
            </w:r>
            <w:r>
              <w:rPr>
                <w:rFonts w:ascii="Calibri" w:cs="Calibri" w:eastAsia="Calibri" w:hAnsi="Calibri"/>
                <w:sz w:val="18"/>
                <w:szCs w:val="18"/>
              </w:rPr>
              <w:t xml:space="preserve">  ppv — PPV for Musculoskeletal (</w:t>
            </w:r>
            <w:hyperlink w:history="1" r:id="rIdlkf8tjdnnh91gh75ownmo">
              <w:r>
                <w:rPr>
                  <w:rFonts w:ascii="Calibri" w:cs="Calibri" w:eastAsia="Calibri" w:hAnsi="Calibri"/>
                  <w:color w:val="1155CC"/>
                  <w:sz w:val="18"/>
                  <w:szCs w:val="18"/>
                  <w:u w:val="single"/>
                </w:rPr>
                <w:t xml:space="preserve">Monticello et al. 2017</w:t>
              </w:r>
            </w:hyperlink>
            <w:r>
              <w:rPr>
                <w:rFonts w:ascii="Calibri" w:cs="Calibri" w:eastAsia="Calibri" w:hAnsi="Calibri"/>
                <w:sz w:val="18"/>
                <w:szCs w:val="18"/>
              </w:rPr>
              <w:t xml:space="preserve">)</w:t>
            </w:r>
          </w:p>
          <w:p>
            <w:pPr>
              <w:spacing w:after="40"/>
            </w:pPr>
            <w:r>
              <w:rPr>
                <w:rFonts w:ascii="Calibri" w:cs="Calibri" w:eastAsia="Calibri" w:hAnsi="Calibri"/>
                <w:b/>
                <w:bCs/>
                <w:color w:val="8A6D00"/>
                <w:sz w:val="17"/>
                <w:szCs w:val="17"/>
              </w:rPr>
              <w:t xml:space="preserve">Caveat. </w:t>
            </w:r>
            <w:r>
              <w:rPr>
                <w:rFonts w:ascii="Calibri" w:cs="Calibri" w:eastAsia="Calibri" w:hAnsi="Calibri"/>
                <w:i/>
                <w:iCs/>
                <w:color w:val="8A6D00"/>
                <w:sz w:val="17"/>
                <w:szCs w:val="17"/>
              </w:rPr>
              <w:t xml:space="preserve">The clinical positive prevalence for the entire database was 21%. For the 'other' organ system category, which consisted of subjective constitutional adverse events, the PPV was very low (9% for rodent, 0% for dog, 25% for NHP) and NPV was also very low (14% for rodent, 15% for dog, 16% for NHP). The paper notes that NPV is usually high because most findings are negative.</w:t>
            </w:r>
          </w:p>
        </w:tc>
      </w:tr>
      <w:tr>
        <w:tc>
          <w:tcPr>
            <w:tcW w:type="dxa" w:w="1700"/>
            <w:shd w:fill="F4F6F8"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Safety pharmacology</w:t>
            </w:r>
          </w:p>
        </w:tc>
        <w:tc>
          <w:tcPr>
            <w:tcW w:type="dxa" w:w="1500"/>
            <w:shd w:fill="F4F6F8" w:color="auto" w:val="clear"/>
            <w:tcMar>
              <w:top w:type="dxa" w:w="80"/>
              <w:left w:type="dxa" w:w="110"/>
              <w:bottom w:type="dxa" w:w="80"/>
              <w:right w:type="dxa" w:w="110"/>
            </w:tcMar>
          </w:tcPr>
          <w:p>
            <w:pPr>
              <w:spacing w:after="20"/>
            </w:pPr>
            <w:r>
              <w:rPr>
                <w:rFonts w:ascii="Calibri" w:cs="Calibri" w:eastAsia="Calibri" w:hAnsi="Calibri"/>
                <w:b/>
                <w:bCs/>
                <w:sz w:val="19"/>
                <w:szCs w:val="19"/>
              </w:rPr>
              <w:t xml:space="preserve">dog</w:t>
            </w:r>
          </w:p>
          <w:p>
            <w:pPr>
              <w:spacing w:after="20"/>
            </w:pPr>
            <w:r>
              <w:rPr>
                <w:rFonts w:ascii="Calibri" w:cs="Calibri" w:eastAsia="Calibri" w:hAnsi="Calibri"/>
                <w:color w:val="666666"/>
                <w:sz w:val="17"/>
                <w:szCs w:val="17"/>
              </w:rPr>
              <w:t xml:space="preserve">4 studies</w:t>
            </w:r>
          </w:p>
          <w:p>
            <w:pPr>
              <w:spacing w:after="0"/>
            </w:pPr>
            <w:r>
              <w:rPr>
                <w:rFonts w:ascii="Calibri" w:cs="Calibri" w:eastAsia="Calibri" w:hAnsi="Calibri"/>
                <w:color w:val="666666"/>
                <w:sz w:val="16"/>
                <w:szCs w:val="16"/>
              </w:rPr>
              <w:t xml:space="preserve">3 partly supports</w:t>
            </w:r>
          </w:p>
          <w:p>
            <w:pPr>
              <w:spacing w:after="0"/>
            </w:pPr>
            <w:r>
              <w:rPr>
                <w:rFonts w:ascii="Calibri" w:cs="Calibri" w:eastAsia="Calibri" w:hAnsi="Calibri"/>
                <w:color w:val="666666"/>
                <w:sz w:val="16"/>
                <w:szCs w:val="16"/>
              </w:rPr>
              <w:t xml:space="preserve">1 supports</w:t>
            </w:r>
          </w:p>
        </w:tc>
        <w:tc>
          <w:tcPr>
            <w:tcW w:type="dxa" w:w="10240"/>
            <w:shd w:fill="F4F6F8" w:color="auto" w:val="clear"/>
            <w:tcMar>
              <w:top w:type="dxa" w:w="80"/>
              <w:left w:type="dxa" w:w="110"/>
              <w:bottom w:type="dxa" w:w="80"/>
              <w:right w:type="dxa" w:w="110"/>
            </w:tcMar>
          </w:tcPr>
          <w:p>
            <w:pPr>
              <w:spacing w:after="40"/>
            </w:pPr>
            <w:r>
              <w:rPr>
                <w:rFonts w:ascii="Calibri" w:cs="Calibri" w:eastAsia="Calibri" w:hAnsi="Calibri"/>
                <w:b/>
                <w:bCs/>
                <w:color w:val="15603A"/>
                <w:sz w:val="16"/>
                <w:szCs w:val="16"/>
              </w:rPr>
              <w:t xml:space="preserve">EVIDENCE FAVOURS THE MODEL</w:t>
            </w:r>
          </w:p>
          <w:p>
            <w:pPr>
              <w:spacing w:after="60"/>
            </w:pPr>
            <w:r>
              <w:rPr>
                <w:rFonts w:ascii="Calibri" w:cs="Calibri" w:eastAsia="Calibri" w:hAnsi="Calibri"/>
                <w:sz w:val="18"/>
                <w:szCs w:val="18"/>
              </w:rPr>
              <w:t xml:space="preserve">Dogs moderately predict human cardiac safety: Valentin et al. 2022 found 91% of drugs that prolonged QT in humans also prolonged QT in dogs (88% concordant negatives; 31% discordant), and Pollard et al. 2017 reported dog QTc AUC ≈0.81. Bhatt et al. 2019 gave combined BP/HR sensitivity 78% and specificity 79%, and Sadko et al. 2024 observed moxifloxacin +16.6 ms QTc in dogs (human ≈10 ms); concordance varies by endpoint and exposure.</w:t>
            </w:r>
          </w:p>
          <w:p>
            <w:pPr>
              <w:spacing w:after="50"/>
            </w:pPr>
            <w:r>
              <w:rPr>
                <w:rFonts w:ascii="Calibri" w:cs="Calibri" w:eastAsia="Calibri" w:hAnsi="Calibri"/>
                <w:b/>
                <w:bCs/>
                <w:color w:val="8A6D00"/>
                <w:sz w:val="17"/>
                <w:szCs w:val="17"/>
              </w:rPr>
              <w:t xml:space="preserve">Negative controls. </w:t>
            </w:r>
            <w:r>
              <w:rPr>
                <w:rFonts w:ascii="Calibri" w:cs="Calibri" w:eastAsia="Calibri" w:hAnsi="Calibri"/>
                <w:i/>
                <w:iCs/>
                <w:color w:val="8A6D00"/>
                <w:sz w:val="17"/>
                <w:szCs w:val="17"/>
              </w:rPr>
              <w:t xml:space="preserve">Sadko et al. 2024: mock/vehicle produced no QTc increase (negative control). These are designed to score low and are excluded from the reading above.</w:t>
            </w:r>
          </w:p>
          <w:p>
            <w:pPr>
              <w:spacing w:after="60"/>
            </w:pPr>
            <w:r>
              <w:rPr>
                <w:rFonts w:ascii="Calibri" w:cs="Calibri" w:eastAsia="Calibri" w:hAnsi="Calibri"/>
                <w:b/>
                <w:bCs/>
                <w:color w:val="555555"/>
                <w:sz w:val="17"/>
                <w:szCs w:val="17"/>
              </w:rPr>
              <w:t xml:space="preserve">What varies across the range. </w:t>
            </w:r>
            <w:r>
              <w:rPr>
                <w:rFonts w:ascii="Calibri" w:cs="Calibri" w:eastAsia="Calibri" w:hAnsi="Calibri"/>
                <w:color w:val="555555"/>
                <w:sz w:val="17"/>
                <w:szCs w:val="17"/>
              </w:rPr>
              <w:t xml:space="preserve">Variation arises by endpoint (QTc vs BP/HR), assay type and exposure level, and dataset composition (e.g. inclusion/exclusion of β2‑agonists).</w:t>
            </w:r>
          </w:p>
          <w:p>
            <w:pPr>
              <w:spacing w:after="30"/>
            </w:pPr>
            <w:r>
              <w:rPr>
                <w:rFonts w:ascii="Calibri" w:cs="Calibri" w:eastAsia="Calibri" w:hAnsi="Calibri"/>
                <w:b/>
                <w:bCs/>
                <w:color w:val="666666"/>
                <w:sz w:val="16"/>
                <w:szCs w:val="16"/>
              </w:rPr>
              <w:t xml:space="preserve">Figures behind this row</w:t>
            </w:r>
          </w:p>
          <w:p>
            <w:pPr>
              <w:spacing w:after="70"/>
            </w:pPr>
            <w:r>
              <w:rPr>
                <w:rFonts w:ascii="Calibri" w:cs="Calibri" w:eastAsia="Calibri" w:hAnsi="Calibri"/>
                <w:b/>
                <w:bCs/>
                <w:sz w:val="19"/>
                <w:szCs w:val="19"/>
              </w:rPr>
              <w:t xml:space="preserve">0.78–0.92</w:t>
            </w:r>
            <w:r>
              <w:rPr>
                <w:rFonts w:ascii="Calibri" w:cs="Calibri" w:eastAsia="Calibri" w:hAnsi="Calibri"/>
                <w:sz w:val="18"/>
                <w:szCs w:val="18"/>
              </w:rPr>
              <w:t xml:space="preserve">  auc, n=24 — concordance between hERG potency and clinical QTc outcome (</w:t>
            </w:r>
            <w:hyperlink w:history="1" r:id="rIdii99kkhti4gsgwhbizoch">
              <w:r>
                <w:rPr>
                  <w:rFonts w:ascii="Calibri" w:cs="Calibri" w:eastAsia="Calibri" w:hAnsi="Calibri"/>
                  <w:color w:val="1155CC"/>
                  <w:sz w:val="18"/>
                  <w:szCs w:val="18"/>
                  <w:u w:val="single"/>
                </w:rPr>
                <w:t xml:space="preserve">Pollard et al. 2017</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54–78%</w:t>
            </w:r>
            <w:r>
              <w:rPr>
                <w:rFonts w:ascii="Calibri" w:cs="Calibri" w:eastAsia="Calibri" w:hAnsi="Calibri"/>
                <w:sz w:val="18"/>
                <w:szCs w:val="18"/>
              </w:rPr>
              <w:t xml:space="preserve">  sensitivity — large animal to human (combined BP and HR) (</w:t>
            </w:r>
            <w:hyperlink w:history="1" r:id="rIdsfljzju35scdzt2kjzkei">
              <w:r>
                <w:rPr>
                  <w:rFonts w:ascii="Calibri" w:cs="Calibri" w:eastAsia="Calibri" w:hAnsi="Calibri"/>
                  <w:color w:val="1155CC"/>
                  <w:sz w:val="18"/>
                  <w:szCs w:val="18"/>
                  <w:u w:val="single"/>
                </w:rPr>
                <w:t xml:space="preserve">Bhatt et al. 2019</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79–83%</w:t>
            </w:r>
            <w:r>
              <w:rPr>
                <w:rFonts w:ascii="Calibri" w:cs="Calibri" w:eastAsia="Calibri" w:hAnsi="Calibri"/>
                <w:sz w:val="18"/>
                <w:szCs w:val="18"/>
              </w:rPr>
              <w:t xml:space="preserve">  specificity — large animal to human (combined BP and HR) (</w:t>
            </w:r>
            <w:hyperlink w:history="1" r:id="rId4r7nomqbsb_tc67v3owo3">
              <w:r>
                <w:rPr>
                  <w:rFonts w:ascii="Calibri" w:cs="Calibri" w:eastAsia="Calibri" w:hAnsi="Calibri"/>
                  <w:color w:val="1155CC"/>
                  <w:sz w:val="18"/>
                  <w:szCs w:val="18"/>
                  <w:u w:val="single"/>
                </w:rPr>
                <w:t xml:space="preserve">Bhatt et al. 2019</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0.81–0.91</w:t>
            </w:r>
            <w:r>
              <w:rPr>
                <w:rFonts w:ascii="Calibri" w:cs="Calibri" w:eastAsia="Calibri" w:hAnsi="Calibri"/>
                <w:sz w:val="18"/>
                <w:szCs w:val="18"/>
              </w:rPr>
              <w:t xml:space="preserve">  auc — concordance between dog QTc data and clinical QTc outcome (</w:t>
            </w:r>
            <w:hyperlink w:history="1" r:id="rId4s1ycvmmlqx1tkp3tzmnx">
              <w:r>
                <w:rPr>
                  <w:rFonts w:ascii="Calibri" w:cs="Calibri" w:eastAsia="Calibri" w:hAnsi="Calibri"/>
                  <w:color w:val="1155CC"/>
                  <w:sz w:val="18"/>
                  <w:szCs w:val="18"/>
                  <w:u w:val="single"/>
                </w:rPr>
                <w:t xml:space="preserve">Pollard et al. 2017</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1.7–3</w:t>
            </w:r>
            <w:r>
              <w:rPr>
                <w:rFonts w:ascii="Calibri" w:cs="Calibri" w:eastAsia="Calibri" w:hAnsi="Calibri"/>
                <w:sz w:val="18"/>
                <w:szCs w:val="18"/>
              </w:rPr>
              <w:t xml:space="preserve">  multiple, n=8 n=8 — Critical concentration multiple for 10ms QTc increase (moxifloxacin) (</w:t>
            </w:r>
            <w:hyperlink w:history="1" r:id="rIdpadgmmhfvwpjhygpttzo4">
              <w:r>
                <w:rPr>
                  <w:rFonts w:ascii="Calibri" w:cs="Calibri" w:eastAsia="Calibri" w:hAnsi="Calibri"/>
                  <w:color w:val="1155CC"/>
                  <w:sz w:val="18"/>
                  <w:szCs w:val="18"/>
                  <w:u w:val="single"/>
                </w:rPr>
                <w:t xml:space="preserve">Sadko et al. 2024</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0.81</w:t>
            </w:r>
            <w:r>
              <w:rPr>
                <w:rFonts w:ascii="Calibri" w:cs="Calibri" w:eastAsia="Calibri" w:hAnsi="Calibri"/>
                <w:sz w:val="18"/>
                <w:szCs w:val="18"/>
              </w:rPr>
              <w:t xml:space="preserve">  concordance rate, n=24 drugs — concordance rate of in vivo dog assay for clinical QT outcome (</w:t>
            </w:r>
            <w:hyperlink w:history="1" r:id="rIdewe2g5kenvzbjeov0grc7">
              <w:r>
                <w:rPr>
                  <w:rFonts w:ascii="Calibri" w:cs="Calibri" w:eastAsia="Calibri" w:hAnsi="Calibri"/>
                  <w:color w:val="1155CC"/>
                  <w:sz w:val="18"/>
                  <w:szCs w:val="18"/>
                  <w:u w:val="single"/>
                </w:rPr>
                <w:t xml:space="preserve">Valentin et al. 2022</w:t>
              </w:r>
            </w:hyperlink>
            <w:r>
              <w:rPr>
                <w:rFonts w:ascii="Calibri" w:cs="Calibri" w:eastAsia="Calibri" w:hAnsi="Calibri"/>
                <w:sz w:val="18"/>
                <w:szCs w:val="18"/>
              </w:rPr>
              <w:t xml:space="preserve">)</w:t>
            </w:r>
          </w:p>
          <w:p>
            <w:pPr>
              <w:spacing w:after="40"/>
            </w:pPr>
            <w:r>
              <w:rPr>
                <w:rFonts w:ascii="Calibri" w:cs="Calibri" w:eastAsia="Calibri" w:hAnsi="Calibri"/>
                <w:b/>
                <w:bCs/>
                <w:color w:val="8A6D00"/>
                <w:sz w:val="17"/>
                <w:szCs w:val="17"/>
              </w:rPr>
              <w:t xml:space="preserve">Caveat. </w:t>
            </w:r>
            <w:r>
              <w:rPr>
                <w:rFonts w:ascii="Calibri" w:cs="Calibri" w:eastAsia="Calibri" w:hAnsi="Calibri"/>
                <w:i/>
                <w:iCs/>
                <w:color w:val="8A6D00"/>
                <w:sz w:val="17"/>
                <w:szCs w:val="17"/>
              </w:rPr>
              <w:t xml:space="preserve">The prevalence of compounds that prolong QTc in clinical studies was estimated at 0.22, which can influence PPV and NPV values.</w:t>
            </w:r>
          </w:p>
        </w:tc>
      </w:tr>
      <w:tr>
        <w:tc>
          <w:tcPr>
            <w:tcW w:type="dxa" w:w="1700"/>
            <w:tcMar>
              <w:top w:type="dxa" w:w="80"/>
              <w:left w:type="dxa" w:w="110"/>
              <w:bottom w:type="dxa" w:w="80"/>
              <w:right w:type="dxa" w:w="110"/>
            </w:tcMar>
          </w:tcPr>
          <w:p>
            <w:pPr>
              <w:spacing w:after="0"/>
            </w:pPr>
            <w:r>
              <w:rPr>
                <w:rFonts w:ascii="Calibri" w:cs="Calibri" w:eastAsia="Calibri" w:hAnsi="Calibri"/>
                <w:b/>
                <w:bCs/>
                <w:sz w:val="19"/>
                <w:szCs w:val="19"/>
              </w:rPr>
              <w:t xml:space="preserve">Safety pharmacology</w:t>
            </w:r>
          </w:p>
        </w:tc>
        <w:tc>
          <w:tcPr>
            <w:tcW w:type="dxa" w:w="1500"/>
            <w:tcMar>
              <w:top w:type="dxa" w:w="80"/>
              <w:left w:type="dxa" w:w="110"/>
              <w:bottom w:type="dxa" w:w="80"/>
              <w:right w:type="dxa" w:w="110"/>
            </w:tcMar>
          </w:tcPr>
          <w:p>
            <w:pPr>
              <w:spacing w:after="20"/>
            </w:pPr>
            <w:r>
              <w:rPr>
                <w:rFonts w:ascii="Calibri" w:cs="Calibri" w:eastAsia="Calibri" w:hAnsi="Calibri"/>
                <w:b/>
                <w:bCs/>
                <w:sz w:val="19"/>
                <w:szCs w:val="19"/>
              </w:rPr>
              <w:t xml:space="preserve">non-human primate</w:t>
            </w:r>
          </w:p>
          <w:p>
            <w:pPr>
              <w:spacing w:after="20"/>
            </w:pPr>
            <w:r>
              <w:rPr>
                <w:rFonts w:ascii="Calibri" w:cs="Calibri" w:eastAsia="Calibri" w:hAnsi="Calibri"/>
                <w:color w:val="666666"/>
                <w:sz w:val="17"/>
                <w:szCs w:val="17"/>
              </w:rPr>
              <w:t xml:space="preserve">2 studies</w:t>
            </w:r>
          </w:p>
          <w:p>
            <w:pPr>
              <w:spacing w:after="0"/>
            </w:pPr>
            <w:r>
              <w:rPr>
                <w:rFonts w:ascii="Calibri" w:cs="Calibri" w:eastAsia="Calibri" w:hAnsi="Calibri"/>
                <w:color w:val="666666"/>
                <w:sz w:val="16"/>
                <w:szCs w:val="16"/>
              </w:rPr>
              <w:t xml:space="preserve">1 supports</w:t>
            </w:r>
          </w:p>
          <w:p>
            <w:pPr>
              <w:spacing w:after="0"/>
            </w:pPr>
            <w:r>
              <w:rPr>
                <w:rFonts w:ascii="Calibri" w:cs="Calibri" w:eastAsia="Calibri" w:hAnsi="Calibri"/>
                <w:color w:val="666666"/>
                <w:sz w:val="16"/>
                <w:szCs w:val="16"/>
              </w:rPr>
              <w:t xml:space="preserve">1 partly supports</w:t>
            </w:r>
          </w:p>
        </w:tc>
        <w:tc>
          <w:tcPr>
            <w:tcW w:type="dxa" w:w="10240"/>
            <w:tcMar>
              <w:top w:type="dxa" w:w="80"/>
              <w:left w:type="dxa" w:w="110"/>
              <w:bottom w:type="dxa" w:w="80"/>
              <w:right w:type="dxa" w:w="110"/>
            </w:tcMar>
          </w:tcPr>
          <w:p>
            <w:pPr>
              <w:spacing w:after="40"/>
            </w:pPr>
            <w:r>
              <w:rPr>
                <w:rFonts w:ascii="Calibri" w:cs="Calibri" w:eastAsia="Calibri" w:hAnsi="Calibri"/>
                <w:b/>
                <w:bCs/>
                <w:color w:val="15603A"/>
                <w:sz w:val="16"/>
                <w:szCs w:val="16"/>
              </w:rPr>
              <w:t xml:space="preserve">EVIDENCE FAVOURS THE MODEL</w:t>
            </w:r>
          </w:p>
          <w:p>
            <w:pPr>
              <w:spacing w:after="60"/>
            </w:pPr>
            <w:r>
              <w:rPr>
                <w:rFonts w:ascii="Calibri" w:cs="Calibri" w:eastAsia="Calibri" w:hAnsi="Calibri"/>
                <w:sz w:val="18"/>
                <w:szCs w:val="18"/>
              </w:rPr>
              <w:t xml:space="preserve">Evidence shows NHP cardiovascular safety findings largely track human results: Bhatt et al. 2019 — combined BP+HR sensitivity 78%, specificity 79% (NPV 92%), though HR-only sensitivity was 54%. Sadko et al. 2024 found NHP moxifloxacin QTc +10.9 ms (vs ~10 ms in humans).</w:t>
            </w:r>
          </w:p>
          <w:p>
            <w:pPr>
              <w:spacing w:after="50"/>
            </w:pPr>
            <w:r>
              <w:rPr>
                <w:rFonts w:ascii="Calibri" w:cs="Calibri" w:eastAsia="Calibri" w:hAnsi="Calibri"/>
                <w:b/>
                <w:bCs/>
                <w:color w:val="8A6D00"/>
                <w:sz w:val="17"/>
                <w:szCs w:val="17"/>
              </w:rPr>
              <w:t xml:space="preserve">Negative controls. </w:t>
            </w:r>
            <w:r>
              <w:rPr>
                <w:rFonts w:ascii="Calibri" w:cs="Calibri" w:eastAsia="Calibri" w:hAnsi="Calibri"/>
                <w:i/>
                <w:iCs/>
                <w:color w:val="8A6D00"/>
                <w:sz w:val="17"/>
                <w:szCs w:val="17"/>
              </w:rPr>
              <w:t xml:space="preserve">Sadko et al. 2024 included a mock (no-effect) drug showing no QTc change up to 3× clinical concentration. These are designed to score low and are excluded from the reading above.</w:t>
            </w:r>
          </w:p>
          <w:p>
            <w:pPr>
              <w:spacing w:after="60"/>
            </w:pPr>
            <w:r>
              <w:rPr>
                <w:rFonts w:ascii="Calibri" w:cs="Calibri" w:eastAsia="Calibri" w:hAnsi="Calibri"/>
                <w:b/>
                <w:bCs/>
                <w:color w:val="555555"/>
                <w:sz w:val="17"/>
                <w:szCs w:val="17"/>
              </w:rPr>
              <w:t xml:space="preserve">What varies across the range. </w:t>
            </w:r>
            <w:r>
              <w:rPr>
                <w:rFonts w:ascii="Calibri" w:cs="Calibri" w:eastAsia="Calibri" w:hAnsi="Calibri"/>
                <w:color w:val="555555"/>
                <w:sz w:val="17"/>
                <w:szCs w:val="17"/>
              </w:rPr>
              <w:t xml:space="preserve">Performance varies by endpoint: combined BP+HR concordance is higher than HR-only.</w:t>
            </w:r>
          </w:p>
          <w:p>
            <w:pPr>
              <w:spacing w:after="30"/>
            </w:pPr>
            <w:r>
              <w:rPr>
                <w:rFonts w:ascii="Calibri" w:cs="Calibri" w:eastAsia="Calibri" w:hAnsi="Calibri"/>
                <w:b/>
                <w:bCs/>
                <w:color w:val="666666"/>
                <w:sz w:val="16"/>
                <w:szCs w:val="16"/>
              </w:rPr>
              <w:t xml:space="preserve">Figures behind this row</w:t>
            </w:r>
          </w:p>
          <w:p>
            <w:pPr>
              <w:spacing w:after="70"/>
            </w:pPr>
            <w:r>
              <w:rPr>
                <w:rFonts w:ascii="Calibri" w:cs="Calibri" w:eastAsia="Calibri" w:hAnsi="Calibri"/>
                <w:b/>
                <w:bCs/>
                <w:sz w:val="19"/>
                <w:szCs w:val="19"/>
              </w:rPr>
              <w:t xml:space="preserve">54–78%</w:t>
            </w:r>
            <w:r>
              <w:rPr>
                <w:rFonts w:ascii="Calibri" w:cs="Calibri" w:eastAsia="Calibri" w:hAnsi="Calibri"/>
                <w:sz w:val="18"/>
                <w:szCs w:val="18"/>
              </w:rPr>
              <w:t xml:space="preserve">  sensitivity — large animal to human (combined BP and HR) (</w:t>
            </w:r>
            <w:hyperlink w:history="1" r:id="rIdyfaehkvlfxcrsaxwxsxbx">
              <w:r>
                <w:rPr>
                  <w:rFonts w:ascii="Calibri" w:cs="Calibri" w:eastAsia="Calibri" w:hAnsi="Calibri"/>
                  <w:color w:val="1155CC"/>
                  <w:sz w:val="18"/>
                  <w:szCs w:val="18"/>
                  <w:u w:val="single"/>
                </w:rPr>
                <w:t xml:space="preserve">Bhatt et al. 2019</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79–83%</w:t>
            </w:r>
            <w:r>
              <w:rPr>
                <w:rFonts w:ascii="Calibri" w:cs="Calibri" w:eastAsia="Calibri" w:hAnsi="Calibri"/>
                <w:sz w:val="18"/>
                <w:szCs w:val="18"/>
              </w:rPr>
              <w:t xml:space="preserve">  specificity — large animal to human (combined BP and HR) (</w:t>
            </w:r>
            <w:hyperlink w:history="1" r:id="rIdszgufz86xjbenprwgnu2i">
              <w:r>
                <w:rPr>
                  <w:rFonts w:ascii="Calibri" w:cs="Calibri" w:eastAsia="Calibri" w:hAnsi="Calibri"/>
                  <w:color w:val="1155CC"/>
                  <w:sz w:val="18"/>
                  <w:szCs w:val="18"/>
                  <w:u w:val="single"/>
                </w:rPr>
                <w:t xml:space="preserve">Bhatt et al. 2019</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1.5–3</w:t>
            </w:r>
            <w:r>
              <w:rPr>
                <w:rFonts w:ascii="Calibri" w:cs="Calibri" w:eastAsia="Calibri" w:hAnsi="Calibri"/>
                <w:sz w:val="18"/>
                <w:szCs w:val="18"/>
              </w:rPr>
              <w:t xml:space="preserve">  multiple, n=48 n=48 — Critical concentration multiple for 10ms QTc increase (moxifloxacin) (</w:t>
            </w:r>
            <w:hyperlink w:history="1" r:id="rId5yrlwm68h99eieew6jjbv">
              <w:r>
                <w:rPr>
                  <w:rFonts w:ascii="Calibri" w:cs="Calibri" w:eastAsia="Calibri" w:hAnsi="Calibri"/>
                  <w:color w:val="1155CC"/>
                  <w:sz w:val="18"/>
                  <w:szCs w:val="18"/>
                  <w:u w:val="single"/>
                </w:rPr>
                <w:t xml:space="preserve">Sadko et al. 2024</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10.9</w:t>
            </w:r>
            <w:r>
              <w:rPr>
                <w:rFonts w:ascii="Calibri" w:cs="Calibri" w:eastAsia="Calibri" w:hAnsi="Calibri"/>
                <w:sz w:val="18"/>
                <w:szCs w:val="18"/>
              </w:rPr>
              <w:t xml:space="preserve">  mean, n=48 n=48 — QTc increase at critical concentration (moxifloxacin) (</w:t>
            </w:r>
            <w:hyperlink w:history="1" r:id="rIdcpiuigiv4-pwhs3h3jwll">
              <w:r>
                <w:rPr>
                  <w:rFonts w:ascii="Calibri" w:cs="Calibri" w:eastAsia="Calibri" w:hAnsi="Calibri"/>
                  <w:color w:val="1155CC"/>
                  <w:sz w:val="18"/>
                  <w:szCs w:val="18"/>
                  <w:u w:val="single"/>
                </w:rPr>
                <w:t xml:space="preserve">Sadko et al. 2024</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0</w:t>
            </w:r>
            <w:r>
              <w:rPr>
                <w:rFonts w:ascii="Calibri" w:cs="Calibri" w:eastAsia="Calibri" w:hAnsi="Calibri"/>
                <w:sz w:val="18"/>
                <w:szCs w:val="18"/>
              </w:rPr>
              <w:t xml:space="preserve">  change, n=48 n=48 — QTc increase at critical concentration (mock drug) (</w:t>
            </w:r>
            <w:hyperlink w:history="1" r:id="rIdq0pen_hjrzptfr5v2mvon">
              <w:r>
                <w:rPr>
                  <w:rFonts w:ascii="Calibri" w:cs="Calibri" w:eastAsia="Calibri" w:hAnsi="Calibri"/>
                  <w:color w:val="1155CC"/>
                  <w:sz w:val="18"/>
                  <w:szCs w:val="18"/>
                  <w:u w:val="single"/>
                </w:rPr>
                <w:t xml:space="preserve">Sadko et al. 2024</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10</w:t>
            </w:r>
            <w:r>
              <w:rPr>
                <w:rFonts w:ascii="Calibri" w:cs="Calibri" w:eastAsia="Calibri" w:hAnsi="Calibri"/>
                <w:sz w:val="18"/>
                <w:szCs w:val="18"/>
              </w:rPr>
              <w:t xml:space="preserve">  mean, n=48 n=48 — QTc increase over 24h (moxifloxacin) (</w:t>
            </w:r>
            <w:hyperlink w:history="1" r:id="rIdeagnphalypoezoc6fpk6g">
              <w:r>
                <w:rPr>
                  <w:rFonts w:ascii="Calibri" w:cs="Calibri" w:eastAsia="Calibri" w:hAnsi="Calibri"/>
                  <w:color w:val="1155CC"/>
                  <w:sz w:val="18"/>
                  <w:szCs w:val="18"/>
                  <w:u w:val="single"/>
                </w:rPr>
                <w:t xml:space="preserve">Sadko et al. 2024</w:t>
              </w:r>
            </w:hyperlink>
            <w:r>
              <w:rPr>
                <w:rFonts w:ascii="Calibri" w:cs="Calibri" w:eastAsia="Calibri" w:hAnsi="Calibri"/>
                <w:sz w:val="18"/>
                <w:szCs w:val="18"/>
              </w:rPr>
              <w:t xml:space="preserve">)</w:t>
            </w:r>
          </w:p>
          <w:p>
            <w:pPr>
              <w:spacing w:after="40"/>
            </w:pPr>
            <w:r>
              <w:rPr>
                <w:rFonts w:ascii="Calibri" w:cs="Calibri" w:eastAsia="Calibri" w:hAnsi="Calibri"/>
                <w:b/>
                <w:bCs/>
                <w:color w:val="8A6D00"/>
                <w:sz w:val="17"/>
                <w:szCs w:val="17"/>
              </w:rPr>
              <w:t xml:space="preserve">Caveat. </w:t>
            </w:r>
            <w:r>
              <w:rPr>
                <w:rFonts w:ascii="Calibri" w:cs="Calibri" w:eastAsia="Calibri" w:hAnsi="Calibri"/>
                <w:i/>
                <w:iCs/>
                <w:color w:val="8A6D00"/>
                <w:sz w:val="17"/>
                <w:szCs w:val="17"/>
              </w:rPr>
              <w:t xml:space="preserve">Predictive values are dependent on the prevalence of positives in the dataset. The paper notes that the prevalence in the dataset may be lower than "real world" prevalence.</w:t>
            </w:r>
          </w:p>
        </w:tc>
      </w:tr>
      <w:tr>
        <w:tc>
          <w:tcPr>
            <w:tcW w:type="dxa" w:w="1700"/>
            <w:shd w:fill="F4F6F8"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Safety pharmacology</w:t>
            </w:r>
          </w:p>
        </w:tc>
        <w:tc>
          <w:tcPr>
            <w:tcW w:type="dxa" w:w="1500"/>
            <w:shd w:fill="F4F6F8" w:color="auto" w:val="clear"/>
            <w:tcMar>
              <w:top w:type="dxa" w:w="80"/>
              <w:left w:type="dxa" w:w="110"/>
              <w:bottom w:type="dxa" w:w="80"/>
              <w:right w:type="dxa" w:w="110"/>
            </w:tcMar>
          </w:tcPr>
          <w:p>
            <w:pPr>
              <w:spacing w:after="20"/>
            </w:pPr>
            <w:r>
              <w:rPr>
                <w:rFonts w:ascii="Calibri" w:cs="Calibri" w:eastAsia="Calibri" w:hAnsi="Calibri"/>
                <w:b/>
                <w:bCs/>
                <w:sz w:val="19"/>
                <w:szCs w:val="19"/>
              </w:rPr>
              <w:t xml:space="preserve">rat</w:t>
            </w:r>
          </w:p>
          <w:p>
            <w:pPr>
              <w:spacing w:after="20"/>
            </w:pPr>
            <w:r>
              <w:rPr>
                <w:rFonts w:ascii="Calibri" w:cs="Calibri" w:eastAsia="Calibri" w:hAnsi="Calibri"/>
                <w:color w:val="666666"/>
                <w:sz w:val="17"/>
                <w:szCs w:val="17"/>
              </w:rPr>
              <w:t xml:space="preserve">1 study</w:t>
            </w:r>
          </w:p>
          <w:p>
            <w:pPr>
              <w:spacing w:after="0"/>
            </w:pPr>
            <w:r>
              <w:rPr>
                <w:rFonts w:ascii="Calibri" w:cs="Calibri" w:eastAsia="Calibri" w:hAnsi="Calibri"/>
                <w:color w:val="666666"/>
                <w:sz w:val="16"/>
                <w:szCs w:val="16"/>
              </w:rPr>
              <w:t xml:space="preserve">1 partly supports</w:t>
            </w:r>
          </w:p>
        </w:tc>
        <w:tc>
          <w:tcPr>
            <w:tcW w:type="dxa" w:w="10240"/>
            <w:shd w:fill="F4F6F8" w:color="auto" w:val="clear"/>
            <w:tcMar>
              <w:top w:type="dxa" w:w="80"/>
              <w:left w:type="dxa" w:w="110"/>
              <w:bottom w:type="dxa" w:w="80"/>
              <w:right w:type="dxa" w:w="110"/>
            </w:tcMar>
          </w:tcPr>
          <w:p>
            <w:pPr>
              <w:spacing w:after="40"/>
            </w:pPr>
            <w:r>
              <w:rPr>
                <w:rFonts w:ascii="Calibri" w:cs="Calibri" w:eastAsia="Calibri" w:hAnsi="Calibri"/>
                <w:b/>
                <w:bCs/>
                <w:color w:val="7A5B00"/>
                <w:sz w:val="16"/>
                <w:szCs w:val="16"/>
              </w:rPr>
              <w:t xml:space="preserve">MIXED</w:t>
            </w:r>
          </w:p>
          <w:p>
            <w:pPr>
              <w:spacing w:after="60"/>
            </w:pPr>
            <w:r>
              <w:rPr>
                <w:rFonts w:ascii="Calibri" w:cs="Calibri" w:eastAsia="Calibri" w:hAnsi="Calibri"/>
                <w:sz w:val="18"/>
                <w:szCs w:val="18"/>
              </w:rPr>
              <w:t xml:space="preserve">Bhatt et al. 2019: Rat findings tracked large-animal changes for combined BP+HR (sensitivity 84%, specificity 71%, PPV 90%, NPV 60%) but were weaker for single endpoints (HR sensitivity 64%, BP specificity 59%) and 23–26% showed opposite direction of change. Predictive values may be inflated because dataset prevalence may be lower than real-world.</w:t>
            </w:r>
          </w:p>
          <w:p>
            <w:pPr>
              <w:spacing w:after="60"/>
            </w:pPr>
            <w:r>
              <w:rPr>
                <w:rFonts w:ascii="Calibri" w:cs="Calibri" w:eastAsia="Calibri" w:hAnsi="Calibri"/>
                <w:b/>
                <w:bCs/>
                <w:color w:val="555555"/>
                <w:sz w:val="17"/>
                <w:szCs w:val="17"/>
              </w:rPr>
              <w:t xml:space="preserve">What varies across the range. </w:t>
            </w:r>
            <w:r>
              <w:rPr>
                <w:rFonts w:ascii="Calibri" w:cs="Calibri" w:eastAsia="Calibri" w:hAnsi="Calibri"/>
                <w:color w:val="555555"/>
                <w:sz w:val="17"/>
                <w:szCs w:val="17"/>
              </w:rPr>
              <w:t xml:space="preserve">The 23–26% range reflects separate opposite-direction percentages reported for HR versus BP.</w:t>
            </w:r>
          </w:p>
          <w:p>
            <w:pPr>
              <w:spacing w:after="30"/>
            </w:pPr>
            <w:r>
              <w:rPr>
                <w:rFonts w:ascii="Calibri" w:cs="Calibri" w:eastAsia="Calibri" w:hAnsi="Calibri"/>
                <w:b/>
                <w:bCs/>
                <w:color w:val="666666"/>
                <w:sz w:val="16"/>
                <w:szCs w:val="16"/>
              </w:rPr>
              <w:t xml:space="preserve">Figures behind this row</w:t>
            </w:r>
          </w:p>
          <w:p>
            <w:pPr>
              <w:spacing w:after="70"/>
            </w:pPr>
            <w:r>
              <w:rPr>
                <w:rFonts w:ascii="Calibri" w:cs="Calibri" w:eastAsia="Calibri" w:hAnsi="Calibri"/>
                <w:b/>
                <w:bCs/>
                <w:sz w:val="19"/>
                <w:szCs w:val="19"/>
              </w:rPr>
              <w:t xml:space="preserve">64–84%</w:t>
            </w:r>
            <w:r>
              <w:rPr>
                <w:rFonts w:ascii="Calibri" w:cs="Calibri" w:eastAsia="Calibri" w:hAnsi="Calibri"/>
                <w:sz w:val="18"/>
                <w:szCs w:val="18"/>
              </w:rPr>
              <w:t xml:space="preserve">  sensitivity — rat to large animal (combined BP and HR) (</w:t>
            </w:r>
            <w:hyperlink w:history="1" r:id="rIdhw2uh9jvj1-rodo-ldujv">
              <w:r>
                <w:rPr>
                  <w:rFonts w:ascii="Calibri" w:cs="Calibri" w:eastAsia="Calibri" w:hAnsi="Calibri"/>
                  <w:color w:val="1155CC"/>
                  <w:sz w:val="18"/>
                  <w:szCs w:val="18"/>
                  <w:u w:val="single"/>
                </w:rPr>
                <w:t xml:space="preserve">Bhatt et al. 2019</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59–71%</w:t>
            </w:r>
            <w:r>
              <w:rPr>
                <w:rFonts w:ascii="Calibri" w:cs="Calibri" w:eastAsia="Calibri" w:hAnsi="Calibri"/>
                <w:sz w:val="18"/>
                <w:szCs w:val="18"/>
              </w:rPr>
              <w:t xml:space="preserve">  specificity — rat to large animal (combined BP and HR) (</w:t>
            </w:r>
            <w:hyperlink w:history="1" r:id="rIdvqsavv0dhp3gjzxmdplq9">
              <w:r>
                <w:rPr>
                  <w:rFonts w:ascii="Calibri" w:cs="Calibri" w:eastAsia="Calibri" w:hAnsi="Calibri"/>
                  <w:color w:val="1155CC"/>
                  <w:sz w:val="18"/>
                  <w:szCs w:val="18"/>
                  <w:u w:val="single"/>
                </w:rPr>
                <w:t xml:space="preserve">Bhatt et al. 2019</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23–26%</w:t>
            </w:r>
            <w:r>
              <w:rPr>
                <w:rFonts w:ascii="Calibri" w:cs="Calibri" w:eastAsia="Calibri" w:hAnsi="Calibri"/>
                <w:sz w:val="18"/>
                <w:szCs w:val="18"/>
              </w:rPr>
              <w:t xml:space="preserve">  opposite direction of change — rat to large animal (directionality of HR change) (</w:t>
            </w:r>
            <w:hyperlink w:history="1" r:id="rIdhgnautx77ogmabyutfsbl">
              <w:r>
                <w:rPr>
                  <w:rFonts w:ascii="Calibri" w:cs="Calibri" w:eastAsia="Calibri" w:hAnsi="Calibri"/>
                  <w:color w:val="1155CC"/>
                  <w:sz w:val="18"/>
                  <w:szCs w:val="18"/>
                  <w:u w:val="single"/>
                </w:rPr>
                <w:t xml:space="preserve">Bhatt et al. 2019</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90%</w:t>
            </w:r>
            <w:r>
              <w:rPr>
                <w:rFonts w:ascii="Calibri" w:cs="Calibri" w:eastAsia="Calibri" w:hAnsi="Calibri"/>
                <w:sz w:val="18"/>
                <w:szCs w:val="18"/>
              </w:rPr>
              <w:t xml:space="preserve">  positive predictive value — rat to large animal (combined BP and HR) (</w:t>
            </w:r>
            <w:hyperlink w:history="1" r:id="rIdeq9mkphbtsdyfgzdsv6zc">
              <w:r>
                <w:rPr>
                  <w:rFonts w:ascii="Calibri" w:cs="Calibri" w:eastAsia="Calibri" w:hAnsi="Calibri"/>
                  <w:color w:val="1155CC"/>
                  <w:sz w:val="18"/>
                  <w:szCs w:val="18"/>
                  <w:u w:val="single"/>
                </w:rPr>
                <w:t xml:space="preserve">Bhatt et al. 2019</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60%</w:t>
            </w:r>
            <w:r>
              <w:rPr>
                <w:rFonts w:ascii="Calibri" w:cs="Calibri" w:eastAsia="Calibri" w:hAnsi="Calibri"/>
                <w:sz w:val="18"/>
                <w:szCs w:val="18"/>
              </w:rPr>
              <w:t xml:space="preserve">  negative predictive value — rat to large animal (combined BP and HR) (</w:t>
            </w:r>
            <w:hyperlink w:history="1" r:id="rIdkktwghwi8bywrgtqv4qki">
              <w:r>
                <w:rPr>
                  <w:rFonts w:ascii="Calibri" w:cs="Calibri" w:eastAsia="Calibri" w:hAnsi="Calibri"/>
                  <w:color w:val="1155CC"/>
                  <w:sz w:val="18"/>
                  <w:szCs w:val="18"/>
                  <w:u w:val="single"/>
                </w:rPr>
                <w:t xml:space="preserve">Bhatt et al. 2019</w:t>
              </w:r>
            </w:hyperlink>
            <w:r>
              <w:rPr>
                <w:rFonts w:ascii="Calibri" w:cs="Calibri" w:eastAsia="Calibri" w:hAnsi="Calibri"/>
                <w:sz w:val="18"/>
                <w:szCs w:val="18"/>
              </w:rPr>
              <w:t xml:space="preserve">)</w:t>
            </w:r>
          </w:p>
          <w:p>
            <w:pPr>
              <w:spacing w:after="40"/>
            </w:pPr>
            <w:r>
              <w:rPr>
                <w:rFonts w:ascii="Calibri" w:cs="Calibri" w:eastAsia="Calibri" w:hAnsi="Calibri"/>
                <w:b/>
                <w:bCs/>
                <w:color w:val="8A6D00"/>
                <w:sz w:val="17"/>
                <w:szCs w:val="17"/>
              </w:rPr>
              <w:t xml:space="preserve">Caveat. </w:t>
            </w:r>
            <w:r>
              <w:rPr>
                <w:rFonts w:ascii="Calibri" w:cs="Calibri" w:eastAsia="Calibri" w:hAnsi="Calibri"/>
                <w:i/>
                <w:iCs/>
                <w:color w:val="8A6D00"/>
                <w:sz w:val="17"/>
                <w:szCs w:val="17"/>
              </w:rPr>
              <w:t xml:space="preserve">Predictive values are dependent on the prevalence of positives in the dataset. The paper notes that the prevalence in the dataset may be lower than "real world" prevalence.</w:t>
            </w:r>
          </w:p>
        </w:tc>
      </w:tr>
      <w:tr>
        <w:tc>
          <w:tcPr>
            <w:tcW w:type="dxa" w:w="1700"/>
            <w:tcMar>
              <w:top w:type="dxa" w:w="80"/>
              <w:left w:type="dxa" w:w="110"/>
              <w:bottom w:type="dxa" w:w="80"/>
              <w:right w:type="dxa" w:w="110"/>
            </w:tcMar>
          </w:tcPr>
          <w:p>
            <w:pPr>
              <w:spacing w:after="0"/>
            </w:pPr>
            <w:r>
              <w:rPr>
                <w:rFonts w:ascii="Calibri" w:cs="Calibri" w:eastAsia="Calibri" w:hAnsi="Calibri"/>
                <w:b/>
                <w:bCs/>
                <w:sz w:val="19"/>
                <w:szCs w:val="19"/>
              </w:rPr>
              <w:t xml:space="preserve">Disease biology</w:t>
            </w:r>
          </w:p>
        </w:tc>
        <w:tc>
          <w:tcPr>
            <w:tcW w:type="dxa" w:w="1500"/>
            <w:tcMar>
              <w:top w:type="dxa" w:w="80"/>
              <w:left w:type="dxa" w:w="110"/>
              <w:bottom w:type="dxa" w:w="80"/>
              <w:right w:type="dxa" w:w="110"/>
            </w:tcMar>
          </w:tcPr>
          <w:p>
            <w:pPr>
              <w:spacing w:after="20"/>
            </w:pPr>
            <w:r>
              <w:rPr>
                <w:rFonts w:ascii="Calibri" w:cs="Calibri" w:eastAsia="Calibri" w:hAnsi="Calibri"/>
                <w:b/>
                <w:bCs/>
                <w:sz w:val="19"/>
                <w:szCs w:val="19"/>
              </w:rPr>
              <w:t xml:space="preserve">mouse</w:t>
            </w:r>
          </w:p>
          <w:p>
            <w:pPr>
              <w:spacing w:after="20"/>
            </w:pPr>
            <w:r>
              <w:rPr>
                <w:rFonts w:ascii="Calibri" w:cs="Calibri" w:eastAsia="Calibri" w:hAnsi="Calibri"/>
                <w:color w:val="666666"/>
                <w:sz w:val="17"/>
                <w:szCs w:val="17"/>
              </w:rPr>
              <w:t xml:space="preserve">11 studies</w:t>
            </w:r>
          </w:p>
          <w:p>
            <w:pPr>
              <w:spacing w:after="0"/>
            </w:pPr>
            <w:r>
              <w:rPr>
                <w:rFonts w:ascii="Calibri" w:cs="Calibri" w:eastAsia="Calibri" w:hAnsi="Calibri"/>
                <w:color w:val="666666"/>
                <w:sz w:val="16"/>
                <w:szCs w:val="16"/>
              </w:rPr>
              <w:t xml:space="preserve">6 partly supports</w:t>
            </w:r>
          </w:p>
          <w:p>
            <w:pPr>
              <w:spacing w:after="0"/>
            </w:pPr>
            <w:r>
              <w:rPr>
                <w:rFonts w:ascii="Calibri" w:cs="Calibri" w:eastAsia="Calibri" w:hAnsi="Calibri"/>
                <w:color w:val="666666"/>
                <w:sz w:val="16"/>
                <w:szCs w:val="16"/>
              </w:rPr>
              <w:t xml:space="preserve">3 supports</w:t>
            </w:r>
          </w:p>
          <w:p>
            <w:pPr>
              <w:spacing w:after="0"/>
            </w:pPr>
            <w:r>
              <w:rPr>
                <w:rFonts w:ascii="Calibri" w:cs="Calibri" w:eastAsia="Calibri" w:hAnsi="Calibri"/>
                <w:color w:val="666666"/>
                <w:sz w:val="16"/>
                <w:szCs w:val="16"/>
              </w:rPr>
              <w:t xml:space="preserve">2 does not support</w:t>
            </w:r>
          </w:p>
        </w:tc>
        <w:tc>
          <w:tcPr>
            <w:tcW w:type="dxa" w:w="10240"/>
            <w:tcMar>
              <w:top w:type="dxa" w:w="80"/>
              <w:left w:type="dxa" w:w="110"/>
              <w:bottom w:type="dxa" w:w="80"/>
              <w:right w:type="dxa" w:w="110"/>
            </w:tcMar>
          </w:tcPr>
          <w:p>
            <w:pPr>
              <w:spacing w:after="40"/>
            </w:pPr>
            <w:r>
              <w:rPr>
                <w:rFonts w:ascii="Calibri" w:cs="Calibri" w:eastAsia="Calibri" w:hAnsi="Calibri"/>
                <w:b/>
                <w:bCs/>
                <w:color w:val="7A5B00"/>
                <w:sz w:val="16"/>
                <w:szCs w:val="16"/>
              </w:rPr>
              <w:t xml:space="preserve">MIXED</w:t>
            </w:r>
          </w:p>
          <w:p>
            <w:pPr>
              <w:spacing w:after="60"/>
            </w:pPr>
            <w:r>
              <w:rPr>
                <w:rFonts w:ascii="Calibri" w:cs="Calibri" w:eastAsia="Calibri" w:hAnsi="Calibri"/>
                <w:sz w:val="18"/>
                <w:szCs w:val="18"/>
              </w:rPr>
              <w:t xml:space="preserve">Evidence is mixed: some mouse–human transcriptome comparisons agree (Takao et al. 2015: Spearman r 0.43–0.68; 77–93% genes same direction), but others show near‑zero genome‑wide concordance (Seok et al. 2013: R^2 ≤0.09; Kodamullil et al. 2017: 12% genes mimicked).</w:t>
            </w:r>
          </w:p>
          <w:p>
            <w:pPr>
              <w:spacing w:after="50"/>
            </w:pPr>
            <w:r>
              <w:rPr>
                <w:rFonts w:ascii="Calibri" w:cs="Calibri" w:eastAsia="Calibri" w:hAnsi="Calibri"/>
                <w:b/>
                <w:bCs/>
                <w:color w:val="8A6D00"/>
                <w:sz w:val="17"/>
                <w:szCs w:val="17"/>
              </w:rPr>
              <w:t xml:space="preserve">Negative controls. </w:t>
            </w:r>
            <w:r>
              <w:rPr>
                <w:rFonts w:ascii="Calibri" w:cs="Calibri" w:eastAsia="Calibri" w:hAnsi="Calibri"/>
                <w:i/>
                <w:iCs/>
                <w:color w:val="8A6D00"/>
                <w:sz w:val="17"/>
                <w:szCs w:val="17"/>
              </w:rPr>
              <w:t xml:space="preserve">Seok et al. 2013 notes the 'same direction' metric has a ~50% random baseline. These are designed to score low and are excluded from the reading above.</w:t>
            </w:r>
          </w:p>
          <w:p>
            <w:pPr>
              <w:spacing w:after="60"/>
            </w:pPr>
            <w:r>
              <w:rPr>
                <w:rFonts w:ascii="Calibri" w:cs="Calibri" w:eastAsia="Calibri" w:hAnsi="Calibri"/>
                <w:b/>
                <w:bCs/>
                <w:color w:val="555555"/>
                <w:sz w:val="17"/>
                <w:szCs w:val="17"/>
              </w:rPr>
              <w:t xml:space="preserve">What varies across the range. </w:t>
            </w:r>
            <w:r>
              <w:rPr>
                <w:rFonts w:ascii="Calibri" w:cs="Calibri" w:eastAsia="Calibri" w:hAnsi="Calibri"/>
                <w:color w:val="555555"/>
                <w:sz w:val="17"/>
                <w:szCs w:val="17"/>
              </w:rPr>
              <w:t xml:space="preserve">Ranges arise from different models, thresholds, timepoints and whether analyses use genome-wide vs pathway/leading‑edge gene sets.</w:t>
            </w:r>
          </w:p>
          <w:p>
            <w:pPr>
              <w:spacing w:after="30"/>
            </w:pPr>
            <w:r>
              <w:rPr>
                <w:rFonts w:ascii="Calibri" w:cs="Calibri" w:eastAsia="Calibri" w:hAnsi="Calibri"/>
                <w:b/>
                <w:bCs/>
                <w:color w:val="666666"/>
                <w:sz w:val="16"/>
                <w:szCs w:val="16"/>
              </w:rPr>
              <w:t xml:space="preserve">Figures behind this row</w:t>
            </w:r>
          </w:p>
          <w:p>
            <w:pPr>
              <w:spacing w:after="70"/>
            </w:pPr>
            <w:r>
              <w:rPr>
                <w:rFonts w:ascii="Calibri" w:cs="Calibri" w:eastAsia="Calibri" w:hAnsi="Calibri"/>
                <w:b/>
                <w:bCs/>
                <w:sz w:val="19"/>
                <w:szCs w:val="19"/>
              </w:rPr>
              <w:t xml:space="preserve">47–93.2%</w:t>
            </w:r>
            <w:r>
              <w:rPr>
                <w:rFonts w:ascii="Calibri" w:cs="Calibri" w:eastAsia="Calibri" w:hAnsi="Calibri"/>
                <w:sz w:val="18"/>
                <w:szCs w:val="18"/>
              </w:rPr>
              <w:t xml:space="preserve">  percentage, n=4,918 human genes — percentage of genes changed in the same direction between human conditions and mouse orthologs in mouse models (</w:t>
            </w:r>
            <w:hyperlink w:history="1" r:id="rIdr_on78fikmphl24avkbil">
              <w:r>
                <w:rPr>
                  <w:rFonts w:ascii="Calibri" w:cs="Calibri" w:eastAsia="Calibri" w:hAnsi="Calibri"/>
                  <w:color w:val="1155CC"/>
                  <w:sz w:val="18"/>
                  <w:szCs w:val="18"/>
                  <w:u w:val="single"/>
                </w:rPr>
                <w:t xml:space="preserve">Seok et al. 2013</w:t>
              </w:r>
            </w:hyperlink>
            <w:r>
              <w:rPr>
                <w:rFonts w:ascii="Calibri" w:cs="Calibri" w:eastAsia="Calibri" w:hAnsi="Calibri"/>
                <w:sz w:val="18"/>
                <w:szCs w:val="18"/>
              </w:rPr>
              <w:t xml:space="preserve"> · </w:t>
            </w:r>
            <w:hyperlink w:history="1" r:id="rIdysc-5rwwgdga9uxtswmzp">
              <w:r>
                <w:rPr>
                  <w:rFonts w:ascii="Calibri" w:cs="Calibri" w:eastAsia="Calibri" w:hAnsi="Calibri"/>
                  <w:color w:val="1155CC"/>
                  <w:sz w:val="18"/>
                  <w:szCs w:val="18"/>
                  <w:u w:val="single"/>
                </w:rPr>
                <w:t xml:space="preserve">Takao et al. 2015</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-0.01–0.08</w:t>
            </w:r>
            <w:r>
              <w:rPr>
                <w:rFonts w:ascii="Calibri" w:cs="Calibri" w:eastAsia="Calibri" w:hAnsi="Calibri"/>
                <w:sz w:val="18"/>
                <w:szCs w:val="18"/>
              </w:rPr>
              <w:t xml:space="preserve">  pearson correlation (r^2) — correlation of gene response between human burn and mouse burn (</w:t>
            </w:r>
            <w:hyperlink w:history="1" r:id="rIdhtnmlhb6a9ibedu1-o5eh">
              <w:r>
                <w:rPr>
                  <w:rFonts w:ascii="Calibri" w:cs="Calibri" w:eastAsia="Calibri" w:hAnsi="Calibri"/>
                  <w:color w:val="1155CC"/>
                  <w:sz w:val="18"/>
                  <w:szCs w:val="18"/>
                  <w:u w:val="single"/>
                </w:rPr>
                <w:t xml:space="preserve">Seok et al. 2013</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3.3e-30–2.2e-09</w:t>
            </w:r>
            <w:r>
              <w:rPr>
                <w:rFonts w:ascii="Calibri" w:cs="Calibri" w:eastAsia="Calibri" w:hAnsi="Calibri"/>
                <w:sz w:val="18"/>
                <w:szCs w:val="18"/>
              </w:rPr>
              <w:t xml:space="preserve">  p value — Overlap P value for 'lymphocyte differentiation' genes down-regulated in mouse burn (</w:t>
            </w:r>
            <w:hyperlink w:history="1" r:id="rIddz4nv9nxqgasafy7x9sle">
              <w:r>
                <w:rPr>
                  <w:rFonts w:ascii="Calibri" w:cs="Calibri" w:eastAsia="Calibri" w:hAnsi="Calibri"/>
                  <w:color w:val="1155CC"/>
                  <w:sz w:val="18"/>
                  <w:szCs w:val="18"/>
                  <w:u w:val="single"/>
                </w:rPr>
                <w:t xml:space="preserve">Takao et al. 2015</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8.7e-25–0.0003</w:t>
            </w:r>
            <w:r>
              <w:rPr>
                <w:rFonts w:ascii="Calibri" w:cs="Calibri" w:eastAsia="Calibri" w:hAnsi="Calibri"/>
                <w:sz w:val="18"/>
                <w:szCs w:val="18"/>
              </w:rPr>
              <w:t xml:space="preserve">  p value — Overlap P value for 'translocation of ZAP-70 to immunological synapse' genes down-regulated in human burn (</w:t>
            </w:r>
            <w:hyperlink w:history="1" r:id="rIdrr34mx9ev72zjfenl_izd">
              <w:r>
                <w:rPr>
                  <w:rFonts w:ascii="Calibri" w:cs="Calibri" w:eastAsia="Calibri" w:hAnsi="Calibri"/>
                  <w:color w:val="1155CC"/>
                  <w:sz w:val="18"/>
                  <w:szCs w:val="18"/>
                  <w:u w:val="single"/>
                </w:rPr>
                <w:t xml:space="preserve">Takao et al. 2015</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4.1e-90–1.3e-16</w:t>
            </w:r>
            <w:r>
              <w:rPr>
                <w:rFonts w:ascii="Calibri" w:cs="Calibri" w:eastAsia="Calibri" w:hAnsi="Calibri"/>
                <w:sz w:val="18"/>
                <w:szCs w:val="18"/>
              </w:rPr>
              <w:t xml:space="preserve">  p value — Overlap P value for 'innate immune response' genes up-regulated in mouse burn (</w:t>
            </w:r>
            <w:hyperlink w:history="1" r:id="rIdz1gljce95m0tizrzvol6y">
              <w:r>
                <w:rPr>
                  <w:rFonts w:ascii="Calibri" w:cs="Calibri" w:eastAsia="Calibri" w:hAnsi="Calibri"/>
                  <w:color w:val="1155CC"/>
                  <w:sz w:val="18"/>
                  <w:szCs w:val="18"/>
                  <w:u w:val="single"/>
                </w:rPr>
                <w:t xml:space="preserve">Takao et al. 2015</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6.5e-52–1.3e-09</w:t>
            </w:r>
            <w:r>
              <w:rPr>
                <w:rFonts w:ascii="Calibri" w:cs="Calibri" w:eastAsia="Calibri" w:hAnsi="Calibri"/>
                <w:sz w:val="18"/>
                <w:szCs w:val="18"/>
              </w:rPr>
              <w:t xml:space="preserve">  p value — Overlap P value for 'cytokine signaling in immune system' genes up-regulated in mouse sepsis (</w:t>
            </w:r>
            <w:hyperlink w:history="1" r:id="rIdd4pxvocyjpy5zc-qhpdi4">
              <w:r>
                <w:rPr>
                  <w:rFonts w:ascii="Calibri" w:cs="Calibri" w:eastAsia="Calibri" w:hAnsi="Calibri"/>
                  <w:color w:val="1155CC"/>
                  <w:sz w:val="18"/>
                  <w:szCs w:val="18"/>
                  <w:u w:val="single"/>
                </w:rPr>
                <w:t xml:space="preserve">Takao et al. 2015</w:t>
              </w:r>
            </w:hyperlink>
            <w:r>
              <w:rPr>
                <w:rFonts w:ascii="Calibri" w:cs="Calibri" w:eastAsia="Calibri" w:hAnsi="Calibri"/>
                <w:sz w:val="18"/>
                <w:szCs w:val="18"/>
              </w:rPr>
              <w:t xml:space="preserve">)</w:t>
            </w:r>
          </w:p>
          <w:p>
            <w:pPr>
              <w:spacing w:after="40"/>
            </w:pPr>
            <w:r>
              <w:rPr>
                <w:rFonts w:ascii="Calibri" w:cs="Calibri" w:eastAsia="Calibri" w:hAnsi="Calibri"/>
                <w:b/>
                <w:bCs/>
                <w:color w:val="8A6D00"/>
                <w:sz w:val="17"/>
                <w:szCs w:val="17"/>
              </w:rPr>
              <w:t xml:space="preserve">Caveat. </w:t>
            </w:r>
            <w:r>
              <w:rPr>
                <w:rFonts w:ascii="Calibri" w:cs="Calibri" w:eastAsia="Calibri" w:hAnsi="Calibri"/>
                <w:i/>
                <w:iCs/>
                <w:color w:val="8A6D00"/>
                <w:sz w:val="17"/>
                <w:szCs w:val="17"/>
              </w:rPr>
              <w:t xml:space="preserve">The paper notes that the P-site abundance was a main determining factor for P-site identification in mouse measurement, suggesting that deeper phosphoproteomic depth in mouse experiments could yield more identified P-sites.</w:t>
            </w:r>
          </w:p>
        </w:tc>
      </w:tr>
      <w:tr>
        <w:tc>
          <w:tcPr>
            <w:tcW w:type="dxa" w:w="1700"/>
            <w:shd w:fill="F4F6F8"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Disease biology</w:t>
            </w:r>
          </w:p>
        </w:tc>
        <w:tc>
          <w:tcPr>
            <w:tcW w:type="dxa" w:w="1500"/>
            <w:shd w:fill="F4F6F8" w:color="auto" w:val="clear"/>
            <w:tcMar>
              <w:top w:type="dxa" w:w="80"/>
              <w:left w:type="dxa" w:w="110"/>
              <w:bottom w:type="dxa" w:w="80"/>
              <w:right w:type="dxa" w:w="110"/>
            </w:tcMar>
          </w:tcPr>
          <w:p>
            <w:pPr>
              <w:spacing w:after="20"/>
            </w:pPr>
            <w:r>
              <w:rPr>
                <w:rFonts w:ascii="Calibri" w:cs="Calibri" w:eastAsia="Calibri" w:hAnsi="Calibri"/>
                <w:b/>
                <w:bCs/>
                <w:sz w:val="19"/>
                <w:szCs w:val="19"/>
              </w:rPr>
              <w:t xml:space="preserve">rat</w:t>
            </w:r>
          </w:p>
          <w:p>
            <w:pPr>
              <w:spacing w:after="20"/>
            </w:pPr>
            <w:r>
              <w:rPr>
                <w:rFonts w:ascii="Calibri" w:cs="Calibri" w:eastAsia="Calibri" w:hAnsi="Calibri"/>
                <w:color w:val="666666"/>
                <w:sz w:val="17"/>
                <w:szCs w:val="17"/>
              </w:rPr>
              <w:t xml:space="preserve">6 studies</w:t>
            </w:r>
          </w:p>
          <w:p>
            <w:pPr>
              <w:spacing w:after="0"/>
            </w:pPr>
            <w:r>
              <w:rPr>
                <w:rFonts w:ascii="Calibri" w:cs="Calibri" w:eastAsia="Calibri" w:hAnsi="Calibri"/>
                <w:color w:val="666666"/>
                <w:sz w:val="16"/>
                <w:szCs w:val="16"/>
              </w:rPr>
              <w:t xml:space="preserve">5 partly supports</w:t>
            </w:r>
          </w:p>
          <w:p>
            <w:pPr>
              <w:spacing w:after="0"/>
            </w:pPr>
            <w:r>
              <w:rPr>
                <w:rFonts w:ascii="Calibri" w:cs="Calibri" w:eastAsia="Calibri" w:hAnsi="Calibri"/>
                <w:color w:val="666666"/>
                <w:sz w:val="16"/>
                <w:szCs w:val="16"/>
              </w:rPr>
              <w:t xml:space="preserve">1 supports</w:t>
            </w:r>
          </w:p>
        </w:tc>
        <w:tc>
          <w:tcPr>
            <w:tcW w:type="dxa" w:w="10240"/>
            <w:shd w:fill="F4F6F8" w:color="auto" w:val="clear"/>
            <w:tcMar>
              <w:top w:type="dxa" w:w="80"/>
              <w:left w:type="dxa" w:w="110"/>
              <w:bottom w:type="dxa" w:w="80"/>
              <w:right w:type="dxa" w:w="110"/>
            </w:tcMar>
          </w:tcPr>
          <w:p>
            <w:pPr>
              <w:spacing w:after="40"/>
            </w:pPr>
            <w:r>
              <w:rPr>
                <w:rFonts w:ascii="Calibri" w:cs="Calibri" w:eastAsia="Calibri" w:hAnsi="Calibri"/>
                <w:b/>
                <w:bCs/>
                <w:color w:val="7A5B00"/>
                <w:sz w:val="16"/>
                <w:szCs w:val="16"/>
              </w:rPr>
              <w:t xml:space="preserve">MIXED</w:t>
            </w:r>
          </w:p>
          <w:p>
            <w:pPr>
              <w:spacing w:after="60"/>
            </w:pPr>
            <w:r>
              <w:rPr>
                <w:rFonts w:ascii="Calibri" w:cs="Calibri" w:eastAsia="Calibri" w:hAnsi="Calibri"/>
                <w:sz w:val="18"/>
                <w:szCs w:val="18"/>
              </w:rPr>
              <w:t xml:space="preserve">Evidence is mixed: rats mirror human biology in some domains (26/30 blood variables changed same way post-exercise, Goutianos et al. 2015; behavioral/electrophysiological correlations, Der-Avakian et al. 2025) but not others (≈50% transcriptome DEG alignment, Vacca et al. 2024; lower thrombin/plasmin peaks vs human, Tarandovskiy et al. 2020). A CDAA-fed rat MASLD model had MHPS = 0.941 for MASH-fibrosis (Vacca et al. 2024).</w:t>
            </w:r>
          </w:p>
          <w:p>
            <w:pPr>
              <w:spacing w:after="30"/>
            </w:pPr>
            <w:r>
              <w:rPr>
                <w:rFonts w:ascii="Calibri" w:cs="Calibri" w:eastAsia="Calibri" w:hAnsi="Calibri"/>
                <w:b/>
                <w:bCs/>
                <w:color w:val="666666"/>
                <w:sz w:val="16"/>
                <w:szCs w:val="16"/>
              </w:rPr>
              <w:t xml:space="preserve">Figures behind this row</w:t>
            </w:r>
          </w:p>
          <w:p>
            <w:pPr>
              <w:spacing w:after="70"/>
            </w:pPr>
            <w:r>
              <w:rPr>
                <w:rFonts w:ascii="Calibri" w:cs="Calibri" w:eastAsia="Calibri" w:hAnsi="Calibri"/>
                <w:b/>
                <w:bCs/>
                <w:sz w:val="19"/>
                <w:szCs w:val="19"/>
              </w:rPr>
              <w:t xml:space="preserve">0.275–0.71</w:t>
            </w:r>
            <w:r>
              <w:rPr>
                <w:rFonts w:ascii="Calibri" w:cs="Calibri" w:eastAsia="Calibri" w:hAnsi="Calibri"/>
                <w:sz w:val="18"/>
                <w:szCs w:val="18"/>
              </w:rPr>
              <w:t xml:space="preserve">  mean, n=11 n = 11 — Q-values for target stimuli (</w:t>
            </w:r>
            <w:hyperlink w:history="1" r:id="rIdr8zpzirpmax3jk9bhdgmq">
              <w:r>
                <w:rPr>
                  <w:rFonts w:ascii="Calibri" w:cs="Calibri" w:eastAsia="Calibri" w:hAnsi="Calibri"/>
                  <w:color w:val="1155CC"/>
                  <w:sz w:val="18"/>
                  <w:szCs w:val="18"/>
                  <w:u w:val="single"/>
                </w:rPr>
                <w:t xml:space="preserve">Der-Avakian et al. 2025</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186.32–270.28</w:t>
            </w:r>
            <w:r>
              <w:rPr>
                <w:rFonts w:ascii="Calibri" w:cs="Calibri" w:eastAsia="Calibri" w:hAnsi="Calibri"/>
                <w:sz w:val="18"/>
                <w:szCs w:val="18"/>
              </w:rPr>
              <w:t xml:space="preserve">  mean, n=20 — Thrombin Concentration Peak (Mean, nM) (</w:t>
            </w:r>
            <w:hyperlink w:history="1" r:id="rIdxzjgi1439_chhbtgyg49e">
              <w:r>
                <w:rPr>
                  <w:rFonts w:ascii="Calibri" w:cs="Calibri" w:eastAsia="Calibri" w:hAnsi="Calibri"/>
                  <w:color w:val="1155CC"/>
                  <w:sz w:val="18"/>
                  <w:szCs w:val="18"/>
                  <w:u w:val="single"/>
                </w:rPr>
                <w:t xml:space="preserve">Tarandovskiy et al. 2020</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6.45–75.19</w:t>
            </w:r>
            <w:r>
              <w:rPr>
                <w:rFonts w:ascii="Calibri" w:cs="Calibri" w:eastAsia="Calibri" w:hAnsi="Calibri"/>
                <w:sz w:val="18"/>
                <w:szCs w:val="18"/>
              </w:rPr>
              <w:t xml:space="preserve">  mean, n=20 — Thrombin Production Rate (Mean, nM/min) (</w:t>
            </w:r>
            <w:hyperlink w:history="1" r:id="rIdwdla4yubga8e1dib0q4kc">
              <w:r>
                <w:rPr>
                  <w:rFonts w:ascii="Calibri" w:cs="Calibri" w:eastAsia="Calibri" w:hAnsi="Calibri"/>
                  <w:color w:val="1155CC"/>
                  <w:sz w:val="18"/>
                  <w:szCs w:val="18"/>
                  <w:u w:val="single"/>
                </w:rPr>
                <w:t xml:space="preserve">Tarandovskiy et al. 2020</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-0.0038–0.0933</w:t>
            </w:r>
            <w:r>
              <w:rPr>
                <w:rFonts w:ascii="Calibri" w:cs="Calibri" w:eastAsia="Calibri" w:hAnsi="Calibri"/>
                <w:sz w:val="18"/>
                <w:szCs w:val="18"/>
              </w:rPr>
              <w:t xml:space="preserve">  slope — Proliferation capacity (slope difference to human) under healthy conditions (</w:t>
            </w:r>
            <w:hyperlink w:history="1" r:id="rIdxpahnepqhnlw5vlvdi6lt">
              <w:r>
                <w:rPr>
                  <w:rFonts w:ascii="Calibri" w:cs="Calibri" w:eastAsia="Calibri" w:hAnsi="Calibri"/>
                  <w:color w:val="1155CC"/>
                  <w:sz w:val="18"/>
                  <w:szCs w:val="18"/>
                  <w:u w:val="single"/>
                </w:rPr>
                <w:t xml:space="preserve">Oreff et al. 2021</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17.45–27.44</w:t>
            </w:r>
            <w:r>
              <w:rPr>
                <w:rFonts w:ascii="Calibri" w:cs="Calibri" w:eastAsia="Calibri" w:hAnsi="Calibri"/>
                <w:sz w:val="18"/>
                <w:szCs w:val="18"/>
              </w:rPr>
              <w:t xml:space="preserve">  mahalanobis distance — Mahalanobis distance to human for all genes combined under healthy conditions (</w:t>
            </w:r>
            <w:hyperlink w:history="1" r:id="rIdctyomfbt3-a2h1fb988r3">
              <w:r>
                <w:rPr>
                  <w:rFonts w:ascii="Calibri" w:cs="Calibri" w:eastAsia="Calibri" w:hAnsi="Calibri"/>
                  <w:color w:val="1155CC"/>
                  <w:sz w:val="18"/>
                  <w:szCs w:val="18"/>
                  <w:u w:val="single"/>
                </w:rPr>
                <w:t xml:space="preserve">Oreff et al. 2021</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7.3–7.9%</w:t>
            </w:r>
            <w:r>
              <w:rPr>
                <w:rFonts w:ascii="Calibri" w:cs="Calibri" w:eastAsia="Calibri" w:hAnsi="Calibri"/>
                <w:sz w:val="18"/>
                <w:szCs w:val="18"/>
              </w:rPr>
              <w:t xml:space="preserve">  mean — magnitude of uniform changes in rats (</w:t>
            </w:r>
            <w:hyperlink w:history="1" r:id="rIduqnvpeirgy1gasjfbbvha">
              <w:r>
                <w:rPr>
                  <w:rFonts w:ascii="Calibri" w:cs="Calibri" w:eastAsia="Calibri" w:hAnsi="Calibri"/>
                  <w:color w:val="1155CC"/>
                  <w:sz w:val="18"/>
                  <w:szCs w:val="18"/>
                  <w:u w:val="single"/>
                </w:rPr>
                <w:t xml:space="preserve">Goutianos et al. 2015</w:t>
              </w:r>
            </w:hyperlink>
            <w:r>
              <w:rPr>
                <w:rFonts w:ascii="Calibri" w:cs="Calibri" w:eastAsia="Calibri" w:hAnsi="Calibri"/>
                <w:sz w:val="18"/>
                <w:szCs w:val="18"/>
              </w:rPr>
              <w:t xml:space="preserve">)</w:t>
            </w:r>
          </w:p>
          <w:p>
            <w:pPr>
              <w:spacing w:after="40"/>
            </w:pPr>
            <w:r>
              <w:rPr>
                <w:rFonts w:ascii="Calibri" w:cs="Calibri" w:eastAsia="Calibri" w:hAnsi="Calibri"/>
                <w:b/>
                <w:bCs/>
                <w:color w:val="8A6D00"/>
                <w:sz w:val="17"/>
                <w:szCs w:val="17"/>
              </w:rPr>
              <w:t xml:space="preserve">Caveat. </w:t>
            </w:r>
            <w:r>
              <w:rPr>
                <w:rFonts w:ascii="Calibri" w:cs="Calibri" w:eastAsia="Calibri" w:hAnsi="Calibri"/>
                <w:i/>
                <w:iCs/>
                <w:color w:val="8A6D00"/>
                <w:sz w:val="17"/>
                <w:szCs w:val="17"/>
              </w:rPr>
              <w:t xml:space="preserve">The MHPS scores are normalized between 0 and 1, where 1 indicates the highest proximity to human MASLD. The 'improved and statistically significant agreement' for DEGs and DRPs is a qualitative statement without a specific numerical value provided beyond the overall 50% alignment rate for the whole transcriptome.</w:t>
            </w:r>
          </w:p>
        </w:tc>
      </w:tr>
      <w:tr>
        <w:tc>
          <w:tcPr>
            <w:tcW w:type="dxa" w:w="1700"/>
            <w:tcMar>
              <w:top w:type="dxa" w:w="80"/>
              <w:left w:type="dxa" w:w="110"/>
              <w:bottom w:type="dxa" w:w="80"/>
              <w:right w:type="dxa" w:w="110"/>
            </w:tcMar>
          </w:tcPr>
          <w:p>
            <w:pPr>
              <w:spacing w:after="0"/>
            </w:pPr>
            <w:r>
              <w:rPr>
                <w:rFonts w:ascii="Calibri" w:cs="Calibri" w:eastAsia="Calibri" w:hAnsi="Calibri"/>
                <w:b/>
                <w:bCs/>
                <w:sz w:val="19"/>
                <w:szCs w:val="19"/>
              </w:rPr>
              <w:t xml:space="preserve">Disease biology</w:t>
            </w:r>
          </w:p>
        </w:tc>
        <w:tc>
          <w:tcPr>
            <w:tcW w:type="dxa" w:w="1500"/>
            <w:tcMar>
              <w:top w:type="dxa" w:w="80"/>
              <w:left w:type="dxa" w:w="110"/>
              <w:bottom w:type="dxa" w:w="80"/>
              <w:right w:type="dxa" w:w="110"/>
            </w:tcMar>
          </w:tcPr>
          <w:p>
            <w:pPr>
              <w:spacing w:after="20"/>
            </w:pPr>
            <w:r>
              <w:rPr>
                <w:rFonts w:ascii="Calibri" w:cs="Calibri" w:eastAsia="Calibri" w:hAnsi="Calibri"/>
                <w:b/>
                <w:bCs/>
                <w:sz w:val="19"/>
                <w:szCs w:val="19"/>
              </w:rPr>
              <w:t xml:space="preserve">c. elegans</w:t>
            </w:r>
          </w:p>
          <w:p>
            <w:pPr>
              <w:spacing w:after="20"/>
            </w:pPr>
            <w:r>
              <w:rPr>
                <w:rFonts w:ascii="Calibri" w:cs="Calibri" w:eastAsia="Calibri" w:hAnsi="Calibri"/>
                <w:color w:val="666666"/>
                <w:sz w:val="17"/>
                <w:szCs w:val="17"/>
              </w:rPr>
              <w:t xml:space="preserve">1 study</w:t>
            </w:r>
          </w:p>
          <w:p>
            <w:pPr>
              <w:spacing w:after="0"/>
            </w:pPr>
            <w:r>
              <w:rPr>
                <w:rFonts w:ascii="Calibri" w:cs="Calibri" w:eastAsia="Calibri" w:hAnsi="Calibri"/>
                <w:color w:val="666666"/>
                <w:sz w:val="16"/>
                <w:szCs w:val="16"/>
              </w:rPr>
              <w:t xml:space="preserve">1 partly supports</w:t>
            </w:r>
          </w:p>
        </w:tc>
        <w:tc>
          <w:tcPr>
            <w:tcW w:type="dxa" w:w="10240"/>
            <w:tcMar>
              <w:top w:type="dxa" w:w="80"/>
              <w:left w:type="dxa" w:w="110"/>
              <w:bottom w:type="dxa" w:w="80"/>
              <w:right w:type="dxa" w:w="110"/>
            </w:tcMar>
          </w:tcPr>
          <w:p>
            <w:pPr>
              <w:spacing w:after="40"/>
            </w:pPr>
            <w:r>
              <w:rPr>
                <w:rFonts w:ascii="Calibri" w:cs="Calibri" w:eastAsia="Calibri" w:hAnsi="Calibri"/>
                <w:b/>
                <w:bCs/>
                <w:color w:val="7A5B00"/>
                <w:sz w:val="16"/>
                <w:szCs w:val="16"/>
              </w:rPr>
              <w:t xml:space="preserve">MIXED</w:t>
            </w:r>
          </w:p>
          <w:p>
            <w:pPr>
              <w:spacing w:after="60"/>
            </w:pPr>
            <w:r>
              <w:rPr>
                <w:rFonts w:ascii="Calibri" w:cs="Calibri" w:eastAsia="Calibri" w:hAnsi="Calibri"/>
                <w:sz w:val="18"/>
                <w:szCs w:val="18"/>
              </w:rPr>
              <w:t xml:space="preserve">Zong et al. 2023: C. elegans shows modest, inconsistent concordance with disease-related expression—most C. elegans–Drosophila within-stage genome-wide c-scores &gt;0.1, but one pair (ce.lar–dm.lar) was 0.087. Findings vary by stage pairings.</w:t>
            </w:r>
          </w:p>
          <w:p>
            <w:pPr>
              <w:spacing w:after="60"/>
            </w:pPr>
            <w:r>
              <w:rPr>
                <w:rFonts w:ascii="Calibri" w:cs="Calibri" w:eastAsia="Calibri" w:hAnsi="Calibri"/>
                <w:b/>
                <w:bCs/>
                <w:color w:val="555555"/>
                <w:sz w:val="17"/>
                <w:szCs w:val="17"/>
              </w:rPr>
              <w:t xml:space="preserve">What varies across the range. </w:t>
            </w:r>
            <w:r>
              <w:rPr>
                <w:rFonts w:ascii="Calibri" w:cs="Calibri" w:eastAsia="Calibri" w:hAnsi="Calibri"/>
                <w:color w:val="555555"/>
                <w:sz w:val="17"/>
                <w:szCs w:val="17"/>
              </w:rPr>
              <w:t xml:space="preserve">Varies by developmental stage pairings—most within-stage comparisons exceed 0.1 but specific pairs (e.g., ce.lar–dm.lar) are lower (0.087).</w:t>
            </w:r>
          </w:p>
          <w:p>
            <w:pPr>
              <w:spacing w:after="30"/>
            </w:pPr>
            <w:r>
              <w:rPr>
                <w:rFonts w:ascii="Calibri" w:cs="Calibri" w:eastAsia="Calibri" w:hAnsi="Calibri"/>
                <w:b/>
                <w:bCs/>
                <w:color w:val="666666"/>
                <w:sz w:val="16"/>
                <w:szCs w:val="16"/>
              </w:rPr>
              <w:t xml:space="preserve">Figures behind this row</w:t>
            </w:r>
          </w:p>
          <w:p>
            <w:pPr>
              <w:spacing w:after="70"/>
            </w:pPr>
            <w:r>
              <w:rPr>
                <w:rFonts w:ascii="Calibri" w:cs="Calibri" w:eastAsia="Calibri" w:hAnsi="Calibri"/>
                <w:b/>
                <w:bCs/>
                <w:sz w:val="19"/>
                <w:szCs w:val="19"/>
              </w:rPr>
              <w:t xml:space="preserve">0.1</w:t>
            </w:r>
            <w:r>
              <w:rPr>
                <w:rFonts w:ascii="Calibri" w:cs="Calibri" w:eastAsia="Calibri" w:hAnsi="Calibri"/>
                <w:sz w:val="18"/>
                <w:szCs w:val="18"/>
              </w:rPr>
              <w:t xml:space="preserve">  c-score — genome-wide c-scores between Drosophila and C. elegans stages (</w:t>
            </w:r>
            <w:hyperlink w:history="1" r:id="rIdmiswj-ngnos2wkwyzjwfi">
              <w:r>
                <w:rPr>
                  <w:rFonts w:ascii="Calibri" w:cs="Calibri" w:eastAsia="Calibri" w:hAnsi="Calibri"/>
                  <w:color w:val="1155CC"/>
                  <w:sz w:val="18"/>
                  <w:szCs w:val="18"/>
                  <w:u w:val="single"/>
                </w:rPr>
                <w:t xml:space="preserve">Zong et al. 2023</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0.087</w:t>
            </w:r>
            <w:r>
              <w:rPr>
                <w:rFonts w:ascii="Calibri" w:cs="Calibri" w:eastAsia="Calibri" w:hAnsi="Calibri"/>
                <w:sz w:val="18"/>
                <w:szCs w:val="18"/>
              </w:rPr>
              <w:t xml:space="preserve">  c-score — c-score for ce.lar-dm.lar (</w:t>
            </w:r>
            <w:hyperlink w:history="1" r:id="rIddk3rxw1cvubd6ceb7jvgc">
              <w:r>
                <w:rPr>
                  <w:rFonts w:ascii="Calibri" w:cs="Calibri" w:eastAsia="Calibri" w:hAnsi="Calibri"/>
                  <w:color w:val="1155CC"/>
                  <w:sz w:val="18"/>
                  <w:szCs w:val="18"/>
                  <w:u w:val="single"/>
                </w:rPr>
                <w:t xml:space="preserve">Zong et al. 2023</w:t>
              </w:r>
            </w:hyperlink>
            <w:r>
              <w:rPr>
                <w:rFonts w:ascii="Calibri" w:cs="Calibri" w:eastAsia="Calibri" w:hAnsi="Calibri"/>
                <w:sz w:val="18"/>
                <w:szCs w:val="18"/>
              </w:rPr>
              <w:t xml:space="preserve">)</w:t>
            </w:r>
          </w:p>
        </w:tc>
      </w:tr>
      <w:tr>
        <w:tc>
          <w:tcPr>
            <w:tcW w:type="dxa" w:w="1700"/>
            <w:shd w:fill="F4F6F8"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Disease biology</w:t>
            </w:r>
          </w:p>
        </w:tc>
        <w:tc>
          <w:tcPr>
            <w:tcW w:type="dxa" w:w="1500"/>
            <w:shd w:fill="F4F6F8" w:color="auto" w:val="clear"/>
            <w:tcMar>
              <w:top w:type="dxa" w:w="80"/>
              <w:left w:type="dxa" w:w="110"/>
              <w:bottom w:type="dxa" w:w="80"/>
              <w:right w:type="dxa" w:w="110"/>
            </w:tcMar>
          </w:tcPr>
          <w:p>
            <w:pPr>
              <w:spacing w:after="20"/>
            </w:pPr>
            <w:r>
              <w:rPr>
                <w:rFonts w:ascii="Calibri" w:cs="Calibri" w:eastAsia="Calibri" w:hAnsi="Calibri"/>
                <w:b/>
                <w:bCs/>
                <w:sz w:val="19"/>
                <w:szCs w:val="19"/>
              </w:rPr>
              <w:t xml:space="preserve">d. melanogaster</w:t>
            </w:r>
          </w:p>
          <w:p>
            <w:pPr>
              <w:spacing w:after="20"/>
            </w:pPr>
            <w:r>
              <w:rPr>
                <w:rFonts w:ascii="Calibri" w:cs="Calibri" w:eastAsia="Calibri" w:hAnsi="Calibri"/>
                <w:color w:val="666666"/>
                <w:sz w:val="17"/>
                <w:szCs w:val="17"/>
              </w:rPr>
              <w:t xml:space="preserve">1 study</w:t>
            </w:r>
          </w:p>
          <w:p>
            <w:pPr>
              <w:spacing w:after="0"/>
            </w:pPr>
            <w:r>
              <w:rPr>
                <w:rFonts w:ascii="Calibri" w:cs="Calibri" w:eastAsia="Calibri" w:hAnsi="Calibri"/>
                <w:color w:val="666666"/>
                <w:sz w:val="16"/>
                <w:szCs w:val="16"/>
              </w:rPr>
              <w:t xml:space="preserve">1 partly supports</w:t>
            </w:r>
          </w:p>
        </w:tc>
        <w:tc>
          <w:tcPr>
            <w:tcW w:type="dxa" w:w="10240"/>
            <w:shd w:fill="F4F6F8" w:color="auto" w:val="clear"/>
            <w:tcMar>
              <w:top w:type="dxa" w:w="80"/>
              <w:left w:type="dxa" w:w="110"/>
              <w:bottom w:type="dxa" w:w="80"/>
              <w:right w:type="dxa" w:w="110"/>
            </w:tcMar>
          </w:tcPr>
          <w:p>
            <w:pPr>
              <w:spacing w:after="40"/>
            </w:pPr>
            <w:r>
              <w:rPr>
                <w:rFonts w:ascii="Calibri" w:cs="Calibri" w:eastAsia="Calibri" w:hAnsi="Calibri"/>
                <w:b/>
                <w:bCs/>
                <w:color w:val="7A5B00"/>
                <w:sz w:val="16"/>
                <w:szCs w:val="16"/>
              </w:rPr>
              <w:t xml:space="preserve">MIXED</w:t>
            </w:r>
          </w:p>
          <w:p>
            <w:pPr>
              <w:spacing w:after="60"/>
            </w:pPr>
            <w:r>
              <w:rPr>
                <w:rFonts w:ascii="Calibri" w:cs="Calibri" w:eastAsia="Calibri" w:hAnsi="Calibri"/>
                <w:sz w:val="18"/>
                <w:szCs w:val="18"/>
              </w:rPr>
              <w:t xml:space="preserve">Zong et al. 2023: genome-wide transcript concordance between D. melanogaster and C. elegans exceeded c=0.1 for most within-stage comparisons (modest cross-species similarity); one larval pair (ce.lar–dm.lar) had c=0.087. Links to human disease are indirect, so translation is limited.</w:t>
            </w:r>
          </w:p>
          <w:p>
            <w:pPr>
              <w:spacing w:after="30"/>
            </w:pPr>
            <w:r>
              <w:rPr>
                <w:rFonts w:ascii="Calibri" w:cs="Calibri" w:eastAsia="Calibri" w:hAnsi="Calibri"/>
                <w:b/>
                <w:bCs/>
                <w:color w:val="666666"/>
                <w:sz w:val="16"/>
                <w:szCs w:val="16"/>
              </w:rPr>
              <w:t xml:space="preserve">Figures behind this row</w:t>
            </w:r>
          </w:p>
          <w:p>
            <w:pPr>
              <w:spacing w:after="70"/>
            </w:pPr>
            <w:r>
              <w:rPr>
                <w:rFonts w:ascii="Calibri" w:cs="Calibri" w:eastAsia="Calibri" w:hAnsi="Calibri"/>
                <w:b/>
                <w:bCs/>
                <w:sz w:val="19"/>
                <w:szCs w:val="19"/>
              </w:rPr>
              <w:t xml:space="preserve">0.1</w:t>
            </w:r>
            <w:r>
              <w:rPr>
                <w:rFonts w:ascii="Calibri" w:cs="Calibri" w:eastAsia="Calibri" w:hAnsi="Calibri"/>
                <w:sz w:val="18"/>
                <w:szCs w:val="18"/>
              </w:rPr>
              <w:t xml:space="preserve">  c-score — genome-wide c-scores between Drosophila and C. elegans stages (</w:t>
            </w:r>
            <w:hyperlink w:history="1" r:id="rIdhnwigo2lglmd1pml0w0ng">
              <w:r>
                <w:rPr>
                  <w:rFonts w:ascii="Calibri" w:cs="Calibri" w:eastAsia="Calibri" w:hAnsi="Calibri"/>
                  <w:color w:val="1155CC"/>
                  <w:sz w:val="18"/>
                  <w:szCs w:val="18"/>
                  <w:u w:val="single"/>
                </w:rPr>
                <w:t xml:space="preserve">Zong et al. 2023</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0.087</w:t>
            </w:r>
            <w:r>
              <w:rPr>
                <w:rFonts w:ascii="Calibri" w:cs="Calibri" w:eastAsia="Calibri" w:hAnsi="Calibri"/>
                <w:sz w:val="18"/>
                <w:szCs w:val="18"/>
              </w:rPr>
              <w:t xml:space="preserve">  c-score — c-score for ce.lar-dm.lar (</w:t>
            </w:r>
            <w:hyperlink w:history="1" r:id="rIdr_2de7ntkhzzhismhz5cq">
              <w:r>
                <w:rPr>
                  <w:rFonts w:ascii="Calibri" w:cs="Calibri" w:eastAsia="Calibri" w:hAnsi="Calibri"/>
                  <w:color w:val="1155CC"/>
                  <w:sz w:val="18"/>
                  <w:szCs w:val="18"/>
                  <w:u w:val="single"/>
                </w:rPr>
                <w:t xml:space="preserve">Zong et al. 2023</w:t>
              </w:r>
            </w:hyperlink>
            <w:r>
              <w:rPr>
                <w:rFonts w:ascii="Calibri" w:cs="Calibri" w:eastAsia="Calibri" w:hAnsi="Calibri"/>
                <w:sz w:val="18"/>
                <w:szCs w:val="18"/>
              </w:rPr>
              <w:t xml:space="preserve">)</w:t>
            </w:r>
          </w:p>
        </w:tc>
      </w:tr>
      <w:tr>
        <w:tc>
          <w:tcPr>
            <w:tcW w:type="dxa" w:w="1700"/>
            <w:tcMar>
              <w:top w:type="dxa" w:w="80"/>
              <w:left w:type="dxa" w:w="110"/>
              <w:bottom w:type="dxa" w:w="80"/>
              <w:right w:type="dxa" w:w="110"/>
            </w:tcMar>
          </w:tcPr>
          <w:p>
            <w:pPr>
              <w:spacing w:after="0"/>
            </w:pPr>
            <w:r>
              <w:rPr>
                <w:rFonts w:ascii="Calibri" w:cs="Calibri" w:eastAsia="Calibri" w:hAnsi="Calibri"/>
                <w:b/>
                <w:bCs/>
                <w:sz w:val="19"/>
                <w:szCs w:val="19"/>
              </w:rPr>
              <w:t xml:space="preserve">Disease biology</w:t>
            </w:r>
          </w:p>
        </w:tc>
        <w:tc>
          <w:tcPr>
            <w:tcW w:type="dxa" w:w="1500"/>
            <w:tcMar>
              <w:top w:type="dxa" w:w="80"/>
              <w:left w:type="dxa" w:w="110"/>
              <w:bottom w:type="dxa" w:w="80"/>
              <w:right w:type="dxa" w:w="110"/>
            </w:tcMar>
          </w:tcPr>
          <w:p>
            <w:pPr>
              <w:spacing w:after="20"/>
            </w:pPr>
            <w:r>
              <w:rPr>
                <w:rFonts w:ascii="Calibri" w:cs="Calibri" w:eastAsia="Calibri" w:hAnsi="Calibri"/>
                <w:b/>
                <w:bCs/>
                <w:sz w:val="19"/>
                <w:szCs w:val="19"/>
              </w:rPr>
              <w:t xml:space="preserve">horse</w:t>
            </w:r>
          </w:p>
          <w:p>
            <w:pPr>
              <w:spacing w:after="20"/>
            </w:pPr>
            <w:r>
              <w:rPr>
                <w:rFonts w:ascii="Calibri" w:cs="Calibri" w:eastAsia="Calibri" w:hAnsi="Calibri"/>
                <w:color w:val="666666"/>
                <w:sz w:val="17"/>
                <w:szCs w:val="17"/>
              </w:rPr>
              <w:t xml:space="preserve">1 study</w:t>
            </w:r>
          </w:p>
          <w:p>
            <w:pPr>
              <w:spacing w:after="0"/>
            </w:pPr>
            <w:r>
              <w:rPr>
                <w:rFonts w:ascii="Calibri" w:cs="Calibri" w:eastAsia="Calibri" w:hAnsi="Calibri"/>
                <w:color w:val="666666"/>
                <w:sz w:val="16"/>
                <w:szCs w:val="16"/>
              </w:rPr>
              <w:t xml:space="preserve">1 partly supports</w:t>
            </w:r>
          </w:p>
        </w:tc>
        <w:tc>
          <w:tcPr>
            <w:tcW w:type="dxa" w:w="10240"/>
            <w:tcMar>
              <w:top w:type="dxa" w:w="80"/>
              <w:left w:type="dxa" w:w="110"/>
              <w:bottom w:type="dxa" w:w="80"/>
              <w:right w:type="dxa" w:w="110"/>
            </w:tcMar>
          </w:tcPr>
          <w:p>
            <w:pPr>
              <w:spacing w:after="40"/>
            </w:pPr>
            <w:r>
              <w:rPr>
                <w:rFonts w:ascii="Calibri" w:cs="Calibri" w:eastAsia="Calibri" w:hAnsi="Calibri"/>
                <w:b/>
                <w:bCs/>
                <w:color w:val="7A5B00"/>
                <w:sz w:val="16"/>
                <w:szCs w:val="16"/>
              </w:rPr>
              <w:t xml:space="preserve">MIXED</w:t>
            </w:r>
          </w:p>
          <w:p>
            <w:pPr>
              <w:spacing w:after="60"/>
            </w:pPr>
            <w:r>
              <w:rPr>
                <w:rFonts w:ascii="Calibri" w:cs="Calibri" w:eastAsia="Calibri" w:hAnsi="Calibri"/>
                <w:sz w:val="18"/>
                <w:szCs w:val="18"/>
              </w:rPr>
              <w:t xml:space="preserve">Evidence is mixed: horse tenocyte gene expression best matches human under transient inflammation (Mahalanobis 9.59) but is farther under healthy (23.05) and constant inflammation (12.97). Proliferation difference is large in healthy (slope 0.3000, p&lt;2e-16) but negligible in transient inflammation (slope 0.0233, p=0.49).</w:t>
            </w:r>
          </w:p>
          <w:p>
            <w:pPr>
              <w:spacing w:after="60"/>
            </w:pPr>
            <w:r>
              <w:rPr>
                <w:rFonts w:ascii="Calibri" w:cs="Calibri" w:eastAsia="Calibri" w:hAnsi="Calibri"/>
                <w:b/>
                <w:bCs/>
                <w:color w:val="555555"/>
                <w:sz w:val="17"/>
                <w:szCs w:val="17"/>
              </w:rPr>
              <w:t xml:space="preserve">What varies across the range. </w:t>
            </w:r>
            <w:r>
              <w:rPr>
                <w:rFonts w:ascii="Calibri" w:cs="Calibri" w:eastAsia="Calibri" w:hAnsi="Calibri"/>
                <w:color w:val="555555"/>
                <w:sz w:val="17"/>
                <w:szCs w:val="17"/>
              </w:rPr>
              <w:t xml:space="preserve">Similarity varies by inflammatory state (healthy vs transient vs constant inflammation).</w:t>
            </w:r>
          </w:p>
          <w:p>
            <w:pPr>
              <w:spacing w:after="30"/>
            </w:pPr>
            <w:r>
              <w:rPr>
                <w:rFonts w:ascii="Calibri" w:cs="Calibri" w:eastAsia="Calibri" w:hAnsi="Calibri"/>
                <w:b/>
                <w:bCs/>
                <w:color w:val="666666"/>
                <w:sz w:val="16"/>
                <w:szCs w:val="16"/>
              </w:rPr>
              <w:t xml:space="preserve">Figures behind this row</w:t>
            </w:r>
          </w:p>
          <w:p>
            <w:pPr>
              <w:spacing w:after="70"/>
            </w:pPr>
            <w:r>
              <w:rPr>
                <w:rFonts w:ascii="Calibri" w:cs="Calibri" w:eastAsia="Calibri" w:hAnsi="Calibri"/>
                <w:b/>
                <w:bCs/>
                <w:sz w:val="19"/>
                <w:szCs w:val="19"/>
              </w:rPr>
              <w:t xml:space="preserve">-0.064–0.3</w:t>
            </w:r>
            <w:r>
              <w:rPr>
                <w:rFonts w:ascii="Calibri" w:cs="Calibri" w:eastAsia="Calibri" w:hAnsi="Calibri"/>
                <w:sz w:val="18"/>
                <w:szCs w:val="18"/>
              </w:rPr>
              <w:t xml:space="preserve">  slope — Proliferation capacity (slope difference to human) under healthy conditions (</w:t>
            </w:r>
            <w:hyperlink w:history="1" r:id="rIdp0vnajqbz5rka-ry6stlh">
              <w:r>
                <w:rPr>
                  <w:rFonts w:ascii="Calibri" w:cs="Calibri" w:eastAsia="Calibri" w:hAnsi="Calibri"/>
                  <w:color w:val="1155CC"/>
                  <w:sz w:val="18"/>
                  <w:szCs w:val="18"/>
                  <w:u w:val="single"/>
                </w:rPr>
                <w:t xml:space="preserve">Oreff et al. 2021</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9.59–23.05</w:t>
            </w:r>
            <w:r>
              <w:rPr>
                <w:rFonts w:ascii="Calibri" w:cs="Calibri" w:eastAsia="Calibri" w:hAnsi="Calibri"/>
                <w:sz w:val="18"/>
                <w:szCs w:val="18"/>
              </w:rPr>
              <w:t xml:space="preserve">  mahalanobis distance — Mahalanobis distance to human for all genes combined under healthy conditions (</w:t>
            </w:r>
            <w:hyperlink w:history="1" r:id="rId31851pvhik6jg7akqx1lh">
              <w:r>
                <w:rPr>
                  <w:rFonts w:ascii="Calibri" w:cs="Calibri" w:eastAsia="Calibri" w:hAnsi="Calibri"/>
                  <w:color w:val="1155CC"/>
                  <w:sz w:val="18"/>
                  <w:szCs w:val="18"/>
                  <w:u w:val="single"/>
                </w:rPr>
                <w:t xml:space="preserve">Oreff et al. 2021</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-0.014–-0.0123</w:t>
            </w:r>
            <w:r>
              <w:rPr>
                <w:rFonts w:ascii="Calibri" w:cs="Calibri" w:eastAsia="Calibri" w:hAnsi="Calibri"/>
                <w:sz w:val="18"/>
                <w:szCs w:val="18"/>
              </w:rPr>
              <w:t xml:space="preserve">  slope — Migration slope (difference to human) under transient inflammation (</w:t>
            </w:r>
            <w:hyperlink w:history="1" r:id="rIdkvuabdxcth9bfokcrtzdl">
              <w:r>
                <w:rPr>
                  <w:rFonts w:ascii="Calibri" w:cs="Calibri" w:eastAsia="Calibri" w:hAnsi="Calibri"/>
                  <w:color w:val="1155CC"/>
                  <w:sz w:val="18"/>
                  <w:szCs w:val="18"/>
                  <w:u w:val="single"/>
                </w:rPr>
                <w:t xml:space="preserve">Oreff et al. 2021</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0.0132563</w:t>
            </w:r>
            <w:r>
              <w:rPr>
                <w:rFonts w:ascii="Calibri" w:cs="Calibri" w:eastAsia="Calibri" w:hAnsi="Calibri"/>
                <w:sz w:val="18"/>
                <w:szCs w:val="18"/>
              </w:rPr>
              <w:t xml:space="preserve">  slope — Migration slope (difference to human) under healthy conditions (</w:t>
            </w:r>
            <w:hyperlink w:history="1" r:id="rIdgmnq83_ro9zkzsooo4495">
              <w:r>
                <w:rPr>
                  <w:rFonts w:ascii="Calibri" w:cs="Calibri" w:eastAsia="Calibri" w:hAnsi="Calibri"/>
                  <w:color w:val="1155CC"/>
                  <w:sz w:val="18"/>
                  <w:szCs w:val="18"/>
                  <w:u w:val="single"/>
                </w:rPr>
                <w:t xml:space="preserve">Oreff et al. 2021</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6.88</w:t>
            </w:r>
            <w:r>
              <w:rPr>
                <w:rFonts w:ascii="Calibri" w:cs="Calibri" w:eastAsia="Calibri" w:hAnsi="Calibri"/>
                <w:sz w:val="18"/>
                <w:szCs w:val="18"/>
              </w:rPr>
              <w:t xml:space="preserve">  mahalanobis distance — Mahalanobis distance to human for tenogenic markers (SCX, TNC, TNMD) (</w:t>
            </w:r>
            <w:hyperlink w:history="1" r:id="rIdkeegewocmgpf5g_fvhh46">
              <w:r>
                <w:rPr>
                  <w:rFonts w:ascii="Calibri" w:cs="Calibri" w:eastAsia="Calibri" w:hAnsi="Calibri"/>
                  <w:color w:val="1155CC"/>
                  <w:sz w:val="18"/>
                  <w:szCs w:val="18"/>
                  <w:u w:val="single"/>
                </w:rPr>
                <w:t xml:space="preserve">Oreff et al. 2021</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8.45</w:t>
            </w:r>
            <w:r>
              <w:rPr>
                <w:rFonts w:ascii="Calibri" w:cs="Calibri" w:eastAsia="Calibri" w:hAnsi="Calibri"/>
                <w:sz w:val="18"/>
                <w:szCs w:val="18"/>
              </w:rPr>
              <w:t xml:space="preserve">  mahalanobis distance — Mahalanobis distance to human for collagens (COL1, COL3, COL5) (</w:t>
            </w:r>
            <w:hyperlink w:history="1" r:id="rIdcfpqicmt_dkm2cjf3ibtx">
              <w:r>
                <w:rPr>
                  <w:rFonts w:ascii="Calibri" w:cs="Calibri" w:eastAsia="Calibri" w:hAnsi="Calibri"/>
                  <w:color w:val="1155CC"/>
                  <w:sz w:val="18"/>
                  <w:szCs w:val="18"/>
                  <w:u w:val="single"/>
                </w:rPr>
                <w:t xml:space="preserve">Oreff et al. 2021</w:t>
              </w:r>
            </w:hyperlink>
            <w:r>
              <w:rPr>
                <w:rFonts w:ascii="Calibri" w:cs="Calibri" w:eastAsia="Calibri" w:hAnsi="Calibri"/>
                <w:sz w:val="18"/>
                <w:szCs w:val="18"/>
              </w:rPr>
              <w:t xml:space="preserve">)</w:t>
            </w:r>
          </w:p>
        </w:tc>
      </w:tr>
      <w:tr>
        <w:tc>
          <w:tcPr>
            <w:tcW w:type="dxa" w:w="1700"/>
            <w:shd w:fill="F4F6F8"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Disease biology</w:t>
            </w:r>
          </w:p>
        </w:tc>
        <w:tc>
          <w:tcPr>
            <w:tcW w:type="dxa" w:w="1500"/>
            <w:shd w:fill="F4F6F8" w:color="auto" w:val="clear"/>
            <w:tcMar>
              <w:top w:type="dxa" w:w="80"/>
              <w:left w:type="dxa" w:w="110"/>
              <w:bottom w:type="dxa" w:w="80"/>
              <w:right w:type="dxa" w:w="110"/>
            </w:tcMar>
          </w:tcPr>
          <w:p>
            <w:pPr>
              <w:spacing w:after="20"/>
            </w:pPr>
            <w:r>
              <w:rPr>
                <w:rFonts w:ascii="Calibri" w:cs="Calibri" w:eastAsia="Calibri" w:hAnsi="Calibri"/>
                <w:b/>
                <w:bCs/>
                <w:sz w:val="19"/>
                <w:szCs w:val="19"/>
              </w:rPr>
              <w:t xml:space="preserve">non-human primate</w:t>
            </w:r>
          </w:p>
          <w:p>
            <w:pPr>
              <w:spacing w:after="20"/>
            </w:pPr>
            <w:r>
              <w:rPr>
                <w:rFonts w:ascii="Calibri" w:cs="Calibri" w:eastAsia="Calibri" w:hAnsi="Calibri"/>
                <w:color w:val="666666"/>
                <w:sz w:val="17"/>
                <w:szCs w:val="17"/>
              </w:rPr>
              <w:t xml:space="preserve">1 study</w:t>
            </w:r>
          </w:p>
          <w:p>
            <w:pPr>
              <w:spacing w:after="0"/>
            </w:pPr>
            <w:r>
              <w:rPr>
                <w:rFonts w:ascii="Calibri" w:cs="Calibri" w:eastAsia="Calibri" w:hAnsi="Calibri"/>
                <w:color w:val="666666"/>
                <w:sz w:val="16"/>
                <w:szCs w:val="16"/>
              </w:rPr>
              <w:t xml:space="preserve">1 partly supports</w:t>
            </w:r>
          </w:p>
        </w:tc>
        <w:tc>
          <w:tcPr>
            <w:tcW w:type="dxa" w:w="10240"/>
            <w:shd w:fill="F4F6F8" w:color="auto" w:val="clear"/>
            <w:tcMar>
              <w:top w:type="dxa" w:w="80"/>
              <w:left w:type="dxa" w:w="110"/>
              <w:bottom w:type="dxa" w:w="80"/>
              <w:right w:type="dxa" w:w="110"/>
            </w:tcMar>
          </w:tcPr>
          <w:p>
            <w:pPr>
              <w:spacing w:after="40"/>
            </w:pPr>
            <w:r>
              <w:rPr>
                <w:rFonts w:ascii="Calibri" w:cs="Calibri" w:eastAsia="Calibri" w:hAnsi="Calibri"/>
                <w:b/>
                <w:bCs/>
                <w:color w:val="15603A"/>
                <w:sz w:val="16"/>
                <w:szCs w:val="16"/>
              </w:rPr>
              <w:t xml:space="preserve">EVIDENCE FAVOURS THE MODEL</w:t>
            </w:r>
          </w:p>
          <w:p>
            <w:pPr>
              <w:spacing w:after="60"/>
            </w:pPr>
            <w:r>
              <w:rPr>
                <w:rFonts w:ascii="Calibri" w:cs="Calibri" w:eastAsia="Calibri" w:hAnsi="Calibri"/>
                <w:sz w:val="18"/>
                <w:szCs w:val="18"/>
              </w:rPr>
              <w:t xml:space="preserve">Tarandovskiy et al. 2020: baboon and rhesus thrombin measures closely matched human values (thrombin peak 434 nM and 399 nM vs human 484 nM; thrombin production 124 and 111 nM/min vs 111.5 nM/min). However plasmin production rates were substantially higher (baboon 90.8 vs human 34.8 nM/min).</w:t>
            </w:r>
          </w:p>
          <w:p>
            <w:pPr>
              <w:spacing w:after="60"/>
            </w:pPr>
            <w:r>
              <w:rPr>
                <w:rFonts w:ascii="Calibri" w:cs="Calibri" w:eastAsia="Calibri" w:hAnsi="Calibri"/>
                <w:b/>
                <w:bCs/>
                <w:color w:val="555555"/>
                <w:sz w:val="17"/>
                <w:szCs w:val="17"/>
              </w:rPr>
              <w:t xml:space="preserve">What varies across the range. </w:t>
            </w:r>
            <w:r>
              <w:rPr>
                <w:rFonts w:ascii="Calibri" w:cs="Calibri" w:eastAsia="Calibri" w:hAnsi="Calibri"/>
                <w:color w:val="555555"/>
                <w:sz w:val="17"/>
                <w:szCs w:val="17"/>
              </w:rPr>
              <w:t xml:space="preserve">Different metrics diverge: thrombin parameters approximate human values while plasmin generation—especially production rate—is much higher in primates.</w:t>
            </w:r>
          </w:p>
          <w:p>
            <w:pPr>
              <w:spacing w:after="30"/>
            </w:pPr>
            <w:r>
              <w:rPr>
                <w:rFonts w:ascii="Calibri" w:cs="Calibri" w:eastAsia="Calibri" w:hAnsi="Calibri"/>
                <w:b/>
                <w:bCs/>
                <w:color w:val="666666"/>
                <w:sz w:val="16"/>
                <w:szCs w:val="16"/>
              </w:rPr>
              <w:t xml:space="preserve">Figures behind this row</w:t>
            </w:r>
          </w:p>
          <w:p>
            <w:pPr>
              <w:spacing w:after="70"/>
            </w:pPr>
            <w:r>
              <w:rPr>
                <w:rFonts w:ascii="Calibri" w:cs="Calibri" w:eastAsia="Calibri" w:hAnsi="Calibri"/>
                <w:b/>
                <w:bCs/>
                <w:sz w:val="19"/>
                <w:szCs w:val="19"/>
              </w:rPr>
              <w:t xml:space="preserve">398.95–565.84</w:t>
            </w:r>
            <w:r>
              <w:rPr>
                <w:rFonts w:ascii="Calibri" w:cs="Calibri" w:eastAsia="Calibri" w:hAnsi="Calibri"/>
                <w:sz w:val="18"/>
                <w:szCs w:val="18"/>
              </w:rPr>
              <w:t xml:space="preserve">  mean, n=10 — Thrombin Concentration Peak (Mean, nM) (</w:t>
            </w:r>
            <w:hyperlink w:history="1" r:id="rIddta5ityfcmpdtoatn3dlw">
              <w:r>
                <w:rPr>
                  <w:rFonts w:ascii="Calibri" w:cs="Calibri" w:eastAsia="Calibri" w:hAnsi="Calibri"/>
                  <w:color w:val="1155CC"/>
                  <w:sz w:val="18"/>
                  <w:szCs w:val="18"/>
                  <w:u w:val="single"/>
                </w:rPr>
                <w:t xml:space="preserve">Tarandovskiy et al. 2020</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49.78–124.22</w:t>
            </w:r>
            <w:r>
              <w:rPr>
                <w:rFonts w:ascii="Calibri" w:cs="Calibri" w:eastAsia="Calibri" w:hAnsi="Calibri"/>
                <w:sz w:val="18"/>
                <w:szCs w:val="18"/>
              </w:rPr>
              <w:t xml:space="preserve">  mean, n=10 — Thrombin Production Rate (Mean, nM/min) (</w:t>
            </w:r>
            <w:hyperlink w:history="1" r:id="rIdujfdnvlkw7-cs3nkyzyil">
              <w:r>
                <w:rPr>
                  <w:rFonts w:ascii="Calibri" w:cs="Calibri" w:eastAsia="Calibri" w:hAnsi="Calibri"/>
                  <w:color w:val="1155CC"/>
                  <w:sz w:val="18"/>
                  <w:szCs w:val="18"/>
                  <w:u w:val="single"/>
                </w:rPr>
                <w:t xml:space="preserve">Tarandovskiy et al. 2020</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546.26–565.84</w:t>
            </w:r>
            <w:r>
              <w:rPr>
                <w:rFonts w:ascii="Calibri" w:cs="Calibri" w:eastAsia="Calibri" w:hAnsi="Calibri"/>
                <w:sz w:val="18"/>
                <w:szCs w:val="18"/>
              </w:rPr>
              <w:t xml:space="preserve">  mean, n=10 — Plasmin Concentration Peak (Mean, nM) (</w:t>
            </w:r>
            <w:hyperlink w:history="1" r:id="rIdoepnjwugujutbhtwqpnaj">
              <w:r>
                <w:rPr>
                  <w:rFonts w:ascii="Calibri" w:cs="Calibri" w:eastAsia="Calibri" w:hAnsi="Calibri"/>
                  <w:color w:val="1155CC"/>
                  <w:sz w:val="18"/>
                  <w:szCs w:val="18"/>
                  <w:u w:val="single"/>
                </w:rPr>
                <w:t xml:space="preserve">Tarandovskiy et al. 2020</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49.78–90.81</w:t>
            </w:r>
            <w:r>
              <w:rPr>
                <w:rFonts w:ascii="Calibri" w:cs="Calibri" w:eastAsia="Calibri" w:hAnsi="Calibri"/>
                <w:sz w:val="18"/>
                <w:szCs w:val="18"/>
              </w:rPr>
              <w:t xml:space="preserve">  mean, n=10 — Plasmin Production Rate (Mean, nM/min) (</w:t>
            </w:r>
            <w:hyperlink w:history="1" r:id="rIddahwsgzmp-cldxsarg3cj">
              <w:r>
                <w:rPr>
                  <w:rFonts w:ascii="Calibri" w:cs="Calibri" w:eastAsia="Calibri" w:hAnsi="Calibri"/>
                  <w:color w:val="1155CC"/>
                  <w:sz w:val="18"/>
                  <w:szCs w:val="18"/>
                  <w:u w:val="single"/>
                </w:rPr>
                <w:t xml:space="preserve">Tarandovskiy et al. 2020</w:t>
              </w:r>
            </w:hyperlink>
            <w:r>
              <w:rPr>
                <w:rFonts w:ascii="Calibri" w:cs="Calibri" w:eastAsia="Calibri" w:hAnsi="Calibri"/>
                <w:sz w:val="18"/>
                <w:szCs w:val="18"/>
              </w:rPr>
              <w:t xml:space="preserve">)</w:t>
            </w:r>
          </w:p>
        </w:tc>
      </w:tr>
      <w:tr>
        <w:tc>
          <w:tcPr>
            <w:tcW w:type="dxa" w:w="1700"/>
            <w:tcMar>
              <w:top w:type="dxa" w:w="80"/>
              <w:left w:type="dxa" w:w="110"/>
              <w:bottom w:type="dxa" w:w="80"/>
              <w:right w:type="dxa" w:w="110"/>
            </w:tcMar>
          </w:tcPr>
          <w:p>
            <w:pPr>
              <w:spacing w:after="0"/>
            </w:pPr>
            <w:r>
              <w:rPr>
                <w:rFonts w:ascii="Calibri" w:cs="Calibri" w:eastAsia="Calibri" w:hAnsi="Calibri"/>
                <w:b/>
                <w:bCs/>
                <w:sz w:val="19"/>
                <w:szCs w:val="19"/>
              </w:rPr>
              <w:t xml:space="preserve">Disease biology</w:t>
            </w:r>
          </w:p>
        </w:tc>
        <w:tc>
          <w:tcPr>
            <w:tcW w:type="dxa" w:w="1500"/>
            <w:tcMar>
              <w:top w:type="dxa" w:w="80"/>
              <w:left w:type="dxa" w:w="110"/>
              <w:bottom w:type="dxa" w:w="80"/>
              <w:right w:type="dxa" w:w="110"/>
            </w:tcMar>
          </w:tcPr>
          <w:p>
            <w:pPr>
              <w:spacing w:after="20"/>
            </w:pPr>
            <w:r>
              <w:rPr>
                <w:rFonts w:ascii="Calibri" w:cs="Calibri" w:eastAsia="Calibri" w:hAnsi="Calibri"/>
                <w:b/>
                <w:bCs/>
                <w:sz w:val="19"/>
                <w:szCs w:val="19"/>
              </w:rPr>
              <w:t xml:space="preserve">pig</w:t>
            </w:r>
          </w:p>
          <w:p>
            <w:pPr>
              <w:spacing w:after="20"/>
            </w:pPr>
            <w:r>
              <w:rPr>
                <w:rFonts w:ascii="Calibri" w:cs="Calibri" w:eastAsia="Calibri" w:hAnsi="Calibri"/>
                <w:color w:val="666666"/>
                <w:sz w:val="17"/>
                <w:szCs w:val="17"/>
              </w:rPr>
              <w:t xml:space="preserve">1 study</w:t>
            </w:r>
          </w:p>
          <w:p>
            <w:pPr>
              <w:spacing w:after="0"/>
            </w:pPr>
            <w:r>
              <w:rPr>
                <w:rFonts w:ascii="Calibri" w:cs="Calibri" w:eastAsia="Calibri" w:hAnsi="Calibri"/>
                <w:color w:val="666666"/>
                <w:sz w:val="16"/>
                <w:szCs w:val="16"/>
              </w:rPr>
              <w:t xml:space="preserve">1 partly supports</w:t>
            </w:r>
          </w:p>
        </w:tc>
        <w:tc>
          <w:tcPr>
            <w:tcW w:type="dxa" w:w="10240"/>
            <w:tcMar>
              <w:top w:type="dxa" w:w="80"/>
              <w:left w:type="dxa" w:w="110"/>
              <w:bottom w:type="dxa" w:w="80"/>
              <w:right w:type="dxa" w:w="110"/>
            </w:tcMar>
          </w:tcPr>
          <w:p>
            <w:pPr>
              <w:spacing w:after="40"/>
            </w:pPr>
            <w:r>
              <w:rPr>
                <w:rFonts w:ascii="Calibri" w:cs="Calibri" w:eastAsia="Calibri" w:hAnsi="Calibri"/>
                <w:b/>
                <w:bCs/>
                <w:color w:val="7A5B00"/>
                <w:sz w:val="16"/>
                <w:szCs w:val="16"/>
              </w:rPr>
              <w:t xml:space="preserve">MIXED</w:t>
            </w:r>
          </w:p>
          <w:p>
            <w:pPr>
              <w:spacing w:after="60"/>
            </w:pPr>
            <w:r>
              <w:rPr>
                <w:rFonts w:ascii="Calibri" w:cs="Calibri" w:eastAsia="Calibri" w:hAnsi="Calibri"/>
                <w:sz w:val="18"/>
                <w:szCs w:val="18"/>
              </w:rPr>
              <w:t xml:space="preserve">Tarandovskiy et al. 2020: swine thrombin partly tracked humans—thrombin peak 242.35 nM (~50% of human 484.25) and production 93.6 nM/min (~84% of human 111.51), but swine produced no detectable plasmin. n=20; absent plasmin limits pig utility for fibrinolysis/disease-biology comparisons.</w:t>
            </w:r>
          </w:p>
          <w:p>
            <w:pPr>
              <w:spacing w:after="30"/>
            </w:pPr>
            <w:r>
              <w:rPr>
                <w:rFonts w:ascii="Calibri" w:cs="Calibri" w:eastAsia="Calibri" w:hAnsi="Calibri"/>
                <w:b/>
                <w:bCs/>
                <w:color w:val="666666"/>
                <w:sz w:val="16"/>
                <w:szCs w:val="16"/>
              </w:rPr>
              <w:t xml:space="preserve">Figures behind this row</w:t>
            </w:r>
          </w:p>
          <w:p>
            <w:pPr>
              <w:spacing w:after="70"/>
            </w:pPr>
            <w:r>
              <w:rPr>
                <w:rFonts w:ascii="Calibri" w:cs="Calibri" w:eastAsia="Calibri" w:hAnsi="Calibri"/>
                <w:b/>
                <w:bCs/>
                <w:sz w:val="19"/>
                <w:szCs w:val="19"/>
              </w:rPr>
              <w:t xml:space="preserve">9.86–242.35</w:t>
            </w:r>
            <w:r>
              <w:rPr>
                <w:rFonts w:ascii="Calibri" w:cs="Calibri" w:eastAsia="Calibri" w:hAnsi="Calibri"/>
                <w:sz w:val="18"/>
                <w:szCs w:val="18"/>
              </w:rPr>
              <w:t xml:space="preserve">  mean, n=20 — Thrombin Concentration Peak (Mean, nM) (</w:t>
            </w:r>
            <w:hyperlink w:history="1" r:id="rIdzv2-ugomotxi9q75jr9co">
              <w:r>
                <w:rPr>
                  <w:rFonts w:ascii="Calibri" w:cs="Calibri" w:eastAsia="Calibri" w:hAnsi="Calibri"/>
                  <w:color w:val="1155CC"/>
                  <w:sz w:val="18"/>
                  <w:szCs w:val="18"/>
                  <w:u w:val="single"/>
                </w:rPr>
                <w:t xml:space="preserve">Tarandovskiy et al. 2020</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1.48–93.6</w:t>
            </w:r>
            <w:r>
              <w:rPr>
                <w:rFonts w:ascii="Calibri" w:cs="Calibri" w:eastAsia="Calibri" w:hAnsi="Calibri"/>
                <w:sz w:val="18"/>
                <w:szCs w:val="18"/>
              </w:rPr>
              <w:t xml:space="preserve">  mean, n=20 — Thrombin Production Rate (Mean, nM/min) (</w:t>
            </w:r>
            <w:hyperlink w:history="1" r:id="rIdrwipiwi3lakxbbw7v8zud">
              <w:r>
                <w:rPr>
                  <w:rFonts w:ascii="Calibri" w:cs="Calibri" w:eastAsia="Calibri" w:hAnsi="Calibri"/>
                  <w:color w:val="1155CC"/>
                  <w:sz w:val="18"/>
                  <w:szCs w:val="18"/>
                  <w:u w:val="single"/>
                </w:rPr>
                <w:t xml:space="preserve">Tarandovskiy et al. 2020</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81.98</w:t>
            </w:r>
            <w:r>
              <w:rPr>
                <w:rFonts w:ascii="Calibri" w:cs="Calibri" w:eastAsia="Calibri" w:hAnsi="Calibri"/>
                <w:sz w:val="18"/>
                <w:szCs w:val="18"/>
              </w:rPr>
              <w:t xml:space="preserve">  mean, n=14 — Plasmin Concentration Peak (Mean, nM) (</w:t>
            </w:r>
            <w:hyperlink w:history="1" r:id="rIdtysq7i5jyzinvc7yklrlh">
              <w:r>
                <w:rPr>
                  <w:rFonts w:ascii="Calibri" w:cs="Calibri" w:eastAsia="Calibri" w:hAnsi="Calibri"/>
                  <w:color w:val="1155CC"/>
                  <w:sz w:val="18"/>
                  <w:szCs w:val="18"/>
                  <w:u w:val="single"/>
                </w:rPr>
                <w:t xml:space="preserve">Tarandovskiy et al. 2020</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1.48</w:t>
            </w:r>
            <w:r>
              <w:rPr>
                <w:rFonts w:ascii="Calibri" w:cs="Calibri" w:eastAsia="Calibri" w:hAnsi="Calibri"/>
                <w:sz w:val="18"/>
                <w:szCs w:val="18"/>
              </w:rPr>
              <w:t xml:space="preserve">  mean, n=14 — Plasmin Production Rate (Mean, nM/min) (</w:t>
            </w:r>
            <w:hyperlink w:history="1" r:id="rId1foxjkouwnd0s2symxmxy">
              <w:r>
                <w:rPr>
                  <w:rFonts w:ascii="Calibri" w:cs="Calibri" w:eastAsia="Calibri" w:hAnsi="Calibri"/>
                  <w:color w:val="1155CC"/>
                  <w:sz w:val="18"/>
                  <w:szCs w:val="18"/>
                  <w:u w:val="single"/>
                </w:rPr>
                <w:t xml:space="preserve">Tarandovskiy et al. 2020</w:t>
              </w:r>
            </w:hyperlink>
            <w:r>
              <w:rPr>
                <w:rFonts w:ascii="Calibri" w:cs="Calibri" w:eastAsia="Calibri" w:hAnsi="Calibri"/>
                <w:sz w:val="18"/>
                <w:szCs w:val="18"/>
              </w:rPr>
              <w:t xml:space="preserve">)</w:t>
            </w:r>
          </w:p>
        </w:tc>
      </w:tr>
      <w:tr>
        <w:tc>
          <w:tcPr>
            <w:tcW w:type="dxa" w:w="1700"/>
            <w:shd w:fill="F4F6F8"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Disease biology</w:t>
            </w:r>
          </w:p>
        </w:tc>
        <w:tc>
          <w:tcPr>
            <w:tcW w:type="dxa" w:w="1500"/>
            <w:shd w:fill="F4F6F8" w:color="auto" w:val="clear"/>
            <w:tcMar>
              <w:top w:type="dxa" w:w="80"/>
              <w:left w:type="dxa" w:w="110"/>
              <w:bottom w:type="dxa" w:w="80"/>
              <w:right w:type="dxa" w:w="110"/>
            </w:tcMar>
          </w:tcPr>
          <w:p>
            <w:pPr>
              <w:spacing w:after="20"/>
            </w:pPr>
            <w:r>
              <w:rPr>
                <w:rFonts w:ascii="Calibri" w:cs="Calibri" w:eastAsia="Calibri" w:hAnsi="Calibri"/>
                <w:b/>
                <w:bCs/>
                <w:sz w:val="19"/>
                <w:szCs w:val="19"/>
              </w:rPr>
              <w:t xml:space="preserve">rabbit</w:t>
            </w:r>
          </w:p>
          <w:p>
            <w:pPr>
              <w:spacing w:after="20"/>
            </w:pPr>
            <w:r>
              <w:rPr>
                <w:rFonts w:ascii="Calibri" w:cs="Calibri" w:eastAsia="Calibri" w:hAnsi="Calibri"/>
                <w:color w:val="666666"/>
                <w:sz w:val="17"/>
                <w:szCs w:val="17"/>
              </w:rPr>
              <w:t xml:space="preserve">1 study</w:t>
            </w:r>
          </w:p>
          <w:p>
            <w:pPr>
              <w:spacing w:after="0"/>
            </w:pPr>
            <w:r>
              <w:rPr>
                <w:rFonts w:ascii="Calibri" w:cs="Calibri" w:eastAsia="Calibri" w:hAnsi="Calibri"/>
                <w:color w:val="666666"/>
                <w:sz w:val="16"/>
                <w:szCs w:val="16"/>
              </w:rPr>
              <w:t xml:space="preserve">1 partly supports</w:t>
            </w:r>
          </w:p>
        </w:tc>
        <w:tc>
          <w:tcPr>
            <w:tcW w:type="dxa" w:w="10240"/>
            <w:shd w:fill="F4F6F8" w:color="auto" w:val="clear"/>
            <w:tcMar>
              <w:top w:type="dxa" w:w="80"/>
              <w:left w:type="dxa" w:w="110"/>
              <w:bottom w:type="dxa" w:w="80"/>
              <w:right w:type="dxa" w:w="110"/>
            </w:tcMar>
          </w:tcPr>
          <w:p>
            <w:pPr>
              <w:spacing w:after="40"/>
            </w:pPr>
            <w:r>
              <w:rPr>
                <w:rFonts w:ascii="Calibri" w:cs="Calibri" w:eastAsia="Calibri" w:hAnsi="Calibri"/>
                <w:b/>
                <w:bCs/>
                <w:color w:val="7A5B00"/>
                <w:sz w:val="16"/>
                <w:szCs w:val="16"/>
              </w:rPr>
              <w:t xml:space="preserve">MIXED</w:t>
            </w:r>
          </w:p>
          <w:p>
            <w:pPr>
              <w:spacing w:after="60"/>
            </w:pPr>
            <w:r>
              <w:rPr>
                <w:rFonts w:ascii="Calibri" w:cs="Calibri" w:eastAsia="Calibri" w:hAnsi="Calibri"/>
                <w:sz w:val="18"/>
                <w:szCs w:val="18"/>
              </w:rPr>
              <w:t xml:space="preserve">Tarandovskiy et al. 2020: rabbit thrombin peak 71.6 nM (~15% of human 484.25 nM) and thrombin production 14.9 nM/min (~13% of human 111.51), while plasmin peak 197.7 nM (~43% of human 457.20) and plasmin production 17.6 nM/min (~51% of human 34.80). Rabbit curves were highly variable, so alignment with human coagulation is mixed.</w:t>
            </w:r>
          </w:p>
          <w:p>
            <w:pPr>
              <w:spacing w:after="60"/>
            </w:pPr>
            <w:r>
              <w:rPr>
                <w:rFonts w:ascii="Calibri" w:cs="Calibri" w:eastAsia="Calibri" w:hAnsi="Calibri"/>
                <w:b/>
                <w:bCs/>
                <w:color w:val="555555"/>
                <w:sz w:val="17"/>
                <w:szCs w:val="17"/>
              </w:rPr>
              <w:t xml:space="preserve">What varies across the range. </w:t>
            </w:r>
            <w:r>
              <w:rPr>
                <w:rFonts w:ascii="Calibri" w:cs="Calibri" w:eastAsia="Calibri" w:hAnsi="Calibri"/>
                <w:color w:val="555555"/>
                <w:sz w:val="17"/>
                <w:szCs w:val="17"/>
              </w:rPr>
              <w:t xml:space="preserve">Different coagulation metrics diverge: thrombin measures are much lower than human while plasmin measures are nearer human values, and rabbit curves showed high variability.</w:t>
            </w:r>
          </w:p>
          <w:p>
            <w:pPr>
              <w:spacing w:after="30"/>
            </w:pPr>
            <w:r>
              <w:rPr>
                <w:rFonts w:ascii="Calibri" w:cs="Calibri" w:eastAsia="Calibri" w:hAnsi="Calibri"/>
                <w:b/>
                <w:bCs/>
                <w:color w:val="666666"/>
                <w:sz w:val="16"/>
                <w:szCs w:val="16"/>
              </w:rPr>
              <w:t xml:space="preserve">Figures behind this row</w:t>
            </w:r>
          </w:p>
          <w:p>
            <w:pPr>
              <w:spacing w:after="70"/>
            </w:pPr>
            <w:r>
              <w:rPr>
                <w:rFonts w:ascii="Calibri" w:cs="Calibri" w:eastAsia="Calibri" w:hAnsi="Calibri"/>
                <w:b/>
                <w:bCs/>
                <w:sz w:val="19"/>
                <w:szCs w:val="19"/>
              </w:rPr>
              <w:t xml:space="preserve">71.6–197.71</w:t>
            </w:r>
            <w:r>
              <w:rPr>
                <w:rFonts w:ascii="Calibri" w:cs="Calibri" w:eastAsia="Calibri" w:hAnsi="Calibri"/>
                <w:sz w:val="18"/>
                <w:szCs w:val="18"/>
              </w:rPr>
              <w:t xml:space="preserve">  mean, n=10 — Thrombin Concentration Peak (Mean, nM) (</w:t>
            </w:r>
            <w:hyperlink w:history="1" r:id="rIdo4dhgq8yvlat1_151ds_k">
              <w:r>
                <w:rPr>
                  <w:rFonts w:ascii="Calibri" w:cs="Calibri" w:eastAsia="Calibri" w:hAnsi="Calibri"/>
                  <w:color w:val="1155CC"/>
                  <w:sz w:val="18"/>
                  <w:szCs w:val="18"/>
                  <w:u w:val="single"/>
                </w:rPr>
                <w:t xml:space="preserve">Tarandovskiy et al. 2020</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14.93–17.63</w:t>
            </w:r>
            <w:r>
              <w:rPr>
                <w:rFonts w:ascii="Calibri" w:cs="Calibri" w:eastAsia="Calibri" w:hAnsi="Calibri"/>
                <w:sz w:val="18"/>
                <w:szCs w:val="18"/>
              </w:rPr>
              <w:t xml:space="preserve">  mean, n=10 — Thrombin Production Rate (Mean, nM/min) (</w:t>
            </w:r>
            <w:hyperlink w:history="1" r:id="rId9a6ruor8cpasthoncczpy">
              <w:r>
                <w:rPr>
                  <w:rFonts w:ascii="Calibri" w:cs="Calibri" w:eastAsia="Calibri" w:hAnsi="Calibri"/>
                  <w:color w:val="1155CC"/>
                  <w:sz w:val="18"/>
                  <w:szCs w:val="18"/>
                  <w:u w:val="single"/>
                </w:rPr>
                <w:t xml:space="preserve">Tarandovskiy et al. 2020</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197.71</w:t>
            </w:r>
            <w:r>
              <w:rPr>
                <w:rFonts w:ascii="Calibri" w:cs="Calibri" w:eastAsia="Calibri" w:hAnsi="Calibri"/>
                <w:sz w:val="18"/>
                <w:szCs w:val="18"/>
              </w:rPr>
              <w:t xml:space="preserve">  mean, n=10 — Plasmin Concentration Peak (Mean, nM) (</w:t>
            </w:r>
            <w:hyperlink w:history="1" r:id="rIdu2t23mj_hedcgvy49e_l2">
              <w:r>
                <w:rPr>
                  <w:rFonts w:ascii="Calibri" w:cs="Calibri" w:eastAsia="Calibri" w:hAnsi="Calibri"/>
                  <w:color w:val="1155CC"/>
                  <w:sz w:val="18"/>
                  <w:szCs w:val="18"/>
                  <w:u w:val="single"/>
                </w:rPr>
                <w:t xml:space="preserve">Tarandovskiy et al. 2020</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17.63</w:t>
            </w:r>
            <w:r>
              <w:rPr>
                <w:rFonts w:ascii="Calibri" w:cs="Calibri" w:eastAsia="Calibri" w:hAnsi="Calibri"/>
                <w:sz w:val="18"/>
                <w:szCs w:val="18"/>
              </w:rPr>
              <w:t xml:space="preserve">  mean, n=10 — Plasmin Production Rate (Mean, nM/min) (</w:t>
            </w:r>
            <w:hyperlink w:history="1" r:id="rId4rovtsgnoxxbepa1e0cb3">
              <w:r>
                <w:rPr>
                  <w:rFonts w:ascii="Calibri" w:cs="Calibri" w:eastAsia="Calibri" w:hAnsi="Calibri"/>
                  <w:color w:val="1155CC"/>
                  <w:sz w:val="18"/>
                  <w:szCs w:val="18"/>
                  <w:u w:val="single"/>
                </w:rPr>
                <w:t xml:space="preserve">Tarandovskiy et al. 2020</w:t>
              </w:r>
            </w:hyperlink>
            <w:r>
              <w:rPr>
                <w:rFonts w:ascii="Calibri" w:cs="Calibri" w:eastAsia="Calibri" w:hAnsi="Calibri"/>
                <w:sz w:val="18"/>
                <w:szCs w:val="18"/>
              </w:rPr>
              <w:t xml:space="preserve">)</w:t>
            </w:r>
          </w:p>
        </w:tc>
      </w:tr>
      <w:tr>
        <w:tc>
          <w:tcPr>
            <w:tcW w:type="dxa" w:w="1700"/>
            <w:tcMar>
              <w:top w:type="dxa" w:w="80"/>
              <w:left w:type="dxa" w:w="110"/>
              <w:bottom w:type="dxa" w:w="80"/>
              <w:right w:type="dxa" w:w="110"/>
            </w:tcMar>
          </w:tcPr>
          <w:p>
            <w:pPr>
              <w:spacing w:after="0"/>
            </w:pPr>
            <w:r>
              <w:rPr>
                <w:rFonts w:ascii="Calibri" w:cs="Calibri" w:eastAsia="Calibri" w:hAnsi="Calibri"/>
                <w:b/>
                <w:bCs/>
                <w:sz w:val="19"/>
                <w:szCs w:val="19"/>
              </w:rPr>
              <w:t xml:space="preserve">Disease biology</w:t>
            </w:r>
          </w:p>
        </w:tc>
        <w:tc>
          <w:tcPr>
            <w:tcW w:type="dxa" w:w="1500"/>
            <w:tcMar>
              <w:top w:type="dxa" w:w="80"/>
              <w:left w:type="dxa" w:w="110"/>
              <w:bottom w:type="dxa" w:w="80"/>
              <w:right w:type="dxa" w:w="110"/>
            </w:tcMar>
          </w:tcPr>
          <w:p>
            <w:pPr>
              <w:spacing w:after="20"/>
            </w:pPr>
            <w:r>
              <w:rPr>
                <w:rFonts w:ascii="Calibri" w:cs="Calibri" w:eastAsia="Calibri" w:hAnsi="Calibri"/>
                <w:b/>
                <w:bCs/>
                <w:sz w:val="19"/>
                <w:szCs w:val="19"/>
              </w:rPr>
              <w:t xml:space="preserve">sheep</w:t>
            </w:r>
          </w:p>
          <w:p>
            <w:pPr>
              <w:spacing w:after="20"/>
            </w:pPr>
            <w:r>
              <w:rPr>
                <w:rFonts w:ascii="Calibri" w:cs="Calibri" w:eastAsia="Calibri" w:hAnsi="Calibri"/>
                <w:color w:val="666666"/>
                <w:sz w:val="17"/>
                <w:szCs w:val="17"/>
              </w:rPr>
              <w:t xml:space="preserve">1 study</w:t>
            </w:r>
          </w:p>
          <w:p>
            <w:pPr>
              <w:spacing w:after="0"/>
            </w:pPr>
            <w:r>
              <w:rPr>
                <w:rFonts w:ascii="Calibri" w:cs="Calibri" w:eastAsia="Calibri" w:hAnsi="Calibri"/>
                <w:color w:val="666666"/>
                <w:sz w:val="16"/>
                <w:szCs w:val="16"/>
              </w:rPr>
              <w:t xml:space="preserve">1 partly supports</w:t>
            </w:r>
          </w:p>
        </w:tc>
        <w:tc>
          <w:tcPr>
            <w:tcW w:type="dxa" w:w="10240"/>
            <w:tcMar>
              <w:top w:type="dxa" w:w="80"/>
              <w:left w:type="dxa" w:w="110"/>
              <w:bottom w:type="dxa" w:w="80"/>
              <w:right w:type="dxa" w:w="110"/>
            </w:tcMar>
          </w:tcPr>
          <w:p>
            <w:pPr>
              <w:spacing w:after="40"/>
            </w:pPr>
            <w:r>
              <w:rPr>
                <w:rFonts w:ascii="Calibri" w:cs="Calibri" w:eastAsia="Calibri" w:hAnsi="Calibri"/>
                <w:b/>
                <w:bCs/>
                <w:color w:val="7A5B00"/>
                <w:sz w:val="16"/>
                <w:szCs w:val="16"/>
              </w:rPr>
              <w:t xml:space="preserve">MIXED</w:t>
            </w:r>
          </w:p>
          <w:p>
            <w:pPr>
              <w:spacing w:after="60"/>
            </w:pPr>
            <w:r>
              <w:rPr>
                <w:rFonts w:ascii="Calibri" w:cs="Calibri" w:eastAsia="Calibri" w:hAnsi="Calibri"/>
                <w:sz w:val="18"/>
                <w:szCs w:val="18"/>
              </w:rPr>
              <w:t xml:space="preserve">Oreff et al. 2021 found sheep tenocytes matched human tenocytes mainly under constant inflammation (Mahalanobis 8.94) but diverged under healthy conditions (Mahalanobis 24.78); MMP genes were relatively close (8.6) while inflammatory mediators were farther (18.51). n=3 biological replicates/species; some slope differences were small but significant (proliferation diff −0.0878, p=0.009).</w:t>
            </w:r>
          </w:p>
          <w:p>
            <w:pPr>
              <w:spacing w:after="60"/>
            </w:pPr>
            <w:r>
              <w:rPr>
                <w:rFonts w:ascii="Calibri" w:cs="Calibri" w:eastAsia="Calibri" w:hAnsi="Calibri"/>
                <w:b/>
                <w:bCs/>
                <w:color w:val="555555"/>
                <w:sz w:val="17"/>
                <w:szCs w:val="17"/>
              </w:rPr>
              <w:t xml:space="preserve">What varies across the range. </w:t>
            </w:r>
            <w:r>
              <w:rPr>
                <w:rFonts w:ascii="Calibri" w:cs="Calibri" w:eastAsia="Calibri" w:hAnsi="Calibri"/>
                <w:color w:val="555555"/>
                <w:sz w:val="17"/>
                <w:szCs w:val="17"/>
              </w:rPr>
              <w:t xml:space="preserve">Similarity shifts with inflammatory state (healthy vs transient vs constant) and varies by gene set.</w:t>
            </w:r>
          </w:p>
          <w:p>
            <w:pPr>
              <w:spacing w:after="30"/>
            </w:pPr>
            <w:r>
              <w:rPr>
                <w:rFonts w:ascii="Calibri" w:cs="Calibri" w:eastAsia="Calibri" w:hAnsi="Calibri"/>
                <w:b/>
                <w:bCs/>
                <w:color w:val="666666"/>
                <w:sz w:val="16"/>
                <w:szCs w:val="16"/>
              </w:rPr>
              <w:t xml:space="preserve">Figures behind this row</w:t>
            </w:r>
          </w:p>
          <w:p>
            <w:pPr>
              <w:spacing w:after="70"/>
            </w:pPr>
            <w:r>
              <w:rPr>
                <w:rFonts w:ascii="Calibri" w:cs="Calibri" w:eastAsia="Calibri" w:hAnsi="Calibri"/>
                <w:b/>
                <w:bCs/>
                <w:sz w:val="19"/>
                <w:szCs w:val="19"/>
              </w:rPr>
              <w:t xml:space="preserve">-0.0878–0.1169</w:t>
            </w:r>
            <w:r>
              <w:rPr>
                <w:rFonts w:ascii="Calibri" w:cs="Calibri" w:eastAsia="Calibri" w:hAnsi="Calibri"/>
                <w:sz w:val="18"/>
                <w:szCs w:val="18"/>
              </w:rPr>
              <w:t xml:space="preserve">  slope — Proliferation capacity (slope difference to human) under healthy conditions (</w:t>
            </w:r>
            <w:hyperlink w:history="1" r:id="rIdhoql5qos_-jaxdnhal1pf">
              <w:r>
                <w:rPr>
                  <w:rFonts w:ascii="Calibri" w:cs="Calibri" w:eastAsia="Calibri" w:hAnsi="Calibri"/>
                  <w:color w:val="1155CC"/>
                  <w:sz w:val="18"/>
                  <w:szCs w:val="18"/>
                  <w:u w:val="single"/>
                </w:rPr>
                <w:t xml:space="preserve">Oreff et al. 2021</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8.94–24.78</w:t>
            </w:r>
            <w:r>
              <w:rPr>
                <w:rFonts w:ascii="Calibri" w:cs="Calibri" w:eastAsia="Calibri" w:hAnsi="Calibri"/>
                <w:sz w:val="18"/>
                <w:szCs w:val="18"/>
              </w:rPr>
              <w:t xml:space="preserve">  mahalanobis distance — Mahalanobis distance to human for all genes combined under healthy conditions (</w:t>
            </w:r>
            <w:hyperlink w:history="1" r:id="rId5cp_7k_cqlwyzclqb_z9x">
              <w:r>
                <w:rPr>
                  <w:rFonts w:ascii="Calibri" w:cs="Calibri" w:eastAsia="Calibri" w:hAnsi="Calibri"/>
                  <w:color w:val="1155CC"/>
                  <w:sz w:val="18"/>
                  <w:szCs w:val="18"/>
                  <w:u w:val="single"/>
                </w:rPr>
                <w:t xml:space="preserve">Oreff et al. 2021</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-0.0188–-0.0112</w:t>
            </w:r>
            <w:r>
              <w:rPr>
                <w:rFonts w:ascii="Calibri" w:cs="Calibri" w:eastAsia="Calibri" w:hAnsi="Calibri"/>
                <w:sz w:val="18"/>
                <w:szCs w:val="18"/>
              </w:rPr>
              <w:t xml:space="preserve">  slope — Migration slope (difference to human) under transient inflammation (</w:t>
            </w:r>
            <w:hyperlink w:history="1" r:id="rId7dtpfysbqp9d97zen9rvk">
              <w:r>
                <w:rPr>
                  <w:rFonts w:ascii="Calibri" w:cs="Calibri" w:eastAsia="Calibri" w:hAnsi="Calibri"/>
                  <w:color w:val="1155CC"/>
                  <w:sz w:val="18"/>
                  <w:szCs w:val="18"/>
                  <w:u w:val="single"/>
                </w:rPr>
                <w:t xml:space="preserve">Oreff et al. 2021</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0.018555</w:t>
            </w:r>
            <w:r>
              <w:rPr>
                <w:rFonts w:ascii="Calibri" w:cs="Calibri" w:eastAsia="Calibri" w:hAnsi="Calibri"/>
                <w:sz w:val="18"/>
                <w:szCs w:val="18"/>
              </w:rPr>
              <w:t xml:space="preserve">  slope — Migration slope (difference to human) under healthy conditions (</w:t>
            </w:r>
            <w:hyperlink w:history="1" r:id="rIdxkard8upsiyan7j9onfow">
              <w:r>
                <w:rPr>
                  <w:rFonts w:ascii="Calibri" w:cs="Calibri" w:eastAsia="Calibri" w:hAnsi="Calibri"/>
                  <w:color w:val="1155CC"/>
                  <w:sz w:val="18"/>
                  <w:szCs w:val="18"/>
                  <w:u w:val="single"/>
                </w:rPr>
                <w:t xml:space="preserve">Oreff et al. 2021</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10.54</w:t>
            </w:r>
            <w:r>
              <w:rPr>
                <w:rFonts w:ascii="Calibri" w:cs="Calibri" w:eastAsia="Calibri" w:hAnsi="Calibri"/>
                <w:sz w:val="18"/>
                <w:szCs w:val="18"/>
              </w:rPr>
              <w:t xml:space="preserve">  mahalanobis distance — Mahalanobis distance to human for tenogenic markers (SCX, TNC, TNMD) (</w:t>
            </w:r>
            <w:hyperlink w:history="1" r:id="rIdbjud9vvql8fw7b2bg6ixd">
              <w:r>
                <w:rPr>
                  <w:rFonts w:ascii="Calibri" w:cs="Calibri" w:eastAsia="Calibri" w:hAnsi="Calibri"/>
                  <w:color w:val="1155CC"/>
                  <w:sz w:val="18"/>
                  <w:szCs w:val="18"/>
                  <w:u w:val="single"/>
                </w:rPr>
                <w:t xml:space="preserve">Oreff et al. 2021</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12.88</w:t>
            </w:r>
            <w:r>
              <w:rPr>
                <w:rFonts w:ascii="Calibri" w:cs="Calibri" w:eastAsia="Calibri" w:hAnsi="Calibri"/>
                <w:sz w:val="18"/>
                <w:szCs w:val="18"/>
              </w:rPr>
              <w:t xml:space="preserve">  mahalanobis distance — Mahalanobis distance to human for collagens (COL1, COL3, COL5) (</w:t>
            </w:r>
            <w:hyperlink w:history="1" r:id="rId3vrgp89ojm-nckhrf_pe5">
              <w:r>
                <w:rPr>
                  <w:rFonts w:ascii="Calibri" w:cs="Calibri" w:eastAsia="Calibri" w:hAnsi="Calibri"/>
                  <w:color w:val="1155CC"/>
                  <w:sz w:val="18"/>
                  <w:szCs w:val="18"/>
                  <w:u w:val="single"/>
                </w:rPr>
                <w:t xml:space="preserve">Oreff et al. 2021</w:t>
              </w:r>
            </w:hyperlink>
            <w:r>
              <w:rPr>
                <w:rFonts w:ascii="Calibri" w:cs="Calibri" w:eastAsia="Calibri" w:hAnsi="Calibri"/>
                <w:sz w:val="18"/>
                <w:szCs w:val="18"/>
              </w:rPr>
              <w:t xml:space="preserve">)</w:t>
            </w:r>
          </w:p>
        </w:tc>
      </w:tr>
      <w:tr>
        <w:tc>
          <w:tcPr>
            <w:tcW w:type="dxa" w:w="1700"/>
            <w:shd w:fill="F4F6F8" w:color="auto" w:val="clear"/>
            <w:tcMar>
              <w:top w:type="dxa" w:w="80"/>
              <w:left w:type="dxa" w:w="110"/>
              <w:bottom w:type="dxa" w:w="80"/>
              <w:right w:type="dxa" w:w="110"/>
            </w:tcMar>
          </w:tcPr>
          <w:p>
            <w:pPr>
              <w:spacing w:after="0"/>
            </w:pPr>
            <w:r>
              <w:rPr>
                <w:rFonts w:ascii="Calibri" w:cs="Calibri" w:eastAsia="Calibri" w:hAnsi="Calibri"/>
                <w:b/>
                <w:bCs/>
                <w:sz w:val="19"/>
                <w:szCs w:val="19"/>
              </w:rPr>
              <w:t xml:space="preserve">Veterinary</w:t>
            </w:r>
          </w:p>
        </w:tc>
        <w:tc>
          <w:tcPr>
            <w:tcW w:type="dxa" w:w="1500"/>
            <w:shd w:fill="F4F6F8" w:color="auto" w:val="clear"/>
            <w:tcMar>
              <w:top w:type="dxa" w:w="80"/>
              <w:left w:type="dxa" w:w="110"/>
              <w:bottom w:type="dxa" w:w="80"/>
              <w:right w:type="dxa" w:w="110"/>
            </w:tcMar>
          </w:tcPr>
          <w:p>
            <w:pPr>
              <w:spacing w:after="20"/>
            </w:pPr>
            <w:r>
              <w:rPr>
                <w:rFonts w:ascii="Calibri" w:cs="Calibri" w:eastAsia="Calibri" w:hAnsi="Calibri"/>
                <w:b/>
                <w:bCs/>
                <w:sz w:val="19"/>
                <w:szCs w:val="19"/>
              </w:rPr>
              <w:t xml:space="preserve">dog</w:t>
            </w:r>
          </w:p>
          <w:p>
            <w:pPr>
              <w:spacing w:after="20"/>
            </w:pPr>
            <w:r>
              <w:rPr>
                <w:rFonts w:ascii="Calibri" w:cs="Calibri" w:eastAsia="Calibri" w:hAnsi="Calibri"/>
                <w:color w:val="666666"/>
                <w:sz w:val="17"/>
                <w:szCs w:val="17"/>
              </w:rPr>
              <w:t xml:space="preserve">1 study</w:t>
            </w:r>
          </w:p>
          <w:p>
            <w:pPr>
              <w:spacing w:after="0"/>
            </w:pPr>
            <w:r>
              <w:rPr>
                <w:rFonts w:ascii="Calibri" w:cs="Calibri" w:eastAsia="Calibri" w:hAnsi="Calibri"/>
                <w:color w:val="666666"/>
                <w:sz w:val="16"/>
                <w:szCs w:val="16"/>
              </w:rPr>
              <w:t xml:space="preserve">1 partly supports</w:t>
            </w:r>
          </w:p>
        </w:tc>
        <w:tc>
          <w:tcPr>
            <w:tcW w:type="dxa" w:w="10240"/>
            <w:shd w:fill="F4F6F8" w:color="auto" w:val="clear"/>
            <w:tcMar>
              <w:top w:type="dxa" w:w="80"/>
              <w:left w:type="dxa" w:w="110"/>
              <w:bottom w:type="dxa" w:w="80"/>
              <w:right w:type="dxa" w:w="110"/>
            </w:tcMar>
          </w:tcPr>
          <w:p>
            <w:pPr>
              <w:spacing w:after="40"/>
            </w:pPr>
            <w:r>
              <w:rPr>
                <w:rFonts w:ascii="Calibri" w:cs="Calibri" w:eastAsia="Calibri" w:hAnsi="Calibri"/>
                <w:b/>
                <w:bCs/>
                <w:color w:val="7A5B00"/>
                <w:sz w:val="16"/>
                <w:szCs w:val="16"/>
              </w:rPr>
              <w:t xml:space="preserve">MIXED</w:t>
            </w:r>
          </w:p>
          <w:p>
            <w:pPr>
              <w:spacing w:after="60"/>
            </w:pPr>
            <w:r>
              <w:rPr>
                <w:rFonts w:ascii="Calibri" w:cs="Calibri" w:eastAsia="Calibri" w:hAnsi="Calibri"/>
                <w:sz w:val="18"/>
                <w:szCs w:val="18"/>
              </w:rPr>
              <w:t xml:space="preserve">Dog models recapitulated many human cancer transcriptomes, with robustness scores up to 85.05% (adult bladder) and several tumors ≥70% (pediatric glioma 79.88%, adult head &amp; neck 78.20%). However, suitability varied by tumor type and negative controls (ACC, LAML) scored low (adult ACC 31.10%).</w:t>
            </w:r>
          </w:p>
          <w:p>
            <w:pPr>
              <w:spacing w:after="50"/>
            </w:pPr>
            <w:r>
              <w:rPr>
                <w:rFonts w:ascii="Calibri" w:cs="Calibri" w:eastAsia="Calibri" w:hAnsi="Calibri"/>
                <w:b/>
                <w:bCs/>
                <w:color w:val="8A6D00"/>
                <w:sz w:val="17"/>
                <w:szCs w:val="17"/>
              </w:rPr>
              <w:t xml:space="preserve">Negative controls. </w:t>
            </w:r>
            <w:r>
              <w:rPr>
                <w:rFonts w:ascii="Calibri" w:cs="Calibri" w:eastAsia="Calibri" w:hAnsi="Calibri"/>
                <w:i/>
                <w:iCs/>
                <w:color w:val="8A6D00"/>
                <w:sz w:val="17"/>
                <w:szCs w:val="17"/>
              </w:rPr>
              <w:t xml:space="preserve">Negative controls reported: adult adrenocortical carcinoma 31.10%, pediatric adrenocortical carcinoma 33.56%, adult leukemia (LAML) 40.31%. These are designed to score low and are excluded from the reading above.</w:t>
            </w:r>
          </w:p>
          <w:p>
            <w:pPr>
              <w:spacing w:after="60"/>
            </w:pPr>
            <w:r>
              <w:rPr>
                <w:rFonts w:ascii="Calibri" w:cs="Calibri" w:eastAsia="Calibri" w:hAnsi="Calibri"/>
                <w:b/>
                <w:bCs/>
                <w:color w:val="555555"/>
                <w:sz w:val="17"/>
                <w:szCs w:val="17"/>
              </w:rPr>
              <w:t xml:space="preserve">What varies across the range. </w:t>
            </w:r>
            <w:r>
              <w:rPr>
                <w:rFonts w:ascii="Calibri" w:cs="Calibri" w:eastAsia="Calibri" w:hAnsi="Calibri"/>
                <w:color w:val="555555"/>
                <w:sz w:val="17"/>
                <w:szCs w:val="17"/>
              </w:rPr>
              <w:t xml:space="preserve">Scores vary across cancer types (adult vs pediatric and tumor lineage) and include deliberate negative-control cancers.</w:t>
            </w:r>
          </w:p>
          <w:p>
            <w:pPr>
              <w:spacing w:after="30"/>
            </w:pPr>
            <w:r>
              <w:rPr>
                <w:rFonts w:ascii="Calibri" w:cs="Calibri" w:eastAsia="Calibri" w:hAnsi="Calibri"/>
                <w:b/>
                <w:bCs/>
                <w:color w:val="666666"/>
                <w:sz w:val="16"/>
                <w:szCs w:val="16"/>
              </w:rPr>
              <w:t xml:space="preserve">Figures behind this row</w:t>
            </w:r>
          </w:p>
          <w:p>
            <w:pPr>
              <w:spacing w:after="70"/>
            </w:pPr>
            <w:r>
              <w:rPr>
                <w:rFonts w:ascii="Calibri" w:cs="Calibri" w:eastAsia="Calibri" w:hAnsi="Calibri"/>
                <w:b/>
                <w:bCs/>
                <w:sz w:val="19"/>
                <w:szCs w:val="19"/>
              </w:rPr>
              <w:t xml:space="preserve">0.0215–0.1007</w:t>
            </w:r>
            <w:r>
              <w:rPr>
                <w:rFonts w:ascii="Calibri" w:cs="Calibri" w:eastAsia="Calibri" w:hAnsi="Calibri"/>
                <w:sz w:val="18"/>
                <w:szCs w:val="18"/>
              </w:rPr>
              <w:t xml:space="preserve">  mean difference — mean difference in sample-sample correlation between diff cancer-same species group and same cancer-diff species group (</w:t>
            </w:r>
            <w:hyperlink w:history="1" r:id="rIdh3q8ecyhdgasrmzplm228">
              <w:r>
                <w:rPr>
                  <w:rFonts w:ascii="Calibri" w:cs="Calibri" w:eastAsia="Calibri" w:hAnsi="Calibri"/>
                  <w:color w:val="1155CC"/>
                  <w:sz w:val="18"/>
                  <w:szCs w:val="18"/>
                  <w:u w:val="single"/>
                </w:rPr>
                <w:t xml:space="preserve">Daluwatumulle et al. 2026</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78.2–85.05%</w:t>
            </w:r>
            <w:r>
              <w:rPr>
                <w:rFonts w:ascii="Calibri" w:cs="Calibri" w:eastAsia="Calibri" w:hAnsi="Calibri"/>
                <w:sz w:val="18"/>
                <w:szCs w:val="18"/>
              </w:rPr>
              <w:t xml:space="preserve">  score — model robustness score for adult bladder cancer (</w:t>
            </w:r>
            <w:hyperlink w:history="1" r:id="rIdddamjlgj6ip_6uxik-c0v">
              <w:r>
                <w:rPr>
                  <w:rFonts w:ascii="Calibri" w:cs="Calibri" w:eastAsia="Calibri" w:hAnsi="Calibri"/>
                  <w:color w:val="1155CC"/>
                  <w:sz w:val="18"/>
                  <w:szCs w:val="18"/>
                  <w:u w:val="single"/>
                </w:rPr>
                <w:t xml:space="preserve">Daluwatumulle et al. 2026</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72.95–79.88%</w:t>
            </w:r>
            <w:r>
              <w:rPr>
                <w:rFonts w:ascii="Calibri" w:cs="Calibri" w:eastAsia="Calibri" w:hAnsi="Calibri"/>
                <w:sz w:val="18"/>
                <w:szCs w:val="18"/>
              </w:rPr>
              <w:t xml:space="preserve">  score — model robustness score for pediatric glioma (</w:t>
            </w:r>
            <w:hyperlink w:history="1" r:id="rIdy80fiorxxvps-g95wgiqo">
              <w:r>
                <w:rPr>
                  <w:rFonts w:ascii="Calibri" w:cs="Calibri" w:eastAsia="Calibri" w:hAnsi="Calibri"/>
                  <w:color w:val="1155CC"/>
                  <w:sz w:val="18"/>
                  <w:szCs w:val="18"/>
                  <w:u w:val="single"/>
                </w:rPr>
                <w:t xml:space="preserve">Daluwatumulle et al. 2026</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72.1–76.85%</w:t>
            </w:r>
            <w:r>
              <w:rPr>
                <w:rFonts w:ascii="Calibri" w:cs="Calibri" w:eastAsia="Calibri" w:hAnsi="Calibri"/>
                <w:sz w:val="18"/>
                <w:szCs w:val="18"/>
              </w:rPr>
              <w:t xml:space="preserve">  score — model robustness score for adult melanoma (</w:t>
            </w:r>
            <w:hyperlink w:history="1" r:id="rIdeqi2ll0y-xmev4fardlne">
              <w:r>
                <w:rPr>
                  <w:rFonts w:ascii="Calibri" w:cs="Calibri" w:eastAsia="Calibri" w:hAnsi="Calibri"/>
                  <w:color w:val="1155CC"/>
                  <w:sz w:val="18"/>
                  <w:szCs w:val="18"/>
                  <w:u w:val="single"/>
                </w:rPr>
                <w:t xml:space="preserve">Daluwatumulle et al. 2026</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62.33–69.78%</w:t>
            </w:r>
            <w:r>
              <w:rPr>
                <w:rFonts w:ascii="Calibri" w:cs="Calibri" w:eastAsia="Calibri" w:hAnsi="Calibri"/>
                <w:sz w:val="18"/>
                <w:szCs w:val="18"/>
              </w:rPr>
              <w:t xml:space="preserve">  score — model robustness score for adult breast cancer (</w:t>
            </w:r>
            <w:hyperlink w:history="1" r:id="rIdw3qvqw5bu2r2kewhejrxj">
              <w:r>
                <w:rPr>
                  <w:rFonts w:ascii="Calibri" w:cs="Calibri" w:eastAsia="Calibri" w:hAnsi="Calibri"/>
                  <w:color w:val="1155CC"/>
                  <w:sz w:val="18"/>
                  <w:szCs w:val="18"/>
                  <w:u w:val="single"/>
                </w:rPr>
                <w:t xml:space="preserve">Daluwatumulle et al. 2026</w:t>
              </w:r>
            </w:hyperlink>
            <w:r>
              <w:rPr>
                <w:rFonts w:ascii="Calibri" w:cs="Calibri" w:eastAsia="Calibri" w:hAnsi="Calibri"/>
                <w:sz w:val="18"/>
                <w:szCs w:val="18"/>
              </w:rPr>
              <w:t xml:space="preserve">)</w:t>
            </w:r>
          </w:p>
          <w:p>
            <w:pPr>
              <w:spacing w:after="70"/>
            </w:pPr>
            <w:r>
              <w:rPr>
                <w:rFonts w:ascii="Calibri" w:cs="Calibri" w:eastAsia="Calibri" w:hAnsi="Calibri"/>
                <w:b/>
                <w:bCs/>
                <w:sz w:val="19"/>
                <w:szCs w:val="19"/>
              </w:rPr>
              <w:t xml:space="preserve">48.33–64.13%</w:t>
            </w:r>
            <w:r>
              <w:rPr>
                <w:rFonts w:ascii="Calibri" w:cs="Calibri" w:eastAsia="Calibri" w:hAnsi="Calibri"/>
                <w:sz w:val="18"/>
                <w:szCs w:val="18"/>
              </w:rPr>
              <w:t xml:space="preserve">  score — model robustness score for adult sarcoma (</w:t>
            </w:r>
            <w:hyperlink w:history="1" r:id="rIdwlyfyrv7wa_lfcntmzlsb">
              <w:r>
                <w:rPr>
                  <w:rFonts w:ascii="Calibri" w:cs="Calibri" w:eastAsia="Calibri" w:hAnsi="Calibri"/>
                  <w:color w:val="1155CC"/>
                  <w:sz w:val="18"/>
                  <w:szCs w:val="18"/>
                  <w:u w:val="single"/>
                </w:rPr>
                <w:t xml:space="preserve">Daluwatumulle et al. 2026</w:t>
              </w:r>
            </w:hyperlink>
            <w:r>
              <w:rPr>
                <w:rFonts w:ascii="Calibri" w:cs="Calibri" w:eastAsia="Calibri" w:hAnsi="Calibri"/>
                <w:sz w:val="18"/>
                <w:szCs w:val="18"/>
              </w:rPr>
              <w:t xml:space="preserve">)</w:t>
            </w:r>
          </w:p>
        </w:tc>
      </w:tr>
    </w:tbl>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sb7ccpllrogi8jcodgpf" Type="http://schemas.openxmlformats.org/officeDocument/2006/relationships/hyperlink" Target="https://rohitium.github.io/animal-model-concordance/" TargetMode="External"/><Relationship Id="rIdzkjc6p9kcaz-0qklbjoe6" Type="http://schemas.openxmlformats.org/officeDocument/2006/relationships/hyperlink" Target="https://pubmed.ncbi.nlm.nih.gov/16453316/" TargetMode="External"/><Relationship Id="rIdrvlrnozg6coxdykrk7iqv" Type="http://schemas.openxmlformats.org/officeDocument/2006/relationships/hyperlink" Target="https://pubmed.ncbi.nlm.nih.gov/16453316/" TargetMode="External"/><Relationship Id="rIddrzqgodbtbm5xtzor1rng" Type="http://schemas.openxmlformats.org/officeDocument/2006/relationships/hyperlink" Target="https://pubmed.ncbi.nlm.nih.gov/16453316/" TargetMode="External"/><Relationship Id="rIdgbra-jdum8bh6wqbv0hfu" Type="http://schemas.openxmlformats.org/officeDocument/2006/relationships/hyperlink" Target="https://pubmed.ncbi.nlm.nih.gov/16453316/" TargetMode="External"/><Relationship Id="rIdxlzzg2m8n4pjsxnlvjk0s" Type="http://schemas.openxmlformats.org/officeDocument/2006/relationships/hyperlink" Target="https://pubmed.ncbi.nlm.nih.gov/31307492/" TargetMode="External"/><Relationship Id="rIdiggg6sxdo0-k4d-tv0gec" Type="http://schemas.openxmlformats.org/officeDocument/2006/relationships/hyperlink" Target="https://pubmed.ncbi.nlm.nih.gov/32391273/" TargetMode="External"/><Relationship Id="rIdd8dkmbjbdbrgh5o3civwu" Type="http://schemas.openxmlformats.org/officeDocument/2006/relationships/hyperlink" Target="https://pubmed.ncbi.nlm.nih.gov/32391273/" TargetMode="External"/><Relationship Id="rIdrbbv7yerfayerjepzue_k" Type="http://schemas.openxmlformats.org/officeDocument/2006/relationships/hyperlink" Target="https://pubmed.ncbi.nlm.nih.gov/32391273/" TargetMode="External"/><Relationship Id="rIdultnw7bn3ftjl2rzgak1v" Type="http://schemas.openxmlformats.org/officeDocument/2006/relationships/hyperlink" Target="https://pubmed.ncbi.nlm.nih.gov/32391273/" TargetMode="External"/><Relationship Id="rId22ztklijqxdgynimukxlr" Type="http://schemas.openxmlformats.org/officeDocument/2006/relationships/hyperlink" Target="https://pubmed.ncbi.nlm.nih.gov/32391273/" TargetMode="External"/><Relationship Id="rIdrcooajttfmkzzpqciiei-" Type="http://schemas.openxmlformats.org/officeDocument/2006/relationships/hyperlink" Target="https://pubmed.ncbi.nlm.nih.gov/31307492/" TargetMode="External"/><Relationship Id="rIdawvrrdg-9rvyb1izt52co" Type="http://schemas.openxmlformats.org/officeDocument/2006/relationships/hyperlink" Target="https://pubmed.ncbi.nlm.nih.gov/17175568/" TargetMode="External"/><Relationship Id="rIdi2asb5rtxzjtww7xjdnpl" Type="http://schemas.openxmlformats.org/officeDocument/2006/relationships/hyperlink" Target="https://pubmed.ncbi.nlm.nih.gov/31694927/" TargetMode="External"/><Relationship Id="rId_aalqgifqtjjxnpstmvrm" Type="http://schemas.openxmlformats.org/officeDocument/2006/relationships/hyperlink" Target="https://pubmed.ncbi.nlm.nih.gov/28893587/" TargetMode="External"/><Relationship Id="rIdcu05cxffnzwgkr9m1prm-" Type="http://schemas.openxmlformats.org/officeDocument/2006/relationships/hyperlink" Target="https://pubmed.ncbi.nlm.nih.gov/29730448/" TargetMode="External"/><Relationship Id="rIdx8ffzuxjcbdugbdx-kmi3" Type="http://schemas.openxmlformats.org/officeDocument/2006/relationships/hyperlink" Target="https://pubmed.ncbi.nlm.nih.gov/31694927/" TargetMode="External"/><Relationship Id="rIddo2cwlldgy4rhihos-kh6" Type="http://schemas.openxmlformats.org/officeDocument/2006/relationships/hyperlink" Target="https://pubmed.ncbi.nlm.nih.gov/28893587/" TargetMode="External"/><Relationship Id="rIdofwi6yuiipiyi65ipl0ak" Type="http://schemas.openxmlformats.org/officeDocument/2006/relationships/hyperlink" Target="https://pubmed.ncbi.nlm.nih.gov/28893587/" TargetMode="External"/><Relationship Id="rId0jjqacfivd46amggg4vvj" Type="http://schemas.openxmlformats.org/officeDocument/2006/relationships/hyperlink" Target="https://pubmed.ncbi.nlm.nih.gov/28893587/" TargetMode="External"/><Relationship Id="rIdfwbwtpqcmh9hv8aynrumj" Type="http://schemas.openxmlformats.org/officeDocument/2006/relationships/hyperlink" Target="https://pubmed.ncbi.nlm.nih.gov/28893587/" TargetMode="External"/><Relationship Id="rIdgpbxdcu_uvbzrn-qpujtg" Type="http://schemas.openxmlformats.org/officeDocument/2006/relationships/hyperlink" Target="https://pubmed.ncbi.nlm.nih.gov/28893587/" TargetMode="External"/><Relationship Id="rIdeie2alxmgub673f5cg4mp" Type="http://schemas.openxmlformats.org/officeDocument/2006/relationships/hyperlink" Target="https://pubmed.ncbi.nlm.nih.gov/29730448/" TargetMode="External"/><Relationship Id="rIdvd2ghzxuqybdwgv35v7uh" Type="http://schemas.openxmlformats.org/officeDocument/2006/relationships/hyperlink" Target="https://pubmed.ncbi.nlm.nih.gov/26753942/" TargetMode="External"/><Relationship Id="rIdzyg35egilvqn8a3gv8nfa" Type="http://schemas.openxmlformats.org/officeDocument/2006/relationships/hyperlink" Target="https://pubmed.ncbi.nlm.nih.gov/28893587/" TargetMode="External"/><Relationship Id="rIdoxskxbk3wdzq5pck1xxtg" Type="http://schemas.openxmlformats.org/officeDocument/2006/relationships/hyperlink" Target="https://pubmed.ncbi.nlm.nih.gov/29730448/" TargetMode="External"/><Relationship Id="rIdlr8mfaciifzwihb2aeabo" Type="http://schemas.openxmlformats.org/officeDocument/2006/relationships/hyperlink" Target="https://pubmed.ncbi.nlm.nih.gov/31694927/" TargetMode="External"/><Relationship Id="rIdujx4msahox5o11llqlwzp" Type="http://schemas.openxmlformats.org/officeDocument/2006/relationships/hyperlink" Target="https://pubmed.ncbi.nlm.nih.gov/32868897/" TargetMode="External"/><Relationship Id="rIdtjhfxy3kr7akuf3nlny3h" Type="http://schemas.openxmlformats.org/officeDocument/2006/relationships/hyperlink" Target="https://pubmed.ncbi.nlm.nih.gov/32868897/" TargetMode="External"/><Relationship Id="rIdjvgjsq9bprshw6_dlein6" Type="http://schemas.openxmlformats.org/officeDocument/2006/relationships/hyperlink" Target="https://pubmed.ncbi.nlm.nih.gov/32868897/" TargetMode="External"/><Relationship Id="rIdf3jm-cliwwhlsurt-fb6w" Type="http://schemas.openxmlformats.org/officeDocument/2006/relationships/hyperlink" Target="https://pubmed.ncbi.nlm.nih.gov/32868897/" TargetMode="External"/><Relationship Id="rId2m9ijjtktrtjcqlfwquhc" Type="http://schemas.openxmlformats.org/officeDocument/2006/relationships/hyperlink" Target="https://pubmed.ncbi.nlm.nih.gov/29730448/" TargetMode="External"/><Relationship Id="rIdheibauehycq3pkqoyxb5d" Type="http://schemas.openxmlformats.org/officeDocument/2006/relationships/hyperlink" Target="https://pubmed.ncbi.nlm.nih.gov/32868897/" TargetMode="External"/><Relationship Id="rIdsl6yinzm5qciuxpkwv-y1" Type="http://schemas.openxmlformats.org/officeDocument/2006/relationships/hyperlink" Target="https://pubmed.ncbi.nlm.nih.gov/32868897/" TargetMode="External"/><Relationship Id="rIdodvuc-nc3gnzoxeyuxoxh" Type="http://schemas.openxmlformats.org/officeDocument/2006/relationships/hyperlink" Target="https://pubmed.ncbi.nlm.nih.gov/32868897/" TargetMode="External"/><Relationship Id="rIdrdk4uapmi-zll8lvu7ibd" Type="http://schemas.openxmlformats.org/officeDocument/2006/relationships/hyperlink" Target="https://pubmed.ncbi.nlm.nih.gov/32868897/" TargetMode="External"/><Relationship Id="rId-ds69gwup2frlolf5xe5n" Type="http://schemas.openxmlformats.org/officeDocument/2006/relationships/hyperlink" Target="https://pubmed.ncbi.nlm.nih.gov/29730448/" TargetMode="External"/><Relationship Id="rIdho9lkn-vq2cbqedndnd6l" Type="http://schemas.openxmlformats.org/officeDocument/2006/relationships/hyperlink" Target="https://pubmed.ncbi.nlm.nih.gov/29730448/" TargetMode="External"/><Relationship Id="rIdntmf6tipidlulhvwtrfoe" Type="http://schemas.openxmlformats.org/officeDocument/2006/relationships/hyperlink" Target="https://pubmed.ncbi.nlm.nih.gov/29730448/" TargetMode="External"/><Relationship Id="rId2-hcb3dh4jkxgr5wgtsgy" Type="http://schemas.openxmlformats.org/officeDocument/2006/relationships/hyperlink" Target="https://pubmed.ncbi.nlm.nih.gov/26753942/" TargetMode="External"/><Relationship Id="rId6lehwgjrsp5xpgdhrp0rc" Type="http://schemas.openxmlformats.org/officeDocument/2006/relationships/hyperlink" Target="https://pubmed.ncbi.nlm.nih.gov/18468556/" TargetMode="External"/><Relationship Id="rIdvhhjwou2ep5rn1bblbm_y" Type="http://schemas.openxmlformats.org/officeDocument/2006/relationships/hyperlink" Target="https://pubmed.ncbi.nlm.nih.gov/18468556/" TargetMode="External"/><Relationship Id="rIdpfzyppzbobov4a_c5ohem" Type="http://schemas.openxmlformats.org/officeDocument/2006/relationships/hyperlink" Target="https://pubmed.ncbi.nlm.nih.gov/18468556/" TargetMode="External"/><Relationship Id="rIdv9jhuducnzxly_vwmcihw" Type="http://schemas.openxmlformats.org/officeDocument/2006/relationships/hyperlink" Target="https://pubmed.ncbi.nlm.nih.gov/18468556/" TargetMode="External"/><Relationship Id="rId_afjic_8avwysypfpqavn" Type="http://schemas.openxmlformats.org/officeDocument/2006/relationships/hyperlink" Target="https://pubmed.ncbi.nlm.nih.gov/28422076/" TargetMode="External"/><Relationship Id="rIdld6iaztzagwlsdayv_gli" Type="http://schemas.openxmlformats.org/officeDocument/2006/relationships/hyperlink" Target="https://pubmed.ncbi.nlm.nih.gov/28422076/" TargetMode="External"/><Relationship Id="rIdmqxgj6wao8i3ttad03osn" Type="http://schemas.openxmlformats.org/officeDocument/2006/relationships/hyperlink" Target="https://pubmed.ncbi.nlm.nih.gov/28893587/" TargetMode="External"/><Relationship Id="rIdjozdafvpil7mlz7yxttzz" Type="http://schemas.openxmlformats.org/officeDocument/2006/relationships/hyperlink" Target="https://pubmed.ncbi.nlm.nih.gov/28893587/" TargetMode="External"/><Relationship Id="rIdm0q-jhi4f6crg5yuq3ukj" Type="http://schemas.openxmlformats.org/officeDocument/2006/relationships/hyperlink" Target="https://pubmed.ncbi.nlm.nih.gov/28893587/" TargetMode="External"/><Relationship Id="rIddmr9qkdwism98fe8rvtxa" Type="http://schemas.openxmlformats.org/officeDocument/2006/relationships/hyperlink" Target="https://pubmed.ncbi.nlm.nih.gov/28893587/" TargetMode="External"/><Relationship Id="rId4xmmhv9ivkhlgrtlkeok1" Type="http://schemas.openxmlformats.org/officeDocument/2006/relationships/hyperlink" Target="https://pubmed.ncbi.nlm.nih.gov/28893587/" TargetMode="External"/><Relationship Id="rIdlkf8tjdnnh91gh75ownmo" Type="http://schemas.openxmlformats.org/officeDocument/2006/relationships/hyperlink" Target="https://pubmed.ncbi.nlm.nih.gov/28893587/" TargetMode="External"/><Relationship Id="rIdii99kkhti4gsgwhbizoch" Type="http://schemas.openxmlformats.org/officeDocument/2006/relationships/hyperlink" Target="https://pubmed.ncbi.nlm.nih.gov/28903488/" TargetMode="External"/><Relationship Id="rIdsfljzju35scdzt2kjzkei" Type="http://schemas.openxmlformats.org/officeDocument/2006/relationships/hyperlink" Target="https://pubmed.ncbi.nlm.nih.gov/30726989/" TargetMode="External"/><Relationship Id="rId4r7nomqbsb_tc67v3owo3" Type="http://schemas.openxmlformats.org/officeDocument/2006/relationships/hyperlink" Target="https://pubmed.ncbi.nlm.nih.gov/30726989/" TargetMode="External"/><Relationship Id="rId4s1ycvmmlqx1tkp3tzmnx" Type="http://schemas.openxmlformats.org/officeDocument/2006/relationships/hyperlink" Target="https://pubmed.ncbi.nlm.nih.gov/28903488/" TargetMode="External"/><Relationship Id="rIdpadgmmhfvwpjhygpttzo4" Type="http://schemas.openxmlformats.org/officeDocument/2006/relationships/hyperlink" Target="https://pubmed.ncbi.nlm.nih.gov/38852684/" TargetMode="External"/><Relationship Id="rIdewe2g5kenvzbjeov0grc7" Type="http://schemas.openxmlformats.org/officeDocument/2006/relationships/hyperlink" Target="https://pubmed.ncbi.nlm.nih.gov/35148401/" TargetMode="External"/><Relationship Id="rIdyfaehkvlfxcrsaxwxsxbx" Type="http://schemas.openxmlformats.org/officeDocument/2006/relationships/hyperlink" Target="https://pubmed.ncbi.nlm.nih.gov/30726989/" TargetMode="External"/><Relationship Id="rIdszgufz86xjbenprwgnu2i" Type="http://schemas.openxmlformats.org/officeDocument/2006/relationships/hyperlink" Target="https://pubmed.ncbi.nlm.nih.gov/30726989/" TargetMode="External"/><Relationship Id="rId5yrlwm68h99eieew6jjbv" Type="http://schemas.openxmlformats.org/officeDocument/2006/relationships/hyperlink" Target="https://pubmed.ncbi.nlm.nih.gov/38852684/" TargetMode="External"/><Relationship Id="rIdcpiuigiv4-pwhs3h3jwll" Type="http://schemas.openxmlformats.org/officeDocument/2006/relationships/hyperlink" Target="https://pubmed.ncbi.nlm.nih.gov/38852684/" TargetMode="External"/><Relationship Id="rIdq0pen_hjrzptfr5v2mvon" Type="http://schemas.openxmlformats.org/officeDocument/2006/relationships/hyperlink" Target="https://pubmed.ncbi.nlm.nih.gov/38852684/" TargetMode="External"/><Relationship Id="rIdeagnphalypoezoc6fpk6g" Type="http://schemas.openxmlformats.org/officeDocument/2006/relationships/hyperlink" Target="https://pubmed.ncbi.nlm.nih.gov/38852684/" TargetMode="External"/><Relationship Id="rIdhw2uh9jvj1-rodo-ldujv" Type="http://schemas.openxmlformats.org/officeDocument/2006/relationships/hyperlink" Target="https://pubmed.ncbi.nlm.nih.gov/30726989/" TargetMode="External"/><Relationship Id="rIdvqsavv0dhp3gjzxmdplq9" Type="http://schemas.openxmlformats.org/officeDocument/2006/relationships/hyperlink" Target="https://pubmed.ncbi.nlm.nih.gov/30726989/" TargetMode="External"/><Relationship Id="rIdhgnautx77ogmabyutfsbl" Type="http://schemas.openxmlformats.org/officeDocument/2006/relationships/hyperlink" Target="https://pubmed.ncbi.nlm.nih.gov/30726989/" TargetMode="External"/><Relationship Id="rIdeq9mkphbtsdyfgzdsv6zc" Type="http://schemas.openxmlformats.org/officeDocument/2006/relationships/hyperlink" Target="https://pubmed.ncbi.nlm.nih.gov/30726989/" TargetMode="External"/><Relationship Id="rIdkktwghwi8bywrgtqv4qki" Type="http://schemas.openxmlformats.org/officeDocument/2006/relationships/hyperlink" Target="https://pubmed.ncbi.nlm.nih.gov/30726989/" TargetMode="External"/><Relationship Id="rIdr_on78fikmphl24avkbil" Type="http://schemas.openxmlformats.org/officeDocument/2006/relationships/hyperlink" Target="https://pubmed.ncbi.nlm.nih.gov/23401516/" TargetMode="External"/><Relationship Id="rIdysc-5rwwgdga9uxtswmzp" Type="http://schemas.openxmlformats.org/officeDocument/2006/relationships/hyperlink" Target="https://pubmed.ncbi.nlm.nih.gov/25092317/" TargetMode="External"/><Relationship Id="rIdhtnmlhb6a9ibedu1-o5eh" Type="http://schemas.openxmlformats.org/officeDocument/2006/relationships/hyperlink" Target="https://pubmed.ncbi.nlm.nih.gov/23401516/" TargetMode="External"/><Relationship Id="rIddz4nv9nxqgasafy7x9sle" Type="http://schemas.openxmlformats.org/officeDocument/2006/relationships/hyperlink" Target="https://pubmed.ncbi.nlm.nih.gov/25092317/" TargetMode="External"/><Relationship Id="rIdrr34mx9ev72zjfenl_izd" Type="http://schemas.openxmlformats.org/officeDocument/2006/relationships/hyperlink" Target="https://pubmed.ncbi.nlm.nih.gov/25092317/" TargetMode="External"/><Relationship Id="rIdz1gljce95m0tizrzvol6y" Type="http://schemas.openxmlformats.org/officeDocument/2006/relationships/hyperlink" Target="https://pubmed.ncbi.nlm.nih.gov/25092317/" TargetMode="External"/><Relationship Id="rIdd4pxvocyjpy5zc-qhpdi4" Type="http://schemas.openxmlformats.org/officeDocument/2006/relationships/hyperlink" Target="https://pubmed.ncbi.nlm.nih.gov/25092317/" TargetMode="External"/><Relationship Id="rIdr8zpzirpmax3jk9bhdgmq" Type="http://schemas.openxmlformats.org/officeDocument/2006/relationships/hyperlink" Target="https://pubmed.ncbi.nlm.nih.gov/40849367/" TargetMode="External"/><Relationship Id="rIdxzjgi1439_chhbtgyg49e" Type="http://schemas.openxmlformats.org/officeDocument/2006/relationships/hyperlink" Target="https://pubmed.ncbi.nlm.nih.gov/32127577/" TargetMode="External"/><Relationship Id="rIdwdla4yubga8e1dib0q4kc" Type="http://schemas.openxmlformats.org/officeDocument/2006/relationships/hyperlink" Target="https://pubmed.ncbi.nlm.nih.gov/32127577/" TargetMode="External"/><Relationship Id="rIdxpahnepqhnlw5vlvdi6lt" Type="http://schemas.openxmlformats.org/officeDocument/2006/relationships/hyperlink" Target="https://pubmed.ncbi.nlm.nih.gov/34127759/" TargetMode="External"/><Relationship Id="rIdctyomfbt3-a2h1fb988r3" Type="http://schemas.openxmlformats.org/officeDocument/2006/relationships/hyperlink" Target="https://pubmed.ncbi.nlm.nih.gov/34127759/" TargetMode="External"/><Relationship Id="rIduqnvpeirgy1gasjfbbvha" Type="http://schemas.openxmlformats.org/officeDocument/2006/relationships/hyperlink" Target="https://pubmed.ncbi.nlm.nih.gov/25677548/" TargetMode="External"/><Relationship Id="rIdmiswj-ngnos2wkwyzjwfi" Type="http://schemas.openxmlformats.org/officeDocument/2006/relationships/hyperlink" Target="https://pubmed.ncbi.nlm.nih.gov/36730203/" TargetMode="External"/><Relationship Id="rIddk3rxw1cvubd6ceb7jvgc" Type="http://schemas.openxmlformats.org/officeDocument/2006/relationships/hyperlink" Target="https://pubmed.ncbi.nlm.nih.gov/36730203/" TargetMode="External"/><Relationship Id="rIdhnwigo2lglmd1pml0w0ng" Type="http://schemas.openxmlformats.org/officeDocument/2006/relationships/hyperlink" Target="https://pubmed.ncbi.nlm.nih.gov/36730203/" TargetMode="External"/><Relationship Id="rIdr_2de7ntkhzzhismhz5cq" Type="http://schemas.openxmlformats.org/officeDocument/2006/relationships/hyperlink" Target="https://pubmed.ncbi.nlm.nih.gov/36730203/" TargetMode="External"/><Relationship Id="rIdp0vnajqbz5rka-ry6stlh" Type="http://schemas.openxmlformats.org/officeDocument/2006/relationships/hyperlink" Target="https://pubmed.ncbi.nlm.nih.gov/34127759/" TargetMode="External"/><Relationship Id="rId31851pvhik6jg7akqx1lh" Type="http://schemas.openxmlformats.org/officeDocument/2006/relationships/hyperlink" Target="https://pubmed.ncbi.nlm.nih.gov/34127759/" TargetMode="External"/><Relationship Id="rIdkvuabdxcth9bfokcrtzdl" Type="http://schemas.openxmlformats.org/officeDocument/2006/relationships/hyperlink" Target="https://pubmed.ncbi.nlm.nih.gov/34127759/" TargetMode="External"/><Relationship Id="rIdgmnq83_ro9zkzsooo4495" Type="http://schemas.openxmlformats.org/officeDocument/2006/relationships/hyperlink" Target="https://pubmed.ncbi.nlm.nih.gov/34127759/" TargetMode="External"/><Relationship Id="rIdkeegewocmgpf5g_fvhh46" Type="http://schemas.openxmlformats.org/officeDocument/2006/relationships/hyperlink" Target="https://pubmed.ncbi.nlm.nih.gov/34127759/" TargetMode="External"/><Relationship Id="rIdcfpqicmt_dkm2cjf3ibtx" Type="http://schemas.openxmlformats.org/officeDocument/2006/relationships/hyperlink" Target="https://pubmed.ncbi.nlm.nih.gov/34127759/" TargetMode="External"/><Relationship Id="rIddta5ityfcmpdtoatn3dlw" Type="http://schemas.openxmlformats.org/officeDocument/2006/relationships/hyperlink" Target="https://pubmed.ncbi.nlm.nih.gov/32127577/" TargetMode="External"/><Relationship Id="rIdujfdnvlkw7-cs3nkyzyil" Type="http://schemas.openxmlformats.org/officeDocument/2006/relationships/hyperlink" Target="https://pubmed.ncbi.nlm.nih.gov/32127577/" TargetMode="External"/><Relationship Id="rIdoepnjwugujutbhtwqpnaj" Type="http://schemas.openxmlformats.org/officeDocument/2006/relationships/hyperlink" Target="https://pubmed.ncbi.nlm.nih.gov/32127577/" TargetMode="External"/><Relationship Id="rIddahwsgzmp-cldxsarg3cj" Type="http://schemas.openxmlformats.org/officeDocument/2006/relationships/hyperlink" Target="https://pubmed.ncbi.nlm.nih.gov/32127577/" TargetMode="External"/><Relationship Id="rIdzv2-ugomotxi9q75jr9co" Type="http://schemas.openxmlformats.org/officeDocument/2006/relationships/hyperlink" Target="https://pubmed.ncbi.nlm.nih.gov/32127577/" TargetMode="External"/><Relationship Id="rIdrwipiwi3lakxbbw7v8zud" Type="http://schemas.openxmlformats.org/officeDocument/2006/relationships/hyperlink" Target="https://pubmed.ncbi.nlm.nih.gov/32127577/" TargetMode="External"/><Relationship Id="rIdtysq7i5jyzinvc7yklrlh" Type="http://schemas.openxmlformats.org/officeDocument/2006/relationships/hyperlink" Target="https://pubmed.ncbi.nlm.nih.gov/32127577/" TargetMode="External"/><Relationship Id="rId1foxjkouwnd0s2symxmxy" Type="http://schemas.openxmlformats.org/officeDocument/2006/relationships/hyperlink" Target="https://pubmed.ncbi.nlm.nih.gov/32127577/" TargetMode="External"/><Relationship Id="rIdo4dhgq8yvlat1_151ds_k" Type="http://schemas.openxmlformats.org/officeDocument/2006/relationships/hyperlink" Target="https://pubmed.ncbi.nlm.nih.gov/32127577/" TargetMode="External"/><Relationship Id="rId9a6ruor8cpasthoncczpy" Type="http://schemas.openxmlformats.org/officeDocument/2006/relationships/hyperlink" Target="https://pubmed.ncbi.nlm.nih.gov/32127577/" TargetMode="External"/><Relationship Id="rIdu2t23mj_hedcgvy49e_l2" Type="http://schemas.openxmlformats.org/officeDocument/2006/relationships/hyperlink" Target="https://pubmed.ncbi.nlm.nih.gov/32127577/" TargetMode="External"/><Relationship Id="rId4rovtsgnoxxbepa1e0cb3" Type="http://schemas.openxmlformats.org/officeDocument/2006/relationships/hyperlink" Target="https://pubmed.ncbi.nlm.nih.gov/32127577/" TargetMode="External"/><Relationship Id="rIdhoql5qos_-jaxdnhal1pf" Type="http://schemas.openxmlformats.org/officeDocument/2006/relationships/hyperlink" Target="https://pubmed.ncbi.nlm.nih.gov/34127759/" TargetMode="External"/><Relationship Id="rId5cp_7k_cqlwyzclqb_z9x" Type="http://schemas.openxmlformats.org/officeDocument/2006/relationships/hyperlink" Target="https://pubmed.ncbi.nlm.nih.gov/34127759/" TargetMode="External"/><Relationship Id="rId7dtpfysbqp9d97zen9rvk" Type="http://schemas.openxmlformats.org/officeDocument/2006/relationships/hyperlink" Target="https://pubmed.ncbi.nlm.nih.gov/34127759/" TargetMode="External"/><Relationship Id="rIdxkard8upsiyan7j9onfow" Type="http://schemas.openxmlformats.org/officeDocument/2006/relationships/hyperlink" Target="https://pubmed.ncbi.nlm.nih.gov/34127759/" TargetMode="External"/><Relationship Id="rIdbjud9vvql8fw7b2bg6ixd" Type="http://schemas.openxmlformats.org/officeDocument/2006/relationships/hyperlink" Target="https://pubmed.ncbi.nlm.nih.gov/34127759/" TargetMode="External"/><Relationship Id="rId3vrgp89ojm-nckhrf_pe5" Type="http://schemas.openxmlformats.org/officeDocument/2006/relationships/hyperlink" Target="https://pubmed.ncbi.nlm.nih.gov/34127759/" TargetMode="External"/><Relationship Id="rIdh3q8ecyhdgasrmzplm228" Type="http://schemas.openxmlformats.org/officeDocument/2006/relationships/hyperlink" Target="https://pubmed.ncbi.nlm.nih.gov/42245789/" TargetMode="External"/><Relationship Id="rIdddamjlgj6ip_6uxik-c0v" Type="http://schemas.openxmlformats.org/officeDocument/2006/relationships/hyperlink" Target="https://pubmed.ncbi.nlm.nih.gov/42245789/" TargetMode="External"/><Relationship Id="rIdy80fiorxxvps-g95wgiqo" Type="http://schemas.openxmlformats.org/officeDocument/2006/relationships/hyperlink" Target="https://pubmed.ncbi.nlm.nih.gov/42245789/" TargetMode="External"/><Relationship Id="rIdeqi2ll0y-xmev4fardlne" Type="http://schemas.openxmlformats.org/officeDocument/2006/relationships/hyperlink" Target="https://pubmed.ncbi.nlm.nih.gov/42245789/" TargetMode="External"/><Relationship Id="rIdw3qvqw5bu2r2kewhejrxj" Type="http://schemas.openxmlformats.org/officeDocument/2006/relationships/hyperlink" Target="https://pubmed.ncbi.nlm.nih.gov/42245789/" TargetMode="External"/><Relationship Id="rIdwlyfyrv7wa_lfcntmzlsb" Type="http://schemas.openxmlformats.org/officeDocument/2006/relationships/hyperlink" Target="https://pubmed.ncbi.nlm.nih.gov/42245789/" TargetMode="External"/><Relationship Id="rId1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2026-08-23T05:18:53.726Z</dcterms:created>
  <dcterms:modified xsi:type="dcterms:W3CDTF">2026-08-23T05:18:53.727Z</dcterms:modified>
</cp:coreProperties>
</file>

<file path=docProps/custom.xml><?xml version="1.0" encoding="utf-8"?>
<Properties xmlns="http://schemas.openxmlformats.org/officeDocument/2006/custom-properties" xmlns:vt="http://schemas.openxmlformats.org/officeDocument/2006/docPropsVTypes"/>
</file>