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sz w:val="30"/>
          <w:szCs w:val="30"/>
        </w:rPr>
        <w:t xml:space="preserve">How well do animal models predict human clinical outcomes?</w:t>
      </w:r>
    </w:p>
    <w:p>
      <w:pPr>
        <w:spacing w:after="80"/>
      </w:pPr>
      <w:r>
        <w:rPr>
          <w:rFonts w:ascii="Calibri" w:cs="Calibri" w:eastAsia="Calibri" w:hAnsi="Calibri"/>
          <w:color w:val="444444"/>
          <w:sz w:val="18"/>
          <w:szCs w:val="18"/>
        </w:rPr>
        <w:t xml:space="preserve">Evidence by assessment and model organism. Each figure is reported as the study reported it, in its own units. Nothing is averaged across studies; a range spans only figures measuring the same thing. Grouped labels such as “rodent” are kept as reported and never expanded into member species. Each row opens with a synthesis of what the evidence shows; the underlying figures follow. Study names link to PubMed.</w:t>
      </w:r>
    </w:p>
    <w:p>
      <w:pPr>
        <w:spacing w:after="200"/>
      </w:pPr>
      <w:r>
        <w:rPr>
          <w:rFonts w:ascii="Calibri" w:cs="Calibri" w:eastAsia="Calibri" w:hAnsi="Calibri"/>
          <w:color w:val="444444"/>
          <w:sz w:val="18"/>
          <w:szCs w:val="18"/>
        </w:rPr>
        <w:t xml:space="preserve">Source: </w:t>
      </w:r>
      <w:hyperlink w:history="1" r:id="rIdjlri0dfxy_7sgfw0lsdba">
        <w:r>
          <w:rPr>
            <w:rFonts w:ascii="Calibri" w:cs="Calibri" w:eastAsia="Calibri" w:hAnsi="Calibri"/>
            <w:color w:val="1155CC"/>
            <w:sz w:val="18"/>
            <w:szCs w:val="18"/>
            <w:u w:val="single"/>
          </w:rPr>
          <w:t xml:space="preserve">rohitium.github.io/animal-model-concordance</w:t>
        </w:r>
      </w:hyperlink>
      <w:r>
        <w:rPr>
          <w:rFonts w:ascii="Calibri" w:cs="Calibri" w:eastAsia="Calibri" w:hAnsi="Calibri"/>
          <w:color w:val="444444"/>
          <w:sz w:val="18"/>
          <w:szCs w:val="18"/>
        </w:rPr>
        <w:t xml:space="preserve">  ·  Not peer reviewed. Screening and extraction were model-assisted and have not been verified by a second reader. Verdict reliability: two independent raters agree on 73% of studies (Cohen’s kappa 0.58).</w:t>
      </w:r>
    </w:p>
    <w:tbl>
      <w:tblPr>
        <w:tblW w:type="dxa" w:w="13440"/>
        <w:tblBorders>
          <w:top w:val="single" w:color="C9CFD6" w:sz="2"/>
          <w:left w:val="single" w:color="C9CFD6" w:sz="2"/>
          <w:bottom w:val="single" w:color="C9CFD6" w:sz="2"/>
          <w:right w:val="single" w:color="C9CFD6" w:sz="2"/>
          <w:insideH w:val="single" w:color="C9CFD6" w:sz="2"/>
          <w:insideV w:val="single" w:color="C9CFD6" w:sz="2"/>
        </w:tblBorders>
      </w:tblPr>
      <w:tblGrid>
        <w:gridCol w:w="1700"/>
        <w:gridCol w:w="1500"/>
        <w:gridCol w:w="10240"/>
      </w:tblGrid>
      <w:tr>
        <w:trPr>
          <w:tblHeader/>
        </w:trPr>
        <w:tc>
          <w:tcPr>
            <w:tcW w:type="dxa" w:w="170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Assessment</w:t>
            </w:r>
          </w:p>
        </w:tc>
        <w:tc>
          <w:tcPr>
            <w:tcW w:type="dxa" w:w="150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Model organism</w:t>
            </w:r>
          </w:p>
        </w:tc>
        <w:tc>
          <w:tcPr>
            <w:tcW w:type="dxa" w:w="1024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Evidence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rodent</w:t>
            </w:r>
          </w:p>
          <w:p>
            <w:pPr>
              <w:spacing w:after="20"/>
            </w:pPr>
            <w:r>
              <w:rPr>
                <w:rFonts w:ascii="Calibri" w:cs="Calibri" w:eastAsia="Calibri" w:hAnsi="Calibri"/>
                <w:color w:val="666666"/>
                <w:sz w:val="17"/>
                <w:szCs w:val="17"/>
              </w:rPr>
              <w:t xml:space="preserve">3 studies</w:t>
            </w:r>
          </w:p>
          <w:p>
            <w:pPr>
              <w:spacing w:after="0"/>
            </w:pPr>
            <w:r>
              <w:rPr>
                <w:rFonts w:ascii="Calibri" w:cs="Calibri" w:eastAsia="Calibri" w:hAnsi="Calibri"/>
                <w:color w:val="666666"/>
                <w:sz w:val="16"/>
                <w:szCs w:val="16"/>
              </w:rPr>
              <w:t xml:space="preserve">2 does not support</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Rodent efficacy findings did not reliably predict clinical efficacy: O'Collins et al. 2006 found similar mean neuroprotection in focal ischemia for drugs tested only in animals (24.4%) and drugs used clinically (31.3%, p&gt;0.05), and translation rates ranged 0–100% (Ritskes‑Hoitinga et al. 2022). Many preclinical studies (82%) reported positive findings, suggesting publication/selection bias.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Translation rates came from heterogeneous studies and outcomes across reviews and were affected by publication bias and selective reporting.</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3–70%</w:t>
            </w:r>
            <w:r>
              <w:rPr>
                <w:rFonts w:ascii="Calibri" w:cs="Calibri" w:eastAsia="Calibri" w:hAnsi="Calibri"/>
                <w:sz w:val="18"/>
                <w:szCs w:val="18"/>
              </w:rPr>
              <w:t xml:space="preserve">  proportion — neuroprotective efficacy in global ischemia models (superior to control) (</w:t>
            </w:r>
            <w:hyperlink w:history="1" r:id="rId2d5hq9yc_8a4jycnwbua_">
              <w:r>
                <w:rPr>
                  <w:rFonts w:ascii="Calibri" w:cs="Calibri" w:eastAsia="Calibri" w:hAnsi="Calibri"/>
                  <w:color w:val="1155CC"/>
                  <w:sz w:val="18"/>
                  <w:szCs w:val="18"/>
                  <w:u w:val="single"/>
                </w:rPr>
                <w:t xml:space="preserve">O'Collins et al. 2006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4–62%</w:t>
            </w:r>
            <w:r>
              <w:rPr>
                <w:rFonts w:ascii="Calibri" w:cs="Calibri" w:eastAsia="Calibri" w:hAnsi="Calibri"/>
                <w:sz w:val="18"/>
                <w:szCs w:val="18"/>
              </w:rPr>
              <w:t xml:space="preserve">  proportion — neuroprotective efficacy in focal ischemia experimental results (superior to control) (</w:t>
            </w:r>
            <w:hyperlink w:history="1" r:id="rIdnjdsjkdq2l5poxtl_gyl3">
              <w:r>
                <w:rPr>
                  <w:rFonts w:ascii="Calibri" w:cs="Calibri" w:eastAsia="Calibri" w:hAnsi="Calibri"/>
                  <w:color w:val="1155CC"/>
                  <w:sz w:val="18"/>
                  <w:szCs w:val="18"/>
                  <w:u w:val="single"/>
                </w:rPr>
                <w:t xml:space="preserve">O'Collins et al. 2006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24.4–31.3%</w:t>
            </w:r>
            <w:r>
              <w:rPr>
                <w:rFonts w:ascii="Calibri" w:cs="Calibri" w:eastAsia="Calibri" w:hAnsi="Calibri"/>
                <w:sz w:val="18"/>
                <w:szCs w:val="18"/>
              </w:rPr>
              <w:t xml:space="preserve">  mean, n=351 experimental agents — improvement in focal models for drugs tested only in animal models vs. drugs tested clinically (</w:t>
            </w:r>
            <w:hyperlink w:history="1" r:id="rIdw6b-c4zh6gdegigkxjlee">
              <w:r>
                <w:rPr>
                  <w:rFonts w:ascii="Calibri" w:cs="Calibri" w:eastAsia="Calibri" w:hAnsi="Calibri"/>
                  <w:color w:val="1155CC"/>
                  <w:sz w:val="18"/>
                  <w:szCs w:val="18"/>
                  <w:u w:val="single"/>
                </w:rPr>
                <w:t xml:space="preserve">O'Collins et al. 2006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74%</w:t>
            </w:r>
            <w:r>
              <w:rPr>
                <w:rFonts w:ascii="Calibri" w:cs="Calibri" w:eastAsia="Calibri" w:hAnsi="Calibri"/>
                <w:sz w:val="18"/>
                <w:szCs w:val="18"/>
              </w:rPr>
              <w:t xml:space="preserve">  proportion — neuroprotective efficacy in culture models (superior to control) (</w:t>
            </w:r>
            <w:hyperlink w:history="1" r:id="rIddzyag8yyvytys4m2zckqf">
              <w:r>
                <w:rPr>
                  <w:rFonts w:ascii="Calibri" w:cs="Calibri" w:eastAsia="Calibri" w:hAnsi="Calibri"/>
                  <w:color w:val="1155CC"/>
                  <w:sz w:val="18"/>
                  <w:szCs w:val="18"/>
                  <w:u w:val="single"/>
                </w:rPr>
                <w:t xml:space="preserve">O'Collins et al. 2006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44%</w:t>
            </w:r>
            <w:r>
              <w:rPr>
                <w:rFonts w:ascii="Calibri" w:cs="Calibri" w:eastAsia="Calibri" w:hAnsi="Calibri"/>
                <w:sz w:val="18"/>
                <w:szCs w:val="18"/>
              </w:rPr>
              <w:t xml:space="preserve">  concordance rate, n=951 compounds — concordance of liver effects (</w:t>
            </w:r>
            <w:hyperlink w:history="1" r:id="rIdynkwraix3coftcj9wmbzt">
              <w:r>
                <w:rPr>
                  <w:rFonts w:ascii="Calibri" w:cs="Calibri" w:eastAsia="Calibri" w:hAnsi="Calibri"/>
                  <w:color w:val="1155CC"/>
                  <w:sz w:val="18"/>
                  <w:szCs w:val="18"/>
                  <w:u w:val="single"/>
                </w:rPr>
                <w:t xml:space="preserve">Leenaars et al. 2019</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high percentage of positive findings in animal studies (82%) is likely inflated due to publication bias and selective reporting, as noted by the authors. The range of translation rates (0-100%) indicates high variability and unreliability.</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does not support</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Pan et al. 2020: mouse tumor-growth-inhibition (TGI) did not predict clinical approval—median TGI 0.74 for approved vs 0.77 for failed drugs and AUC=0.45 for predicting approval; odds ratios for higher TGI quartiles vs lowest were 0.74–0.90 and non-significant. Comparisons are limited by few approved drugs and variable TGI measurement across studies.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OR range reflects separate comparisons of TGI quartiles Q2–Q4 versus Q1.</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0.74–0.9</w:t>
            </w:r>
            <w:r>
              <w:rPr>
                <w:rFonts w:ascii="Calibri" w:cs="Calibri" w:eastAsia="Calibri" w:hAnsi="Calibri"/>
                <w:sz w:val="18"/>
                <w:szCs w:val="18"/>
              </w:rPr>
              <w:t xml:space="preserve">  or — Odds Ratio for drug success (Q2 TGI vs Q1 TGI) (</w:t>
            </w:r>
            <w:hyperlink w:history="1" r:id="rIdyck8muzoxecku05wycuh4">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0.74–0.77</w:t>
            </w:r>
            <w:r>
              <w:rPr>
                <w:rFonts w:ascii="Calibri" w:cs="Calibri" w:eastAsia="Calibri" w:hAnsi="Calibri"/>
                <w:sz w:val="18"/>
                <w:szCs w:val="18"/>
              </w:rPr>
              <w:t xml:space="preserve">  median — TGI values for approved vs. failed drugs (</w:t>
            </w:r>
            <w:hyperlink w:history="1" r:id="rId3ykiq4eqnwjkssmhjdxer">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0.375</w:t>
            </w:r>
            <w:r>
              <w:rPr>
                <w:rFonts w:ascii="Calibri" w:cs="Calibri" w:eastAsia="Calibri" w:hAnsi="Calibri"/>
                <w:sz w:val="18"/>
                <w:szCs w:val="18"/>
              </w:rPr>
              <w:t xml:space="preserve">  p-value — Statistical significance of TGI difference between approved and failed drugs (</w:t>
            </w:r>
            <w:hyperlink w:history="1" r:id="rIdm2oawhboqvuj2_36wfszp">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0.45</w:t>
            </w:r>
            <w:r>
              <w:rPr>
                <w:rFonts w:ascii="Calibri" w:cs="Calibri" w:eastAsia="Calibri" w:hAnsi="Calibri"/>
                <w:sz w:val="18"/>
                <w:szCs w:val="18"/>
              </w:rPr>
              <w:t xml:space="preserve">  auc — Area Under the Curve (AUC) for TGI predicting success (</w:t>
            </w:r>
            <w:hyperlink w:history="1" r:id="rIdvuvugaz49h_nprmltjnqd">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0.636</w:t>
            </w:r>
            <w:r>
              <w:rPr>
                <w:rFonts w:ascii="Calibri" w:cs="Calibri" w:eastAsia="Calibri" w:hAnsi="Calibri"/>
                <w:sz w:val="18"/>
                <w:szCs w:val="18"/>
              </w:rPr>
              <w:t xml:space="preserve">  p-value — P-trend for TGI and drug success (</w:t>
            </w:r>
            <w:hyperlink w:history="1" r:id="rIdohjfdafzerxp4q8wnharv">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study notes that there is a naturally low proportion of approved drugs compared to failed drugs, which may make comparisons between the two drug classes less robust due to sparse data for the approved category. Also, the variability in TGI measurement across studies due to lack of standardized criteria may have affected the results.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non-rodent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TOO LITTLE EVIDENCE</w:t>
            </w:r>
          </w:p>
          <w:p>
            <w:pPr>
              <w:spacing w:after="60"/>
            </w:pPr>
            <w:r>
              <w:rPr>
                <w:rFonts w:ascii="Calibri" w:cs="Calibri" w:eastAsia="Calibri" w:hAnsi="Calibri"/>
                <w:sz w:val="18"/>
                <w:szCs w:val="18"/>
              </w:rPr>
              <w:t xml:space="preserve">Leenaars et al. 2019 provides no direct efficacy data; for toxicity it reports non‑rodent→human concordance for liver effects 40% (n=951) and that animal data predicted 48% of 221 human adverse drug reactions. They also report 71% concordance when all species are pooled and state predictivity is higher for non‑rodents than rodents.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The 71% figure pools all species; 40% is the non‑rodent-specific concordance for liver effects.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40%</w:t>
            </w:r>
            <w:r>
              <w:rPr>
                <w:rFonts w:ascii="Calibri" w:cs="Calibri" w:eastAsia="Calibri" w:hAnsi="Calibri"/>
                <w:sz w:val="18"/>
                <w:szCs w:val="18"/>
              </w:rPr>
              <w:t xml:space="preserve">  concordance rate, n=951 compounds — concordance of liver effects (</w:t>
            </w:r>
            <w:hyperlink w:history="1" r:id="rIdzrw3ioaayfwgkqgkmpm6-">
              <w:r>
                <w:rPr>
                  <w:rFonts w:ascii="Calibri" w:cs="Calibri" w:eastAsia="Calibri" w:hAnsi="Calibri"/>
                  <w:color w:val="1155CC"/>
                  <w:sz w:val="18"/>
                  <w:szCs w:val="18"/>
                  <w:u w:val="single"/>
                </w:rPr>
                <w:t xml:space="preserve">Leenaars et al. 2019</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sheep</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Perel et al. 2007: in ewe models antenatal corticosteroids were linked to higher neonatal mortality (pooled OR 12.5, 95% CI 1.9–79.2), which contrasts with no benefit in clinical trials — sheep results did not track human outcomes. The estimate is imprecise.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Very wide CI reflects few and/or small ewe experiments giving imprecise estimates.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12.5</w:t>
            </w:r>
            <w:r>
              <w:rPr>
                <w:rFonts w:ascii="Calibri" w:cs="Calibri" w:eastAsia="Calibri" w:hAnsi="Calibri"/>
                <w:sz w:val="18"/>
                <w:szCs w:val="18"/>
              </w:rPr>
              <w:t xml:space="preserve">  odds ratio — Antenatal corticosteroids: neonatal mortality in ewe models (pooled odds ratio) (</w:t>
            </w:r>
            <w:hyperlink w:history="1" r:id="rIdnygokx43-qdifztcm1tu7">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6 studies</w:t>
            </w:r>
          </w:p>
          <w:p>
            <w:pPr>
              <w:spacing w:after="0"/>
            </w:pPr>
            <w:r>
              <w:rPr>
                <w:rFonts w:ascii="Calibri" w:cs="Calibri" w:eastAsia="Calibri" w:hAnsi="Calibri"/>
                <w:color w:val="666666"/>
                <w:sz w:val="16"/>
                <w:szCs w:val="16"/>
              </w:rPr>
              <w:t xml:space="preserve">3 does not support</w:t>
            </w:r>
          </w:p>
          <w:p>
            <w:pPr>
              <w:spacing w:after="0"/>
            </w:pPr>
            <w:r>
              <w:rPr>
                <w:rFonts w:ascii="Calibri" w:cs="Calibri" w:eastAsia="Calibri" w:hAnsi="Calibri"/>
                <w:color w:val="666666"/>
                <w:sz w:val="16"/>
                <w:szCs w:val="16"/>
              </w:rPr>
              <w:t xml:space="preserve">3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 dog data sometimes track human toxicities for specific endpoints (dog LR+ for cardiac disorders 6.11; regulatory rat+dog testing flagged 71% of human toxicities (Jang et al. 2019)). However absence of dog toxicity gives only modest reassurance (~72% no human toxicity; dog iNLR≈1.10).</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varies by organ class, endpoint and toxicity severity (e.g., cardiac vs hepatic, grade 3–4 vs all grades, in vitro vs in vivo).</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3–10</w:t>
            </w:r>
            <w:r>
              <w:rPr>
                <w:rFonts w:ascii="Calibri" w:cs="Calibri" w:eastAsia="Calibri" w:hAnsi="Calibri"/>
                <w:sz w:val="18"/>
                <w:szCs w:val="18"/>
              </w:rPr>
              <w:t xml:space="preserve">  more potent — JNJ-3 induced albumin secretion decrease in dog Liver-Chip vs human Liver-Chip (</w:t>
            </w:r>
            <w:hyperlink w:history="1" r:id="rId8tkapcywztj8gha1eggwa">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30–40%</w:t>
            </w:r>
            <w:r>
              <w:rPr>
                <w:rFonts w:ascii="Calibri" w:cs="Calibri" w:eastAsia="Calibri" w:hAnsi="Calibri"/>
                <w:sz w:val="18"/>
                <w:szCs w:val="18"/>
              </w:rPr>
              <w:t xml:space="preserve">  pru — Proportionate Reduction in Uncertainty (PRU) for GI (Dog) (</w:t>
            </w:r>
            <w:hyperlink w:history="1" r:id="rIdy3fswqxkokfmzzdnvdj9a">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3.42–6.11</w:t>
            </w:r>
            <w:r>
              <w:rPr>
                <w:rFonts w:ascii="Calibri" w:cs="Calibri" w:eastAsia="Calibri" w:hAnsi="Calibri"/>
                <w:sz w:val="18"/>
                <w:szCs w:val="18"/>
              </w:rPr>
              <w:t xml:space="preserve">  lr+, n=404 — Likelihood Ratio for dog, Cardiac disorders (</w:t>
            </w:r>
            <w:hyperlink w:history="1" r:id="rIdno790lh63hs3feftkmg0m">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30</w:t>
            </w:r>
            <w:r>
              <w:rPr>
                <w:rFonts w:ascii="Calibri" w:cs="Calibri" w:eastAsia="Calibri" w:hAnsi="Calibri"/>
                <w:sz w:val="18"/>
                <w:szCs w:val="18"/>
              </w:rPr>
              <w:t xml:space="preserve">  ic50 (half-maximal inhibitory concentration) — IC50 for bosentan-induced albumin secretion decrease (</w:t>
            </w:r>
            <w:hyperlink w:history="1" r:id="rId8sdtjsgttybs6jzwm1kc3">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50%</w:t>
            </w:r>
            <w:r>
              <w:rPr>
                <w:rFonts w:ascii="Calibri" w:cs="Calibri" w:eastAsia="Calibri" w:hAnsi="Calibri"/>
                <w:sz w:val="18"/>
                <w:szCs w:val="18"/>
              </w:rPr>
              <w:t xml:space="preserve">  ppv — PPV for Cutaneous (</w:t>
            </w:r>
            <w:hyperlink w:history="1" r:id="rIdjkcczgpkfnriy0lhyjegg">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91%</w:t>
            </w:r>
            <w:r>
              <w:rPr>
                <w:rFonts w:ascii="Calibri" w:cs="Calibri" w:eastAsia="Calibri" w:hAnsi="Calibri"/>
                <w:sz w:val="18"/>
                <w:szCs w:val="18"/>
              </w:rPr>
              <w:t xml:space="preserve">  npv — NPV for Cutaneous (</w:t>
            </w:r>
            <w:hyperlink w:history="1" r:id="rId88v4kdbqsii9fzdecdvqz">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NPV is often high simply because most findings are negative. The paper notes that for grades 3 and 4 toxicities, there were no conditions in which PPV and NPV were both &gt;0.75, but there were six conditions for which PPV and NPV were both &gt;0.6. This suggests that even for severe toxicities, the predictive values are not consistently high.</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5 studies</w:t>
            </w:r>
          </w:p>
          <w:p>
            <w:pPr>
              <w:spacing w:after="0"/>
            </w:pPr>
            <w:r>
              <w:rPr>
                <w:rFonts w:ascii="Calibri" w:cs="Calibri" w:eastAsia="Calibri" w:hAnsi="Calibri"/>
                <w:color w:val="666666"/>
                <w:sz w:val="16"/>
                <w:szCs w:val="16"/>
              </w:rPr>
              <w:t xml:space="preserve">3 does not support</w:t>
            </w:r>
          </w:p>
          <w:p>
            <w:pPr>
              <w:spacing w:after="0"/>
            </w:pPr>
            <w:r>
              <w:rPr>
                <w:rFonts w:ascii="Calibri" w:cs="Calibri" w:eastAsia="Calibri" w:hAnsi="Calibri"/>
                <w:color w:val="666666"/>
                <w:sz w:val="16"/>
                <w:szCs w:val="16"/>
              </w:rPr>
              <w:t xml:space="preserve">2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NHP findings sometimes predict human toxicity — Monticello 2017 overall sensitivity 48% and specificity 84% (GI PPV 91%, nervous PPV 83%), and Clark 2018 LR+ up to 11.02. But other analyses report weak or inconsistent prediction (Bailey 2019 no-animal→no-human 70.4%; Bailey 2015 iNLR 1.02).</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varies by organ/endpoint, toxicity severity, study selection bias and low clinical positive prevalence.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27–62%</w:t>
            </w:r>
            <w:r>
              <w:rPr>
                <w:rFonts w:ascii="Calibri" w:cs="Calibri" w:eastAsia="Calibri" w:hAnsi="Calibri"/>
                <w:sz w:val="18"/>
                <w:szCs w:val="18"/>
              </w:rPr>
              <w:t xml:space="preserve">  ppv — PPV for Liver (</w:t>
            </w:r>
            <w:hyperlink w:history="1" r:id="rIdj4sqbfjw-npwtqesegox8">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85–92%</w:t>
            </w:r>
            <w:r>
              <w:rPr>
                <w:rFonts w:ascii="Calibri" w:cs="Calibri" w:eastAsia="Calibri" w:hAnsi="Calibri"/>
                <w:sz w:val="18"/>
                <w:szCs w:val="18"/>
              </w:rPr>
              <w:t xml:space="preserve">  npv — NPV for Liver (</w:t>
            </w:r>
            <w:hyperlink w:history="1" r:id="rIdutb_47pxdquddp8bczv2x">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60–80%</w:t>
            </w:r>
            <w:r>
              <w:rPr>
                <w:rFonts w:ascii="Calibri" w:cs="Calibri" w:eastAsia="Calibri" w:hAnsi="Calibri"/>
                <w:sz w:val="18"/>
                <w:szCs w:val="18"/>
              </w:rPr>
              <w:t xml:space="preserve">  pru — Proportionate Reduction in Uncertainty (PRU) for GI (Monkey) (</w:t>
            </w:r>
            <w:hyperlink w:history="1" r:id="rIdmjjyl5a-2h6sbeputchyj">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9.52–11.02</w:t>
            </w:r>
            <w:r>
              <w:rPr>
                <w:rFonts w:ascii="Calibri" w:cs="Calibri" w:eastAsia="Calibri" w:hAnsi="Calibri"/>
                <w:sz w:val="18"/>
                <w:szCs w:val="18"/>
              </w:rPr>
              <w:t xml:space="preserve">  lr+, n=84 — Likelihood Ratio for cynomolgus monkey, Cardiac disorders (</w:t>
            </w:r>
            <w:hyperlink w:history="1" r:id="rIdnt4ufleweemlixb_gklmx">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1.02</w:t>
            </w:r>
            <w:r>
              <w:rPr>
                <w:rFonts w:ascii="Calibri" w:cs="Calibri" w:eastAsia="Calibri" w:hAnsi="Calibri"/>
                <w:sz w:val="18"/>
                <w:szCs w:val="18"/>
              </w:rPr>
              <w:t xml:space="preserve">  median inlr — NHP-human median iNLR (</w:t>
            </w:r>
            <w:hyperlink w:history="1" r:id="rIdoph7b0osdnuskqw45h-4u">
              <w:r>
                <w:rPr>
                  <w:rFonts w:ascii="Calibri" w:cs="Calibri" w:eastAsia="Calibri" w:hAnsi="Calibri"/>
                  <w:color w:val="1155CC"/>
                  <w:sz w:val="18"/>
                  <w:szCs w:val="18"/>
                  <w:u w:val="single"/>
                </w:rPr>
                <w:t xml:space="preserve">Bailey et al. 2015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67%</w:t>
            </w:r>
            <w:r>
              <w:rPr>
                <w:rFonts w:ascii="Calibri" w:cs="Calibri" w:eastAsia="Calibri" w:hAnsi="Calibri"/>
                <w:sz w:val="18"/>
                <w:szCs w:val="18"/>
              </w:rPr>
              <w:t xml:space="preserve">  ppv — PPV for Cutaneous (</w:t>
            </w:r>
            <w:hyperlink w:history="1" r:id="rIderhzjepgi7cxoymbrvp48">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NPV is often high simply because most findings are negative. The paper notes that for grades 3 and 4 toxicities, there were no conditions in which PPV and NPV were both &gt;0.75, but there were six conditions for which PPV and NPV were both &gt;0.6. This suggests that even for severe toxicities, the predictive values are not consistently high.</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2 partly supports</w:t>
            </w:r>
          </w:p>
          <w:p>
            <w:pPr>
              <w:spacing w:after="0"/>
            </w:pPr>
            <w:r>
              <w:rPr>
                <w:rFonts w:ascii="Calibri" w:cs="Calibri" w:eastAsia="Calibri" w:hAnsi="Calibri"/>
                <w:color w:val="666666"/>
                <w:sz w:val="16"/>
                <w:szCs w:val="16"/>
              </w:rPr>
              <w:t xml:space="preserve">2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some studies find rat findings often align with human toxicity (regulatory tests predicted 71% of human toxicities; rat LR+ 4.73 for cardiac and 2.74 for hepatobiliary), but other analyses show only modest predictive power (median PPV 0.65; iNLR 1.82). Variation by endpoint, severity and study methods limits generalisability.</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Results vary by endpoint, toxicity grade and study methods/datasets (e.g., Jang pooled rats and dogs; Atkins stratified by severity).</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2.74–4.73</w:t>
            </w:r>
            <w:r>
              <w:rPr>
                <w:rFonts w:ascii="Calibri" w:cs="Calibri" w:eastAsia="Calibri" w:hAnsi="Calibri"/>
                <w:sz w:val="18"/>
                <w:szCs w:val="18"/>
              </w:rPr>
              <w:t xml:space="preserve">  lr+, n=521 — Likelihood Ratio for rat, Cardiac disorders (</w:t>
            </w:r>
            <w:hyperlink w:history="1" r:id="rIdjvxgig04iedoq-xh4flnl">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100</w:t>
            </w:r>
            <w:r>
              <w:rPr>
                <w:rFonts w:ascii="Calibri" w:cs="Calibri" w:eastAsia="Calibri" w:hAnsi="Calibri"/>
                <w:sz w:val="18"/>
                <w:szCs w:val="18"/>
              </w:rPr>
              <w:t xml:space="preserve">  ic50 (half-maximal inhibitory concentration) — IC50 for bosentan-induced albumin secretion decrease (</w:t>
            </w:r>
            <w:hyperlink w:history="1" r:id="rIdkujzqawlyptec6eikcoim">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0.65</w:t>
            </w:r>
            <w:r>
              <w:rPr>
                <w:rFonts w:ascii="Calibri" w:cs="Calibri" w:eastAsia="Calibri" w:hAnsi="Calibri"/>
                <w:sz w:val="18"/>
                <w:szCs w:val="18"/>
              </w:rPr>
              <w:t xml:space="preserve">  median ppv — PPV for all toxicity grades (</w:t>
            </w:r>
            <w:hyperlink w:history="1" r:id="rId-r2tbnnyhs5smrvuvuf8k">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0.41</w:t>
            </w:r>
            <w:r>
              <w:rPr>
                <w:rFonts w:ascii="Calibri" w:cs="Calibri" w:eastAsia="Calibri" w:hAnsi="Calibri"/>
                <w:sz w:val="18"/>
                <w:szCs w:val="18"/>
              </w:rPr>
              <w:t xml:space="preserve">  median ppv — PPV for grade 3 and 4 toxicities (</w:t>
            </w:r>
            <w:hyperlink w:history="1" r:id="rIdqwokmnt-ensh-autawuhw">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0.51</w:t>
            </w:r>
            <w:r>
              <w:rPr>
                <w:rFonts w:ascii="Calibri" w:cs="Calibri" w:eastAsia="Calibri" w:hAnsi="Calibri"/>
                <w:sz w:val="18"/>
                <w:szCs w:val="18"/>
              </w:rPr>
              <w:t xml:space="preserve">  median npv — NPV for all toxicity grades (</w:t>
            </w:r>
            <w:hyperlink w:history="1" r:id="rIdc1kjhhwmnhgiys4nf6zvk">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0.72</w:t>
            </w:r>
            <w:r>
              <w:rPr>
                <w:rFonts w:ascii="Calibri" w:cs="Calibri" w:eastAsia="Calibri" w:hAnsi="Calibri"/>
                <w:sz w:val="18"/>
                <w:szCs w:val="18"/>
              </w:rPr>
              <w:t xml:space="preserve">  median npv — NPV for grade 3 and 4 toxicities (</w:t>
            </w:r>
            <w:hyperlink w:history="1" r:id="rIdyeu8-ckr9xmbneciov2g-">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selectivity of 7% is low, but the paper notes that the data set differs from other studies, as it focuses on marketed drugs that passed rigorous clinical safety testing. The high LR+ for dizziness (1000) might be an outlier or reflect specific testing practices.</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3 studies</w:t>
            </w:r>
          </w:p>
          <w:p>
            <w:pPr>
              <w:spacing w:after="0"/>
            </w:pPr>
            <w:r>
              <w:rPr>
                <w:rFonts w:ascii="Calibri" w:cs="Calibri" w:eastAsia="Calibri" w:hAnsi="Calibri"/>
                <w:color w:val="666666"/>
                <w:sz w:val="16"/>
                <w:szCs w:val="16"/>
              </w:rPr>
              <w:t xml:space="preserve">2 does not support</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Mouse toxicology is mixed: some mouse signals predict human toxicity (Clark et al. 2018 — LR+ cardiac 5.29; hepatobiliary 3.73; pain 7.4). However overall discrimination is weak (Atkins et al. 2020 median PPV 0.57 all grades, 0.43 for grade 3–4; Bailey et al. 2015 iNLR 1.39).</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Results vary by specific organ endpoint and toxicity severity (Clark shows high LR+ for some endpoints; Atkins shows PPV falls for grade 3–4).</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3.73–5.29</w:t>
            </w:r>
            <w:r>
              <w:rPr>
                <w:rFonts w:ascii="Calibri" w:cs="Calibri" w:eastAsia="Calibri" w:hAnsi="Calibri"/>
                <w:sz w:val="18"/>
                <w:szCs w:val="18"/>
              </w:rPr>
              <w:t xml:space="preserve">  lr+, n=210 — Likelihood Ratio for mouse, Cardiac disorders (</w:t>
            </w:r>
            <w:hyperlink w:history="1" r:id="rIdirwmxsxylpysh9usaneur">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0.57</w:t>
            </w:r>
            <w:r>
              <w:rPr>
                <w:rFonts w:ascii="Calibri" w:cs="Calibri" w:eastAsia="Calibri" w:hAnsi="Calibri"/>
                <w:sz w:val="18"/>
                <w:szCs w:val="18"/>
              </w:rPr>
              <w:t xml:space="preserve">  median ppv — PPV for all toxicity grades (</w:t>
            </w:r>
            <w:hyperlink w:history="1" r:id="rIdz7-oh7jhcqavnbll_tgmp">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0.43</w:t>
            </w:r>
            <w:r>
              <w:rPr>
                <w:rFonts w:ascii="Calibri" w:cs="Calibri" w:eastAsia="Calibri" w:hAnsi="Calibri"/>
                <w:sz w:val="18"/>
                <w:szCs w:val="18"/>
              </w:rPr>
              <w:t xml:space="preserve">  median ppv — PPV for grade 3 and 4 toxicities (</w:t>
            </w:r>
            <w:hyperlink w:history="1" r:id="rIdqtnd7ujsqt9dsgfszuzdr">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0.57</w:t>
            </w:r>
            <w:r>
              <w:rPr>
                <w:rFonts w:ascii="Calibri" w:cs="Calibri" w:eastAsia="Calibri" w:hAnsi="Calibri"/>
                <w:sz w:val="18"/>
                <w:szCs w:val="18"/>
              </w:rPr>
              <w:t xml:space="preserve">  median npv — NPV for all toxicity grades (</w:t>
            </w:r>
            <w:hyperlink w:history="1" r:id="rIde757sq71fgouxz5146ou-">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0.81</w:t>
            </w:r>
            <w:r>
              <w:rPr>
                <w:rFonts w:ascii="Calibri" w:cs="Calibri" w:eastAsia="Calibri" w:hAnsi="Calibri"/>
                <w:sz w:val="18"/>
                <w:szCs w:val="18"/>
              </w:rPr>
              <w:t xml:space="preserve">  median npv — NPV for grade 3 and 4 toxicities (</w:t>
            </w:r>
            <w:hyperlink w:history="1" r:id="rIdzh3hqcmphg_7vzedrhadn">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7.4</w:t>
            </w:r>
            <w:r>
              <w:rPr>
                <w:rFonts w:ascii="Calibri" w:cs="Calibri" w:eastAsia="Calibri" w:hAnsi="Calibri"/>
                <w:sz w:val="18"/>
                <w:szCs w:val="18"/>
              </w:rPr>
              <w:t xml:space="preserve">  lr+ — Likelihood Ratio for Pain (mouse) (</w:t>
            </w:r>
            <w:hyperlink w:history="1" r:id="rIdm-jzpya3uhbjiflxazfvh">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selectivity of 7% is low, but the paper notes that the data set differs from other studies, as it focuses on marketed drugs that passed rigorous clinical safety testing. The high LR+ for dizziness (1000) might be an outlier or reflect specific testing practices.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rabbit</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partly supports</w:t>
            </w:r>
          </w:p>
          <w:p>
            <w:pPr>
              <w:spacing w:after="0"/>
            </w:pPr>
            <w:r>
              <w:rPr>
                <w:rFonts w:ascii="Calibri" w:cs="Calibri" w:eastAsia="Calibri" w:hAnsi="Calibri"/>
                <w:color w:val="666666"/>
                <w:sz w:val="16"/>
                <w:szCs w:val="16"/>
              </w:rPr>
              <w:t xml:space="preserve">1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rabbit tests show signal for some cardiac endpoints (Clark et al. 2018: rabbit LR+ 3.54 for cardiac disorders; QT prolongation post-test odds 83%). But overall animal-to-human discriminative weight is minimal (Bailey et al. 2015: rabbit median iNLR 1.12).</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varies by endpoint and dataset selection (overall selectivity low while specific cardiac endpoints show higher concordance).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2.8–3.54</w:t>
            </w:r>
            <w:r>
              <w:rPr>
                <w:rFonts w:ascii="Calibri" w:cs="Calibri" w:eastAsia="Calibri" w:hAnsi="Calibri"/>
                <w:sz w:val="18"/>
                <w:szCs w:val="18"/>
              </w:rPr>
              <w:t xml:space="preserve">  lr+, n=99 — Likelihood Ratio for rabbit, Cardiac disorders (</w:t>
            </w:r>
            <w:hyperlink w:history="1" r:id="rId8geb3igz95yzpl0hhwyxz">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83%</w:t>
            </w:r>
            <w:r>
              <w:rPr>
                <w:rFonts w:ascii="Calibri" w:cs="Calibri" w:eastAsia="Calibri" w:hAnsi="Calibri"/>
                <w:sz w:val="18"/>
                <w:szCs w:val="18"/>
              </w:rPr>
              <w:t xml:space="preserve">  post-test odds — QT prolongation post-test odds (rabbit) (</w:t>
            </w:r>
            <w:hyperlink w:history="1" r:id="rId4v46iqjyag5j8y4qh6ub0">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1.12</w:t>
            </w:r>
            <w:r>
              <w:rPr>
                <w:rFonts w:ascii="Calibri" w:cs="Calibri" w:eastAsia="Calibri" w:hAnsi="Calibri"/>
                <w:sz w:val="18"/>
                <w:szCs w:val="18"/>
              </w:rPr>
              <w:t xml:space="preserve">  median inlr — Rabbit-human median iNLR (</w:t>
            </w:r>
            <w:hyperlink w:history="1" r:id="rIdc88098tbwdsg_nuuxzto5">
              <w:r>
                <w:rPr>
                  <w:rFonts w:ascii="Calibri" w:cs="Calibri" w:eastAsia="Calibri" w:hAnsi="Calibri"/>
                  <w:color w:val="1155CC"/>
                  <w:sz w:val="18"/>
                  <w:szCs w:val="18"/>
                  <w:u w:val="single"/>
                </w:rPr>
                <w:t xml:space="preserve">Bailey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selectivity of 7% is low, but the paper notes that the data set differs from other studies, as it focuses on marketed drugs that passed rigorous clinical safety testing. The high LR+ for dizziness (1000) might be an outlier or reflect specific testing practices.</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zebrafish</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partly supports</w:t>
            </w:r>
          </w:p>
          <w:p>
            <w:pPr>
              <w:spacing w:after="0"/>
            </w:pPr>
            <w:r>
              <w:rPr>
                <w:rFonts w:ascii="Calibri" w:cs="Calibri" w:eastAsia="Calibri" w:hAnsi="Calibri"/>
                <w:color w:val="666666"/>
                <w:sz w:val="16"/>
                <w:szCs w:val="16"/>
              </w:rPr>
              <w:t xml:space="preserve">1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Zebrafish assays generally track human toxicology: McGrath et al. 2008 detected 100% of teratogens and 75% of non‑teratogens; Cornet et al. 2017 reported 78% accuracy (89% specificity, 68% sensitivity). Performance varies by endpoint (neuro 54% vs hepatotoxicity 80%).</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Sensitivity differs by toxicity endpoint (e.g. neurotoxicity 54% vs hepatotoxicity 80%).</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75%</w:t>
            </w:r>
            <w:r>
              <w:rPr>
                <w:rFonts w:ascii="Calibri" w:cs="Calibri" w:eastAsia="Calibri" w:hAnsi="Calibri"/>
                <w:sz w:val="18"/>
                <w:szCs w:val="18"/>
              </w:rPr>
              <w:t xml:space="preserve">  success rate — success rate in identifying nonteratogenic compounds (</w:t>
            </w:r>
            <w:hyperlink w:history="1" r:id="rIdskj99rx_j9b0bh-76bidp">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100%</w:t>
            </w:r>
            <w:r>
              <w:rPr>
                <w:rFonts w:ascii="Calibri" w:cs="Calibri" w:eastAsia="Calibri" w:hAnsi="Calibri"/>
                <w:sz w:val="18"/>
                <w:szCs w:val="18"/>
              </w:rPr>
              <w:t xml:space="preserve">  success rate — success rate in identifying teratogens (</w:t>
            </w:r>
            <w:hyperlink w:history="1" r:id="rIdeg2pff1iz8qcnowmilvmw">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70%</w:t>
            </w:r>
            <w:r>
              <w:rPr>
                <w:rFonts w:ascii="Calibri" w:cs="Calibri" w:eastAsia="Calibri" w:hAnsi="Calibri"/>
                <w:sz w:val="18"/>
                <w:szCs w:val="18"/>
              </w:rPr>
              <w:t xml:space="preserve">  good — specificity (</w:t>
            </w:r>
            <w:hyperlink w:history="1" r:id="rIdryn68ip947mkmin4msvix">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80%</w:t>
            </w:r>
            <w:r>
              <w:rPr>
                <w:rFonts w:ascii="Calibri" w:cs="Calibri" w:eastAsia="Calibri" w:hAnsi="Calibri"/>
                <w:sz w:val="18"/>
                <w:szCs w:val="18"/>
              </w:rPr>
              <w:t xml:space="preserve">  excellent — specificity (</w:t>
            </w:r>
            <w:hyperlink w:history="1" r:id="rId1zzkyilizh9va25vlzqyl">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89%</w:t>
            </w:r>
            <w:r>
              <w:rPr>
                <w:rFonts w:ascii="Calibri" w:cs="Calibri" w:eastAsia="Calibri" w:hAnsi="Calibri"/>
                <w:sz w:val="18"/>
                <w:szCs w:val="18"/>
              </w:rPr>
              <w:t xml:space="preserve">  specificity — ZeGlobalTox predictive assessment (overall) (</w:t>
            </w:r>
            <w:hyperlink w:history="1" r:id="rIdcab2pijlug5v0uz0egbaf">
              <w:r>
                <w:rPr>
                  <w:rFonts w:ascii="Calibri" w:cs="Calibri" w:eastAsia="Calibri" w:hAnsi="Calibri"/>
                  <w:color w:val="1155CC"/>
                  <w:sz w:val="18"/>
                  <w:szCs w:val="18"/>
                  <w:u w:val="single"/>
                </w:rPr>
                <w:t xml:space="preserve">Cornet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68%</w:t>
            </w:r>
            <w:r>
              <w:rPr>
                <w:rFonts w:ascii="Calibri" w:cs="Calibri" w:eastAsia="Calibri" w:hAnsi="Calibri"/>
                <w:sz w:val="18"/>
                <w:szCs w:val="18"/>
              </w:rPr>
              <w:t xml:space="preserve">  sensitivity — ZeGlobalTox predictive assessment (overall) (</w:t>
            </w:r>
            <w:hyperlink w:history="1" r:id="rIdzurptlpusex-gzub03vr8">
              <w:r>
                <w:rPr>
                  <w:rFonts w:ascii="Calibri" w:cs="Calibri" w:eastAsia="Calibri" w:hAnsi="Calibri"/>
                  <w:color w:val="1155CC"/>
                  <w:sz w:val="18"/>
                  <w:szCs w:val="18"/>
                  <w:u w:val="single"/>
                </w:rPr>
                <w:t xml:space="preserve">Cornet et al. 2017</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rodent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Monticello et al. 2017: rodent toxicology showed modest sensitivity (48%) and PPV (43%) but higher specificity (84%) and NPV (86%), so rodent findings only partially tracked human adverse effects. Performance varied by organ (PPV 0–54%; e.g. Ophthalmology 0%, Biochemical 54%) and was poor for subjective 'other' events (PPV 9%, NPV 14%).</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Predictive values differ by target organ and event type; subjective 'other' events had especially low PPV/NPV.</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26–62%</w:t>
            </w:r>
            <w:r>
              <w:rPr>
                <w:rFonts w:ascii="Calibri" w:cs="Calibri" w:eastAsia="Calibri" w:hAnsi="Calibri"/>
                <w:sz w:val="18"/>
                <w:szCs w:val="18"/>
              </w:rPr>
              <w:t xml:space="preserve">  ppv — PPV for Liver (</w:t>
            </w:r>
            <w:hyperlink w:history="1" r:id="rIdi3dotaewvoxwmtcmzpm3g">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86–92%</w:t>
            </w:r>
            <w:r>
              <w:rPr>
                <w:rFonts w:ascii="Calibri" w:cs="Calibri" w:eastAsia="Calibri" w:hAnsi="Calibri"/>
                <w:sz w:val="18"/>
                <w:szCs w:val="18"/>
              </w:rPr>
              <w:t xml:space="preserve">  npv — NPV for Liver (</w:t>
            </w:r>
            <w:hyperlink w:history="1" r:id="rId3u95mkzrceghtmjosawmp">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20–40%</w:t>
            </w:r>
            <w:r>
              <w:rPr>
                <w:rFonts w:ascii="Calibri" w:cs="Calibri" w:eastAsia="Calibri" w:hAnsi="Calibri"/>
                <w:sz w:val="18"/>
                <w:szCs w:val="18"/>
              </w:rPr>
              <w:t xml:space="preserve">  pru — Proportionate Reduction in Uncertainty (PRU) for GI (Rodent) (</w:t>
            </w:r>
            <w:hyperlink w:history="1" r:id="rIdu2mkcy4udtkucilkwyagr">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40%</w:t>
            </w:r>
            <w:r>
              <w:rPr>
                <w:rFonts w:ascii="Calibri" w:cs="Calibri" w:eastAsia="Calibri" w:hAnsi="Calibri"/>
                <w:sz w:val="18"/>
                <w:szCs w:val="18"/>
              </w:rPr>
              <w:t xml:space="preserve">  ppv — PPV for Cutaneous (</w:t>
            </w:r>
            <w:hyperlink w:history="1" r:id="rId_lkuqkc23r-7cwkrm2cnw">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82%</w:t>
            </w:r>
            <w:r>
              <w:rPr>
                <w:rFonts w:ascii="Calibri" w:cs="Calibri" w:eastAsia="Calibri" w:hAnsi="Calibri"/>
                <w:sz w:val="18"/>
                <w:szCs w:val="18"/>
              </w:rPr>
              <w:t xml:space="preserve">  npv — NPV for Cutaneous (</w:t>
            </w:r>
            <w:hyperlink w:history="1" r:id="rIds3ow1-a56wktsphm4uymd">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14%</w:t>
            </w:r>
            <w:r>
              <w:rPr>
                <w:rFonts w:ascii="Calibri" w:cs="Calibri" w:eastAsia="Calibri" w:hAnsi="Calibri"/>
                <w:sz w:val="18"/>
                <w:szCs w:val="18"/>
              </w:rPr>
              <w:t xml:space="preserve">  ppv — PPV for Musculoskeletal (</w:t>
            </w:r>
            <w:hyperlink w:history="1" r:id="rIda6ghbmdqsxsqemsrnkbbm">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clinical positive prevalence for the entire database was 21%. For the 'other' organ system category, which consisted of subjective constitutional adverse events, the PPV was very low (9% for rodent, 0% for dog, 25% for NHP) and NPV was also very low (14% for rodent, 15% for dog, 16% for NHP). The paper notes that NPV is usually high because most findings are negative.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3 partly supports</w:t>
            </w:r>
          </w:p>
          <w:p>
            <w:pPr>
              <w:spacing w:after="0"/>
            </w:pPr>
            <w:r>
              <w:rPr>
                <w:rFonts w:ascii="Calibri" w:cs="Calibri" w:eastAsia="Calibri" w:hAnsi="Calibri"/>
                <w:color w:val="666666"/>
                <w:sz w:val="16"/>
                <w:szCs w:val="16"/>
              </w:rPr>
              <w:t xml:space="preserve">1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Dogs moderately predict human cardiac safety: Valentin et al. 2022 found 91% of drugs that prolonged QT in humans also prolonged QT in dogs (88% concordant negatives; 31% discordant), and Pollard et al. 2017 reported dog QTc AUC ≈0.81. Bhatt et al. 2019 gave combined BP/HR sensitivity 78% and specificity 79%, and Sadko et al. 2024 observed moxifloxacin +16.6 ms QTc in dogs (human ≈10 ms); concordance varies by endpoint and exposure.</w:t>
            </w:r>
          </w:p>
          <w:p>
            <w:pPr>
              <w:spacing w:after="50"/>
            </w:pPr>
            <w:r>
              <w:rPr>
                <w:rFonts w:ascii="Calibri" w:cs="Calibri" w:eastAsia="Calibri" w:hAnsi="Calibri"/>
                <w:b/>
                <w:bCs/>
                <w:color w:val="8A6D00"/>
                <w:sz w:val="17"/>
                <w:szCs w:val="17"/>
              </w:rPr>
              <w:t xml:space="preserve">Negative controls. </w:t>
            </w:r>
            <w:r>
              <w:rPr>
                <w:rFonts w:ascii="Calibri" w:cs="Calibri" w:eastAsia="Calibri" w:hAnsi="Calibri"/>
                <w:i/>
                <w:iCs/>
                <w:color w:val="8A6D00"/>
                <w:sz w:val="17"/>
                <w:szCs w:val="17"/>
              </w:rPr>
              <w:t xml:space="preserve">Sadko et al. 2024: mock/vehicle produced no QTc increase (negative control). These are designed to score low and are excluded from the reading above.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Variation arises by endpoint (QTc vs BP/HR), assay type and exposure level, and dataset composition (e.g. inclusion/exclusion of β2‑agonists).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0.78–0.92</w:t>
            </w:r>
            <w:r>
              <w:rPr>
                <w:rFonts w:ascii="Calibri" w:cs="Calibri" w:eastAsia="Calibri" w:hAnsi="Calibri"/>
                <w:sz w:val="18"/>
                <w:szCs w:val="18"/>
              </w:rPr>
              <w:t xml:space="preserve">  auc, n=24 — concordance between hERG potency and clinical QTc outcome (</w:t>
            </w:r>
            <w:hyperlink w:history="1" r:id="rIdoiq_se9cicftlmoagkdvw">
              <w:r>
                <w:rPr>
                  <w:rFonts w:ascii="Calibri" w:cs="Calibri" w:eastAsia="Calibri" w:hAnsi="Calibri"/>
                  <w:color w:val="1155CC"/>
                  <w:sz w:val="18"/>
                  <w:szCs w:val="18"/>
                  <w:u w:val="single"/>
                </w:rPr>
                <w:t xml:space="preserve">Pollard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54–78%</w:t>
            </w:r>
            <w:r>
              <w:rPr>
                <w:rFonts w:ascii="Calibri" w:cs="Calibri" w:eastAsia="Calibri" w:hAnsi="Calibri"/>
                <w:sz w:val="18"/>
                <w:szCs w:val="18"/>
              </w:rPr>
              <w:t xml:space="preserve">  sensitivity — large animal to human (combined BP and HR) (</w:t>
            </w:r>
            <w:hyperlink w:history="1" r:id="rId8hpbcw0uoxrvncez3glv-">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79–83%</w:t>
            </w:r>
            <w:r>
              <w:rPr>
                <w:rFonts w:ascii="Calibri" w:cs="Calibri" w:eastAsia="Calibri" w:hAnsi="Calibri"/>
                <w:sz w:val="18"/>
                <w:szCs w:val="18"/>
              </w:rPr>
              <w:t xml:space="preserve">  specificity — large animal to human (combined BP and HR) (</w:t>
            </w:r>
            <w:hyperlink w:history="1" r:id="rIdw1hetqpbtssdhmerwtzaz">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0.81–0.91</w:t>
            </w:r>
            <w:r>
              <w:rPr>
                <w:rFonts w:ascii="Calibri" w:cs="Calibri" w:eastAsia="Calibri" w:hAnsi="Calibri"/>
                <w:sz w:val="18"/>
                <w:szCs w:val="18"/>
              </w:rPr>
              <w:t xml:space="preserve">  auc — concordance between dog QTc data and clinical QTc outcome (</w:t>
            </w:r>
            <w:hyperlink w:history="1" r:id="rIdzmbcppdotaoxq3vxva2k5">
              <w:r>
                <w:rPr>
                  <w:rFonts w:ascii="Calibri" w:cs="Calibri" w:eastAsia="Calibri" w:hAnsi="Calibri"/>
                  <w:color w:val="1155CC"/>
                  <w:sz w:val="18"/>
                  <w:szCs w:val="18"/>
                  <w:u w:val="single"/>
                </w:rPr>
                <w:t xml:space="preserve">Pollard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1.7–3</w:t>
            </w:r>
            <w:r>
              <w:rPr>
                <w:rFonts w:ascii="Calibri" w:cs="Calibri" w:eastAsia="Calibri" w:hAnsi="Calibri"/>
                <w:sz w:val="18"/>
                <w:szCs w:val="18"/>
              </w:rPr>
              <w:t xml:space="preserve">  multiple, n=8 n=8 — Critical concentration multiple for 10ms QTc increase (moxifloxacin) (</w:t>
            </w:r>
            <w:hyperlink w:history="1" r:id="rId9g6inez4lyykz8i0p3k8k">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0.81</w:t>
            </w:r>
            <w:r>
              <w:rPr>
                <w:rFonts w:ascii="Calibri" w:cs="Calibri" w:eastAsia="Calibri" w:hAnsi="Calibri"/>
                <w:sz w:val="18"/>
                <w:szCs w:val="18"/>
              </w:rPr>
              <w:t xml:space="preserve">  concordance rate, n=24 drugs — concordance rate of in vivo dog assay for clinical QT outcome (</w:t>
            </w:r>
            <w:hyperlink w:history="1" r:id="rIdsu-je-sbac5fdeoyuztfc">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prevalence of compounds that prolong QTc in clinical studies was estimated at 0.22, which can influence PPV and NPV values.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supports</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Evidence shows NHP cardiovascular safety findings largely track human results: Bhatt et al. 2019 — combined BP+HR sensitivity 78%, specificity 79% (NPV 92%), though HR-only sensitivity was 54%. Sadko et al. 2024 found NHP moxifloxacin QTc +10.9 ms (vs ~10 ms in humans).</w:t>
            </w:r>
          </w:p>
          <w:p>
            <w:pPr>
              <w:spacing w:after="50"/>
            </w:pPr>
            <w:r>
              <w:rPr>
                <w:rFonts w:ascii="Calibri" w:cs="Calibri" w:eastAsia="Calibri" w:hAnsi="Calibri"/>
                <w:b/>
                <w:bCs/>
                <w:color w:val="8A6D00"/>
                <w:sz w:val="17"/>
                <w:szCs w:val="17"/>
              </w:rPr>
              <w:t xml:space="preserve">Negative controls. </w:t>
            </w:r>
            <w:r>
              <w:rPr>
                <w:rFonts w:ascii="Calibri" w:cs="Calibri" w:eastAsia="Calibri" w:hAnsi="Calibri"/>
                <w:i/>
                <w:iCs/>
                <w:color w:val="8A6D00"/>
                <w:sz w:val="17"/>
                <w:szCs w:val="17"/>
              </w:rPr>
              <w:t xml:space="preserve">Sadko et al. 2024 included a mock (no-effect) drug showing no QTc change up to 3× clinical concentration. These are designed to score low and are excluded from the reading above.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varies by endpoint: combined BP+HR concordance is higher than HR-only.</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54–78%</w:t>
            </w:r>
            <w:r>
              <w:rPr>
                <w:rFonts w:ascii="Calibri" w:cs="Calibri" w:eastAsia="Calibri" w:hAnsi="Calibri"/>
                <w:sz w:val="18"/>
                <w:szCs w:val="18"/>
              </w:rPr>
              <w:t xml:space="preserve">  sensitivity — large animal to human (combined BP and HR) (</w:t>
            </w:r>
            <w:hyperlink w:history="1" r:id="rId8f5p9gc5qgvgauswhnt4c">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79–83%</w:t>
            </w:r>
            <w:r>
              <w:rPr>
                <w:rFonts w:ascii="Calibri" w:cs="Calibri" w:eastAsia="Calibri" w:hAnsi="Calibri"/>
                <w:sz w:val="18"/>
                <w:szCs w:val="18"/>
              </w:rPr>
              <w:t xml:space="preserve">  specificity — large animal to human (combined BP and HR) (</w:t>
            </w:r>
            <w:hyperlink w:history="1" r:id="rIdnex88y1amtmary9jodu4u">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1.5–3</w:t>
            </w:r>
            <w:r>
              <w:rPr>
                <w:rFonts w:ascii="Calibri" w:cs="Calibri" w:eastAsia="Calibri" w:hAnsi="Calibri"/>
                <w:sz w:val="18"/>
                <w:szCs w:val="18"/>
              </w:rPr>
              <w:t xml:space="preserve">  multiple, n=48 n=48 — Critical concentration multiple for 10ms QTc increase (moxifloxacin) (</w:t>
            </w:r>
            <w:hyperlink w:history="1" r:id="rIdkxwrre2vevqrz03rxripx">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10.9</w:t>
            </w:r>
            <w:r>
              <w:rPr>
                <w:rFonts w:ascii="Calibri" w:cs="Calibri" w:eastAsia="Calibri" w:hAnsi="Calibri"/>
                <w:sz w:val="18"/>
                <w:szCs w:val="18"/>
              </w:rPr>
              <w:t xml:space="preserve">  mean, n=48 n=48 — QTc increase at critical concentration (moxifloxacin) (</w:t>
            </w:r>
            <w:hyperlink w:history="1" r:id="rIdqeaow9chlsdmw2vhkmsg2">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w:t>
            </w:r>
            <w:r>
              <w:rPr>
                <w:rFonts w:ascii="Calibri" w:cs="Calibri" w:eastAsia="Calibri" w:hAnsi="Calibri"/>
                <w:sz w:val="18"/>
                <w:szCs w:val="18"/>
              </w:rPr>
              <w:t xml:space="preserve">  change, n=48 n=48 — QTc increase at critical concentration (mock drug) (</w:t>
            </w:r>
            <w:hyperlink w:history="1" r:id="rIdmesf_u0vn8osg_mqeykcg">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w:t>
            </w:r>
            <w:r>
              <w:rPr>
                <w:rFonts w:ascii="Calibri" w:cs="Calibri" w:eastAsia="Calibri" w:hAnsi="Calibri"/>
                <w:sz w:val="18"/>
                <w:szCs w:val="18"/>
              </w:rPr>
              <w:t xml:space="preserve">  mean, n=48 n=48 — QTc increase over 24h (moxifloxacin) (</w:t>
            </w:r>
            <w:hyperlink w:history="1" r:id="rIdarrcsgdwyoap33ppxsegh">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Predictive values are dependent on the prevalence of positives in the dataset. The paper notes that the prevalence in the dataset may be lower than "real world" prevalence.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Bhatt et al. 2019: Rat findings tracked large-animal changes for combined BP+HR (sensitivity 84%, specificity 71%, PPV 90%, NPV 60%) but were weaker for single endpoints (HR sensitivity 64%, BP specificity 59%) and 23–26% showed opposite direction of change. Predictive values may be inflated because dataset prevalence may be lower than real-world.</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The 23–26% range reflects separate opposite-direction percentages reported for HR versus BP.</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64–84%</w:t>
            </w:r>
            <w:r>
              <w:rPr>
                <w:rFonts w:ascii="Calibri" w:cs="Calibri" w:eastAsia="Calibri" w:hAnsi="Calibri"/>
                <w:sz w:val="18"/>
                <w:szCs w:val="18"/>
              </w:rPr>
              <w:t xml:space="preserve">  sensitivity — rat to large animal (combined BP and HR) (</w:t>
            </w:r>
            <w:hyperlink w:history="1" r:id="rIdgscbjc8c-yvqvpksc8zuq">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59–71%</w:t>
            </w:r>
            <w:r>
              <w:rPr>
                <w:rFonts w:ascii="Calibri" w:cs="Calibri" w:eastAsia="Calibri" w:hAnsi="Calibri"/>
                <w:sz w:val="18"/>
                <w:szCs w:val="18"/>
              </w:rPr>
              <w:t xml:space="preserve">  specificity — rat to large animal (combined BP and HR) (</w:t>
            </w:r>
            <w:hyperlink w:history="1" r:id="rIdfnme1zsepgt3km3o-la9z">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23–26%</w:t>
            </w:r>
            <w:r>
              <w:rPr>
                <w:rFonts w:ascii="Calibri" w:cs="Calibri" w:eastAsia="Calibri" w:hAnsi="Calibri"/>
                <w:sz w:val="18"/>
                <w:szCs w:val="18"/>
              </w:rPr>
              <w:t xml:space="preserve">  opposite direction of change — rat to large animal (directionality of HR change) (</w:t>
            </w:r>
            <w:hyperlink w:history="1" r:id="rIde3qu1z8tbclafjq8pjuim">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90%</w:t>
            </w:r>
            <w:r>
              <w:rPr>
                <w:rFonts w:ascii="Calibri" w:cs="Calibri" w:eastAsia="Calibri" w:hAnsi="Calibri"/>
                <w:sz w:val="18"/>
                <w:szCs w:val="18"/>
              </w:rPr>
              <w:t xml:space="preserve">  positive predictive value — rat to large animal (combined BP and HR) (</w:t>
            </w:r>
            <w:hyperlink w:history="1" r:id="rIdyokf09wgljkaysozsavv9">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w:t>
            </w:r>
            <w:r>
              <w:rPr>
                <w:rFonts w:ascii="Calibri" w:cs="Calibri" w:eastAsia="Calibri" w:hAnsi="Calibri"/>
                <w:sz w:val="18"/>
                <w:szCs w:val="18"/>
              </w:rPr>
              <w:t xml:space="preserve">  negative predictive value — rat to large animal (combined BP and HR) (</w:t>
            </w:r>
            <w:hyperlink w:history="1" r:id="rIdo1sy_7uu7rmtumnpfuzki">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Predictive values are dependent on the prevalence of positives in the dataset. The paper notes that the prevalence in the dataset may be lower than "real world" prevalence.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11 studies</w:t>
            </w:r>
          </w:p>
          <w:p>
            <w:pPr>
              <w:spacing w:after="0"/>
            </w:pPr>
            <w:r>
              <w:rPr>
                <w:rFonts w:ascii="Calibri" w:cs="Calibri" w:eastAsia="Calibri" w:hAnsi="Calibri"/>
                <w:color w:val="666666"/>
                <w:sz w:val="16"/>
                <w:szCs w:val="16"/>
              </w:rPr>
              <w:t xml:space="preserve">6 partly supports</w:t>
            </w:r>
          </w:p>
          <w:p>
            <w:pPr>
              <w:spacing w:after="0"/>
            </w:pPr>
            <w:r>
              <w:rPr>
                <w:rFonts w:ascii="Calibri" w:cs="Calibri" w:eastAsia="Calibri" w:hAnsi="Calibri"/>
                <w:color w:val="666666"/>
                <w:sz w:val="16"/>
                <w:szCs w:val="16"/>
              </w:rPr>
              <w:t xml:space="preserve">3 supports</w:t>
            </w:r>
          </w:p>
          <w:p>
            <w:pPr>
              <w:spacing w:after="0"/>
            </w:pPr>
            <w:r>
              <w:rPr>
                <w:rFonts w:ascii="Calibri" w:cs="Calibri" w:eastAsia="Calibri" w:hAnsi="Calibri"/>
                <w:color w:val="666666"/>
                <w:sz w:val="16"/>
                <w:szCs w:val="16"/>
              </w:rPr>
              <w:t xml:space="preserve">2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some mouse–human transcriptome comparisons agree (Takao et al. 2015: Spearman r 0.43–0.68; 77–93% genes same direction), but others show near‑zero genome‑wide concordance (Seok et al. 2013: R^2 ≤0.09; Kodamullil et al. 2017: 12% genes mimicked).</w:t>
            </w:r>
          </w:p>
          <w:p>
            <w:pPr>
              <w:spacing w:after="50"/>
            </w:pPr>
            <w:r>
              <w:rPr>
                <w:rFonts w:ascii="Calibri" w:cs="Calibri" w:eastAsia="Calibri" w:hAnsi="Calibri"/>
                <w:b/>
                <w:bCs/>
                <w:color w:val="8A6D00"/>
                <w:sz w:val="17"/>
                <w:szCs w:val="17"/>
              </w:rPr>
              <w:t xml:space="preserve">Negative controls. </w:t>
            </w:r>
            <w:r>
              <w:rPr>
                <w:rFonts w:ascii="Calibri" w:cs="Calibri" w:eastAsia="Calibri" w:hAnsi="Calibri"/>
                <w:i/>
                <w:iCs/>
                <w:color w:val="8A6D00"/>
                <w:sz w:val="17"/>
                <w:szCs w:val="17"/>
              </w:rPr>
              <w:t xml:space="preserve">Seok et al. 2013 notes the 'same direction' metric has a ~50% random baseline. These are designed to score low and are excluded from the reading above.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Ranges arise from different models, thresholds, timepoints and whether analyses use genome-wide vs pathway/leading‑edge gene sets.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47–93.2%</w:t>
            </w:r>
            <w:r>
              <w:rPr>
                <w:rFonts w:ascii="Calibri" w:cs="Calibri" w:eastAsia="Calibri" w:hAnsi="Calibri"/>
                <w:sz w:val="18"/>
                <w:szCs w:val="18"/>
              </w:rPr>
              <w:t xml:space="preserve">  percentage, n=4,918 human genes — percentage of genes changed in the same direction between human conditions and mouse orthologs in mouse models (</w:t>
            </w:r>
            <w:hyperlink w:history="1" r:id="rIdw9mjwu7apledue7vqa-rf">
              <w:r>
                <w:rPr>
                  <w:rFonts w:ascii="Calibri" w:cs="Calibri" w:eastAsia="Calibri" w:hAnsi="Calibri"/>
                  <w:color w:val="1155CC"/>
                  <w:sz w:val="18"/>
                  <w:szCs w:val="18"/>
                  <w:u w:val="single"/>
                </w:rPr>
                <w:t xml:space="preserve">Seok et al. 2013</w:t>
              </w:r>
            </w:hyperlink>
            <w:r>
              <w:rPr>
                <w:rFonts w:ascii="Calibri" w:cs="Calibri" w:eastAsia="Calibri" w:hAnsi="Calibri"/>
                <w:sz w:val="18"/>
                <w:szCs w:val="18"/>
              </w:rPr>
              <w:t xml:space="preserve"> · </w:t>
            </w:r>
            <w:hyperlink w:history="1" r:id="rIdygkqdsxiuqkzfe3hxlxkh">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-0.01–0.08</w:t>
            </w:r>
            <w:r>
              <w:rPr>
                <w:rFonts w:ascii="Calibri" w:cs="Calibri" w:eastAsia="Calibri" w:hAnsi="Calibri"/>
                <w:sz w:val="18"/>
                <w:szCs w:val="18"/>
              </w:rPr>
              <w:t xml:space="preserve">  pearson correlation (r^2) — correlation of gene response between human burn and mouse burn (</w:t>
            </w:r>
            <w:hyperlink w:history="1" r:id="rIdsqvwp0rhskqhs9fsaag0m">
              <w:r>
                <w:rPr>
                  <w:rFonts w:ascii="Calibri" w:cs="Calibri" w:eastAsia="Calibri" w:hAnsi="Calibri"/>
                  <w:color w:val="1155CC"/>
                  <w:sz w:val="18"/>
                  <w:szCs w:val="18"/>
                  <w:u w:val="single"/>
                </w:rPr>
                <w:t xml:space="preserve">Seok et al. 2013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3.3e-30–2.2e-09</w:t>
            </w:r>
            <w:r>
              <w:rPr>
                <w:rFonts w:ascii="Calibri" w:cs="Calibri" w:eastAsia="Calibri" w:hAnsi="Calibri"/>
                <w:sz w:val="18"/>
                <w:szCs w:val="18"/>
              </w:rPr>
              <w:t xml:space="preserve">  p value — Overlap P value for 'lymphocyte differentiation' genes down-regulated in mouse burn (</w:t>
            </w:r>
            <w:hyperlink w:history="1" r:id="rId238tmlxdj_iwduiodgtmw">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8.7e-25–0.0003</w:t>
            </w:r>
            <w:r>
              <w:rPr>
                <w:rFonts w:ascii="Calibri" w:cs="Calibri" w:eastAsia="Calibri" w:hAnsi="Calibri"/>
                <w:sz w:val="18"/>
                <w:szCs w:val="18"/>
              </w:rPr>
              <w:t xml:space="preserve">  p value — Overlap P value for 'translocation of ZAP-70 to immunological synapse' genes down-regulated in human burn (</w:t>
            </w:r>
            <w:hyperlink w:history="1" r:id="rId27_hioq7yvzgzf3qyrz8v">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4.1e-90–1.3e-16</w:t>
            </w:r>
            <w:r>
              <w:rPr>
                <w:rFonts w:ascii="Calibri" w:cs="Calibri" w:eastAsia="Calibri" w:hAnsi="Calibri"/>
                <w:sz w:val="18"/>
                <w:szCs w:val="18"/>
              </w:rPr>
              <w:t xml:space="preserve">  p value — Overlap P value for 'innate immune response' genes up-regulated in mouse burn (</w:t>
            </w:r>
            <w:hyperlink w:history="1" r:id="rIdyirtfhqhzbqbzkvyu40dw">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6.5e-52–1.3e-09</w:t>
            </w:r>
            <w:r>
              <w:rPr>
                <w:rFonts w:ascii="Calibri" w:cs="Calibri" w:eastAsia="Calibri" w:hAnsi="Calibri"/>
                <w:sz w:val="18"/>
                <w:szCs w:val="18"/>
              </w:rPr>
              <w:t xml:space="preserve">  p value — Overlap P value for 'cytokine signaling in immune system' genes up-regulated in mouse sepsis (</w:t>
            </w:r>
            <w:hyperlink w:history="1" r:id="rIdg5gyo9t3n6gg30k7hojmd">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'percentage of genes changed in the same direction' metric has a base rate of 50% for random chance, which is explicitly mentioned in the paper. Many of the reported percentages for mouse models are close to this random chance level.</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6 studies</w:t>
            </w:r>
          </w:p>
          <w:p>
            <w:pPr>
              <w:spacing w:after="0"/>
            </w:pPr>
            <w:r>
              <w:rPr>
                <w:rFonts w:ascii="Calibri" w:cs="Calibri" w:eastAsia="Calibri" w:hAnsi="Calibri"/>
                <w:color w:val="666666"/>
                <w:sz w:val="16"/>
                <w:szCs w:val="16"/>
              </w:rPr>
              <w:t xml:space="preserve">5 partly supports</w:t>
            </w:r>
          </w:p>
          <w:p>
            <w:pPr>
              <w:spacing w:after="0"/>
            </w:pPr>
            <w:r>
              <w:rPr>
                <w:rFonts w:ascii="Calibri" w:cs="Calibri" w:eastAsia="Calibri" w:hAnsi="Calibri"/>
                <w:color w:val="666666"/>
                <w:sz w:val="16"/>
                <w:szCs w:val="16"/>
              </w:rPr>
              <w:t xml:space="preserve">1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rats mirror human biology in some domains (26/30 blood variables changed same way post-exercise, Goutianos et al. 2015; behavioral/electrophysiological correlations, Der-Avakian et al. 2025) but not others (≈50% transcriptome DEG alignment, Vacca et al. 2024; lower thrombin/plasmin peaks vs human, Tarandovskiy et al. 2020). A CDAA-fed rat MASLD model had MHPS = 0.941 for MASH-fibrosis (Vacca et al. 2024).</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0.275–0.71</w:t>
            </w:r>
            <w:r>
              <w:rPr>
                <w:rFonts w:ascii="Calibri" w:cs="Calibri" w:eastAsia="Calibri" w:hAnsi="Calibri"/>
                <w:sz w:val="18"/>
                <w:szCs w:val="18"/>
              </w:rPr>
              <w:t xml:space="preserve">  mean, n=11 n = 11 — Q-values for target stimuli (</w:t>
            </w:r>
            <w:hyperlink w:history="1" r:id="rIdg7mzogdxalohvrdevmd9w">
              <w:r>
                <w:rPr>
                  <w:rFonts w:ascii="Calibri" w:cs="Calibri" w:eastAsia="Calibri" w:hAnsi="Calibri"/>
                  <w:color w:val="1155CC"/>
                  <w:sz w:val="18"/>
                  <w:szCs w:val="18"/>
                  <w:u w:val="single"/>
                </w:rPr>
                <w:t xml:space="preserve">Der-Avakian et al. 2025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186.32–270.28</w:t>
            </w:r>
            <w:r>
              <w:rPr>
                <w:rFonts w:ascii="Calibri" w:cs="Calibri" w:eastAsia="Calibri" w:hAnsi="Calibri"/>
                <w:sz w:val="18"/>
                <w:szCs w:val="18"/>
              </w:rPr>
              <w:t xml:space="preserve">  mean, n=20 — Thrombin Concentration Peak (Mean, nM) (</w:t>
            </w:r>
            <w:hyperlink w:history="1" r:id="rId7izcc5gqqetn9jjccfnhz">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6.45–75.19</w:t>
            </w:r>
            <w:r>
              <w:rPr>
                <w:rFonts w:ascii="Calibri" w:cs="Calibri" w:eastAsia="Calibri" w:hAnsi="Calibri"/>
                <w:sz w:val="18"/>
                <w:szCs w:val="18"/>
              </w:rPr>
              <w:t xml:space="preserve">  mean, n=20 — Thrombin Production Rate (Mean, nM/min) (</w:t>
            </w:r>
            <w:hyperlink w:history="1" r:id="rIdtpcq-u8yqxoza8k4guraj">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-0.0038–0.0933</w:t>
            </w:r>
            <w:r>
              <w:rPr>
                <w:rFonts w:ascii="Calibri" w:cs="Calibri" w:eastAsia="Calibri" w:hAnsi="Calibri"/>
                <w:sz w:val="18"/>
                <w:szCs w:val="18"/>
              </w:rPr>
              <w:t xml:space="preserve">  slope — Proliferation capacity (slope difference to human) under healthy conditions (</w:t>
            </w:r>
            <w:hyperlink w:history="1" r:id="rIdohu1tdpjqqtyulbfv8ey5">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17.45–27.44</w:t>
            </w:r>
            <w:r>
              <w:rPr>
                <w:rFonts w:ascii="Calibri" w:cs="Calibri" w:eastAsia="Calibri" w:hAnsi="Calibri"/>
                <w:sz w:val="18"/>
                <w:szCs w:val="18"/>
              </w:rPr>
              <w:t xml:space="preserve">  mahalanobis distance — Mahalanobis distance to human for all genes combined under healthy conditions (</w:t>
            </w:r>
            <w:hyperlink w:history="1" r:id="rIdlgcu_oymn-bov-y2naoag">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7.3–7.9%</w:t>
            </w:r>
            <w:r>
              <w:rPr>
                <w:rFonts w:ascii="Calibri" w:cs="Calibri" w:eastAsia="Calibri" w:hAnsi="Calibri"/>
                <w:sz w:val="18"/>
                <w:szCs w:val="18"/>
              </w:rPr>
              <w:t xml:space="preserve">  mean — magnitude of uniform changes in rats (</w:t>
            </w:r>
            <w:hyperlink w:history="1" r:id="rIdj5aukc1ysptui5nsjdmkw">
              <w:r>
                <w:rPr>
                  <w:rFonts w:ascii="Calibri" w:cs="Calibri" w:eastAsia="Calibri" w:hAnsi="Calibri"/>
                  <w:color w:val="1155CC"/>
                  <w:sz w:val="18"/>
                  <w:szCs w:val="18"/>
                  <w:u w:val="single"/>
                </w:rPr>
                <w:t xml:space="preserve">Goutianos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MHPS scores are normalized between 0 and 1, where 1 indicates the highest proximity to human MASLD. The 'improved and statistically significant agreement' for DEGs and DRPs is a qualitative statement without a specific numerical value provided beyond the overall 50% alignment rate for the whole transcriptome.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c. elegans</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Zong et al. 2023: C. elegans shows modest, inconsistent concordance with disease-related expression—most C. elegans–Drosophila within-stage genome-wide c-scores &gt;0.1, but one pair (ce.lar–dm.lar) was 0.087. Findings vary by stage pairings.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Varies by developmental stage pairings—most within-stage comparisons exceed 0.1 but specific pairs (e.g., ce.lar–dm.lar) are lower (0.087).</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0.1</w:t>
            </w:r>
            <w:r>
              <w:rPr>
                <w:rFonts w:ascii="Calibri" w:cs="Calibri" w:eastAsia="Calibri" w:hAnsi="Calibri"/>
                <w:sz w:val="18"/>
                <w:szCs w:val="18"/>
              </w:rPr>
              <w:t xml:space="preserve">  c-score — genome-wide c-scores between Drosophila and C. elegans stages (</w:t>
            </w:r>
            <w:hyperlink w:history="1" r:id="rIdkb__3zn6fqx-4gmtv0_ta">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0.087</w:t>
            </w:r>
            <w:r>
              <w:rPr>
                <w:rFonts w:ascii="Calibri" w:cs="Calibri" w:eastAsia="Calibri" w:hAnsi="Calibri"/>
                <w:sz w:val="18"/>
                <w:szCs w:val="18"/>
              </w:rPr>
              <w:t xml:space="preserve">  c-score — c-score for ce.lar-dm.lar (</w:t>
            </w:r>
            <w:hyperlink w:history="1" r:id="rIdosygqqknvniwjlno83e2d">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 melanogaster</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Zong et al. 2023: genome-wide transcript concordance between D. melanogaster and C. elegans exceeded c=0.1 for most within-stage comparisons (modest cross-species similarity); one larval pair (ce.lar–dm.lar) had c=0.087. Links to human disease are indirect, so translation is limited.</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0.1</w:t>
            </w:r>
            <w:r>
              <w:rPr>
                <w:rFonts w:ascii="Calibri" w:cs="Calibri" w:eastAsia="Calibri" w:hAnsi="Calibri"/>
                <w:sz w:val="18"/>
                <w:szCs w:val="18"/>
              </w:rPr>
              <w:t xml:space="preserve">  c-score — genome-wide c-scores between Drosophila and C. elegans stages (</w:t>
            </w:r>
            <w:hyperlink w:history="1" r:id="rIdqdg0tdtdvf3af6wptc3ej">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0.087</w:t>
            </w:r>
            <w:r>
              <w:rPr>
                <w:rFonts w:ascii="Calibri" w:cs="Calibri" w:eastAsia="Calibri" w:hAnsi="Calibri"/>
                <w:sz w:val="18"/>
                <w:szCs w:val="18"/>
              </w:rPr>
              <w:t xml:space="preserve">  c-score — c-score for ce.lar-dm.lar (</w:t>
            </w:r>
            <w:hyperlink w:history="1" r:id="rIdpg1jjbs1gtajgx2xz6jzu">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horse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horse tenocyte gene expression best matches human under transient inflammation (Mahalanobis 9.59) but is farther under healthy (23.05) and constant inflammation (12.97). Proliferation difference is large in healthy (slope 0.3000, p&lt;2e-16) but negligible in transient inflammation (slope 0.0233, p=0.49).</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Similarity varies by inflammatory state (healthy vs transient vs constant inflammation).</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-0.064–0.3</w:t>
            </w:r>
            <w:r>
              <w:rPr>
                <w:rFonts w:ascii="Calibri" w:cs="Calibri" w:eastAsia="Calibri" w:hAnsi="Calibri"/>
                <w:sz w:val="18"/>
                <w:szCs w:val="18"/>
              </w:rPr>
              <w:t xml:space="preserve">  slope — Proliferation capacity (slope difference to human) under healthy conditions (</w:t>
            </w:r>
            <w:hyperlink w:history="1" r:id="rIdrg-419mua6kb8fw86iaj6">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9.59–23.05</w:t>
            </w:r>
            <w:r>
              <w:rPr>
                <w:rFonts w:ascii="Calibri" w:cs="Calibri" w:eastAsia="Calibri" w:hAnsi="Calibri"/>
                <w:sz w:val="18"/>
                <w:szCs w:val="18"/>
              </w:rPr>
              <w:t xml:space="preserve">  mahalanobis distance — Mahalanobis distance to human for all genes combined under healthy conditions (</w:t>
            </w:r>
            <w:hyperlink w:history="1" r:id="rIdxpuspg5r40i7wmp4zkxkv">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-0.014–-0.0123</w:t>
            </w:r>
            <w:r>
              <w:rPr>
                <w:rFonts w:ascii="Calibri" w:cs="Calibri" w:eastAsia="Calibri" w:hAnsi="Calibri"/>
                <w:sz w:val="18"/>
                <w:szCs w:val="18"/>
              </w:rPr>
              <w:t xml:space="preserve">  slope — Migration slope (difference to human) under transient inflammation (</w:t>
            </w:r>
            <w:hyperlink w:history="1" r:id="rIdcspkj8-uuixaekzanlayo">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0.0132563</w:t>
            </w:r>
            <w:r>
              <w:rPr>
                <w:rFonts w:ascii="Calibri" w:cs="Calibri" w:eastAsia="Calibri" w:hAnsi="Calibri"/>
                <w:sz w:val="18"/>
                <w:szCs w:val="18"/>
              </w:rPr>
              <w:t xml:space="preserve">  slope — Migration slope (difference to human) under healthy conditions (</w:t>
            </w:r>
            <w:hyperlink w:history="1" r:id="rIdnh17eylweh9cks2m3_00y">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6.88</w:t>
            </w:r>
            <w:r>
              <w:rPr>
                <w:rFonts w:ascii="Calibri" w:cs="Calibri" w:eastAsia="Calibri" w:hAnsi="Calibri"/>
                <w:sz w:val="18"/>
                <w:szCs w:val="18"/>
              </w:rPr>
              <w:t xml:space="preserve">  mahalanobis distance — Mahalanobis distance to human for tenogenic markers (SCX, TNC, TNMD) (</w:t>
            </w:r>
            <w:hyperlink w:history="1" r:id="rIdru8b4l6ktrn-ci2v608nx">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8.45</w:t>
            </w:r>
            <w:r>
              <w:rPr>
                <w:rFonts w:ascii="Calibri" w:cs="Calibri" w:eastAsia="Calibri" w:hAnsi="Calibri"/>
                <w:sz w:val="18"/>
                <w:szCs w:val="18"/>
              </w:rPr>
              <w:t xml:space="preserve">  mahalanobis distance — Mahalanobis distance to human for collagens (COL1, COL3, COL5) (</w:t>
            </w:r>
            <w:hyperlink w:history="1" r:id="rId11_mlp6_km_faxp3ayrze">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Tarandovskiy et al. 2020: baboon and rhesus thrombin measures closely matched human values (thrombin peak 434 nM and 399 nM vs human 484 nM; thrombin production 124 and 111 nM/min vs 111.5 nM/min). However plasmin production rates were substantially higher (baboon 90.8 vs human 34.8 nM/min).</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Different metrics diverge: thrombin parameters approximate human values while plasmin generation—especially production rate—is much higher in primates.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398.95–565.84</w:t>
            </w:r>
            <w:r>
              <w:rPr>
                <w:rFonts w:ascii="Calibri" w:cs="Calibri" w:eastAsia="Calibri" w:hAnsi="Calibri"/>
                <w:sz w:val="18"/>
                <w:szCs w:val="18"/>
              </w:rPr>
              <w:t xml:space="preserve">  mean, n=10 — Thrombin Concentration Peak (Mean, nM) (</w:t>
            </w:r>
            <w:hyperlink w:history="1" r:id="rIdsfka6enh1ktrtmro-64wy">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49.78–124.22</w:t>
            </w:r>
            <w:r>
              <w:rPr>
                <w:rFonts w:ascii="Calibri" w:cs="Calibri" w:eastAsia="Calibri" w:hAnsi="Calibri"/>
                <w:sz w:val="18"/>
                <w:szCs w:val="18"/>
              </w:rPr>
              <w:t xml:space="preserve">  mean, n=10 — Thrombin Production Rate (Mean, nM/min) (</w:t>
            </w:r>
            <w:hyperlink w:history="1" r:id="rIdijjbzhc1uiuspjeppswra">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546.26–565.84</w:t>
            </w:r>
            <w:r>
              <w:rPr>
                <w:rFonts w:ascii="Calibri" w:cs="Calibri" w:eastAsia="Calibri" w:hAnsi="Calibri"/>
                <w:sz w:val="18"/>
                <w:szCs w:val="18"/>
              </w:rPr>
              <w:t xml:space="preserve">  mean, n=10 — Plasmin Concentration Peak (Mean, nM) (</w:t>
            </w:r>
            <w:hyperlink w:history="1" r:id="rIdtbg66rmbgrudjr-bynhna">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49.78–90.81</w:t>
            </w:r>
            <w:r>
              <w:rPr>
                <w:rFonts w:ascii="Calibri" w:cs="Calibri" w:eastAsia="Calibri" w:hAnsi="Calibri"/>
                <w:sz w:val="18"/>
                <w:szCs w:val="18"/>
              </w:rPr>
              <w:t xml:space="preserve">  mean, n=10 — Plasmin Production Rate (Mean, nM/min) (</w:t>
            </w:r>
            <w:hyperlink w:history="1" r:id="rIdvr1rhcctcwrjv3w8hc9bk">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pig</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Tarandovskiy et al. 2020: swine thrombin partly tracked humans—thrombin peak 242.35 nM (~50% of human 484.25) and production 93.6 nM/min (~84% of human 111.51), but swine produced no detectable plasmin. n=20; absent plasmin limits pig utility for fibrinolysis/disease-biology comparisons.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9.86–242.35</w:t>
            </w:r>
            <w:r>
              <w:rPr>
                <w:rFonts w:ascii="Calibri" w:cs="Calibri" w:eastAsia="Calibri" w:hAnsi="Calibri"/>
                <w:sz w:val="18"/>
                <w:szCs w:val="18"/>
              </w:rPr>
              <w:t xml:space="preserve">  mean, n=20 — Thrombin Concentration Peak (Mean, nM) (</w:t>
            </w:r>
            <w:hyperlink w:history="1" r:id="rId12pp5bbe0-v1ozjizmal8">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1.48–93.6</w:t>
            </w:r>
            <w:r>
              <w:rPr>
                <w:rFonts w:ascii="Calibri" w:cs="Calibri" w:eastAsia="Calibri" w:hAnsi="Calibri"/>
                <w:sz w:val="18"/>
                <w:szCs w:val="18"/>
              </w:rPr>
              <w:t xml:space="preserve">  mean, n=20 — Thrombin Production Rate (Mean, nM/min) (</w:t>
            </w:r>
            <w:hyperlink w:history="1" r:id="rIdie0tc4oxx8qodrid5j0ed">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81.98</w:t>
            </w:r>
            <w:r>
              <w:rPr>
                <w:rFonts w:ascii="Calibri" w:cs="Calibri" w:eastAsia="Calibri" w:hAnsi="Calibri"/>
                <w:sz w:val="18"/>
                <w:szCs w:val="18"/>
              </w:rPr>
              <w:t xml:space="preserve">  mean, n=14 — Plasmin Concentration Peak (Mean, nM) (</w:t>
            </w:r>
            <w:hyperlink w:history="1" r:id="rIdvsyucmd_gvefbil_fwqsw">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1.48</w:t>
            </w:r>
            <w:r>
              <w:rPr>
                <w:rFonts w:ascii="Calibri" w:cs="Calibri" w:eastAsia="Calibri" w:hAnsi="Calibri"/>
                <w:sz w:val="18"/>
                <w:szCs w:val="18"/>
              </w:rPr>
              <w:t xml:space="preserve">  mean, n=14 — Plasmin Production Rate (Mean, nM/min) (</w:t>
            </w:r>
            <w:hyperlink w:history="1" r:id="rIde_icolhnz2lm5coh3glcr">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rabbit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Tarandovskiy et al. 2020: rabbit thrombin peak 71.6 nM (~15% of human 484.25 nM) and thrombin production 14.9 nM/min (~13% of human 111.51), while plasmin peak 197.7 nM (~43% of human 457.20) and plasmin production 17.6 nM/min (~51% of human 34.80). Rabbit curves were highly variable, so alignment with human coagulation is mixed.</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Different coagulation metrics diverge: thrombin measures are much lower than human while plasmin measures are nearer human values, and rabbit curves showed high variability.</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71.6–197.71</w:t>
            </w:r>
            <w:r>
              <w:rPr>
                <w:rFonts w:ascii="Calibri" w:cs="Calibri" w:eastAsia="Calibri" w:hAnsi="Calibri"/>
                <w:sz w:val="18"/>
                <w:szCs w:val="18"/>
              </w:rPr>
              <w:t xml:space="preserve">  mean, n=10 — Thrombin Concentration Peak (Mean, nM) (</w:t>
            </w:r>
            <w:hyperlink w:history="1" r:id="rIdkyovmqy7clrjrsu237dum">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14.93–17.63</w:t>
            </w:r>
            <w:r>
              <w:rPr>
                <w:rFonts w:ascii="Calibri" w:cs="Calibri" w:eastAsia="Calibri" w:hAnsi="Calibri"/>
                <w:sz w:val="18"/>
                <w:szCs w:val="18"/>
              </w:rPr>
              <w:t xml:space="preserve">  mean, n=10 — Thrombin Production Rate (Mean, nM/min) (</w:t>
            </w:r>
            <w:hyperlink w:history="1" r:id="rIdqfkmzsdg7mxgvtgxcrprm">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197.71</w:t>
            </w:r>
            <w:r>
              <w:rPr>
                <w:rFonts w:ascii="Calibri" w:cs="Calibri" w:eastAsia="Calibri" w:hAnsi="Calibri"/>
                <w:sz w:val="18"/>
                <w:szCs w:val="18"/>
              </w:rPr>
              <w:t xml:space="preserve">  mean, n=10 — Plasmin Concentration Peak (Mean, nM) (</w:t>
            </w:r>
            <w:hyperlink w:history="1" r:id="rIdi5ouaobmdb0tog6_fwou7">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17.63</w:t>
            </w:r>
            <w:r>
              <w:rPr>
                <w:rFonts w:ascii="Calibri" w:cs="Calibri" w:eastAsia="Calibri" w:hAnsi="Calibri"/>
                <w:sz w:val="18"/>
                <w:szCs w:val="18"/>
              </w:rPr>
              <w:t xml:space="preserve">  mean, n=10 — Plasmin Production Rate (Mean, nM/min) (</w:t>
            </w:r>
            <w:hyperlink w:history="1" r:id="rIdksfioht1woczrnvxt8vc_">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sheep</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Oreff et al. 2021 found sheep tenocytes matched human tenocytes mainly under constant inflammation (Mahalanobis 8.94) but diverged under healthy conditions (Mahalanobis 24.78); MMP genes were relatively close (8.6) while inflammatory mediators were farther (18.51). n=3 biological replicates/species; some slope differences were small but significant (proliferation diff −0.0878, p=0.009).</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Similarity shifts with inflammatory state (healthy vs transient vs constant) and varies by gene set.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-0.0878–0.1169</w:t>
            </w:r>
            <w:r>
              <w:rPr>
                <w:rFonts w:ascii="Calibri" w:cs="Calibri" w:eastAsia="Calibri" w:hAnsi="Calibri"/>
                <w:sz w:val="18"/>
                <w:szCs w:val="18"/>
              </w:rPr>
              <w:t xml:space="preserve">  slope — Proliferation capacity (slope difference to human) under healthy conditions (</w:t>
            </w:r>
            <w:hyperlink w:history="1" r:id="rIdtx_-aask_r6dfgfztsgky">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8.94–24.78</w:t>
            </w:r>
            <w:r>
              <w:rPr>
                <w:rFonts w:ascii="Calibri" w:cs="Calibri" w:eastAsia="Calibri" w:hAnsi="Calibri"/>
                <w:sz w:val="18"/>
                <w:szCs w:val="18"/>
              </w:rPr>
              <w:t xml:space="preserve">  mahalanobis distance — Mahalanobis distance to human for all genes combined under healthy conditions (</w:t>
            </w:r>
            <w:hyperlink w:history="1" r:id="rIdstyayx7vl7dyzqhngeawb">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-0.0188–-0.0112</w:t>
            </w:r>
            <w:r>
              <w:rPr>
                <w:rFonts w:ascii="Calibri" w:cs="Calibri" w:eastAsia="Calibri" w:hAnsi="Calibri"/>
                <w:sz w:val="18"/>
                <w:szCs w:val="18"/>
              </w:rPr>
              <w:t xml:space="preserve">  slope — Migration slope (difference to human) under transient inflammation (</w:t>
            </w:r>
            <w:hyperlink w:history="1" r:id="rIdz8ap9ysudd-sz0vlncn1x">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0.018555</w:t>
            </w:r>
            <w:r>
              <w:rPr>
                <w:rFonts w:ascii="Calibri" w:cs="Calibri" w:eastAsia="Calibri" w:hAnsi="Calibri"/>
                <w:sz w:val="18"/>
                <w:szCs w:val="18"/>
              </w:rPr>
              <w:t xml:space="preserve">  slope — Migration slope (difference to human) under healthy conditions (</w:t>
            </w:r>
            <w:hyperlink w:history="1" r:id="rId7f3a1e4vj2wx_hguea9as">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10.54</w:t>
            </w:r>
            <w:r>
              <w:rPr>
                <w:rFonts w:ascii="Calibri" w:cs="Calibri" w:eastAsia="Calibri" w:hAnsi="Calibri"/>
                <w:sz w:val="18"/>
                <w:szCs w:val="18"/>
              </w:rPr>
              <w:t xml:space="preserve">  mahalanobis distance — Mahalanobis distance to human for tenogenic markers (SCX, TNC, TNMD) (</w:t>
            </w:r>
            <w:hyperlink w:history="1" r:id="rIdmqx8jvr1jmvq6l8zhcvyh">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12.88</w:t>
            </w:r>
            <w:r>
              <w:rPr>
                <w:rFonts w:ascii="Calibri" w:cs="Calibri" w:eastAsia="Calibri" w:hAnsi="Calibri"/>
                <w:sz w:val="18"/>
                <w:szCs w:val="18"/>
              </w:rPr>
              <w:t xml:space="preserve">  mahalanobis distance — Mahalanobis distance to human for collagens (COL1, COL3, COL5) (</w:t>
            </w:r>
            <w:hyperlink w:history="1" r:id="rIdls2ephbtg3nkn6rpgsdlt">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Veterinary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Dog models recapitulated many human cancer transcriptomes, with robustness scores up to 85.05% (adult bladder) and several tumors ≥70% (pediatric glioma 79.88%, adult head &amp; neck 78.20%). However, suitability varied by tumor type and negative controls (ACC, LAML) scored low (adult ACC 31.10%).</w:t>
            </w:r>
          </w:p>
          <w:p>
            <w:pPr>
              <w:spacing w:after="50"/>
            </w:pPr>
            <w:r>
              <w:rPr>
                <w:rFonts w:ascii="Calibri" w:cs="Calibri" w:eastAsia="Calibri" w:hAnsi="Calibri"/>
                <w:b/>
                <w:bCs/>
                <w:color w:val="8A6D00"/>
                <w:sz w:val="17"/>
                <w:szCs w:val="17"/>
              </w:rPr>
              <w:t xml:space="preserve">Negative controls. </w:t>
            </w:r>
            <w:r>
              <w:rPr>
                <w:rFonts w:ascii="Calibri" w:cs="Calibri" w:eastAsia="Calibri" w:hAnsi="Calibri"/>
                <w:i/>
                <w:iCs/>
                <w:color w:val="8A6D00"/>
                <w:sz w:val="17"/>
                <w:szCs w:val="17"/>
              </w:rPr>
              <w:t xml:space="preserve">Negative controls reported: adult adrenocortical carcinoma 31.10%, pediatric adrenocortical carcinoma 33.56%, adult leukemia (LAML) 40.31%. These are designed to score low and are excluded from the reading above.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Scores vary across cancer types (adult vs pediatric and tumor lineage) and include deliberate negative-control cancers.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0.0215–0.1007</w:t>
            </w:r>
            <w:r>
              <w:rPr>
                <w:rFonts w:ascii="Calibri" w:cs="Calibri" w:eastAsia="Calibri" w:hAnsi="Calibri"/>
                <w:sz w:val="18"/>
                <w:szCs w:val="18"/>
              </w:rPr>
              <w:t xml:space="preserve">  mean difference — mean difference in sample-sample correlation between diff cancer-same species group and same cancer-diff species group (</w:t>
            </w:r>
            <w:hyperlink w:history="1" r:id="rIdemywyw0rkaygwcubtdth2">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78.2–85.05%</w:t>
            </w:r>
            <w:r>
              <w:rPr>
                <w:rFonts w:ascii="Calibri" w:cs="Calibri" w:eastAsia="Calibri" w:hAnsi="Calibri"/>
                <w:sz w:val="18"/>
                <w:szCs w:val="18"/>
              </w:rPr>
              <w:t xml:space="preserve">  score — model robustness score for adult bladder cancer (</w:t>
            </w:r>
            <w:hyperlink w:history="1" r:id="rId0ansjoyx-ir5ckp1jy8zj">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72.95–79.88%</w:t>
            </w:r>
            <w:r>
              <w:rPr>
                <w:rFonts w:ascii="Calibri" w:cs="Calibri" w:eastAsia="Calibri" w:hAnsi="Calibri"/>
                <w:sz w:val="18"/>
                <w:szCs w:val="18"/>
              </w:rPr>
              <w:t xml:space="preserve">  score — model robustness score for pediatric glioma (</w:t>
            </w:r>
            <w:hyperlink w:history="1" r:id="rIdyt7h4blhg7cm-tjvu8j2q">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72.1–76.85%</w:t>
            </w:r>
            <w:r>
              <w:rPr>
                <w:rFonts w:ascii="Calibri" w:cs="Calibri" w:eastAsia="Calibri" w:hAnsi="Calibri"/>
                <w:sz w:val="18"/>
                <w:szCs w:val="18"/>
              </w:rPr>
              <w:t xml:space="preserve">  score — model robustness score for adult melanoma (</w:t>
            </w:r>
            <w:hyperlink w:history="1" r:id="rIdxu0swgtjdps2rejubahww">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62.33–69.78%</w:t>
            </w:r>
            <w:r>
              <w:rPr>
                <w:rFonts w:ascii="Calibri" w:cs="Calibri" w:eastAsia="Calibri" w:hAnsi="Calibri"/>
                <w:sz w:val="18"/>
                <w:szCs w:val="18"/>
              </w:rPr>
              <w:t xml:space="preserve">  score — model robustness score for adult breast cancer (</w:t>
            </w:r>
            <w:hyperlink w:history="1" r:id="rIdpkwgxz3er3hjgunfjwnez">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48.33–64.13%</w:t>
            </w:r>
            <w:r>
              <w:rPr>
                <w:rFonts w:ascii="Calibri" w:cs="Calibri" w:eastAsia="Calibri" w:hAnsi="Calibri"/>
                <w:sz w:val="18"/>
                <w:szCs w:val="18"/>
              </w:rPr>
              <w:t xml:space="preserve">  score — model robustness score for adult sarcoma (</w:t>
            </w:r>
            <w:hyperlink w:history="1" r:id="rIdgfr9xl1ld0natb2wpyjdu">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tc>
      </w:tr>
    </w:tbl>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lri0dfxy_7sgfw0lsdba" Type="http://schemas.openxmlformats.org/officeDocument/2006/relationships/hyperlink" Target="https://rohitium.github.io/animal-model-concordance/" TargetMode="External"/><Relationship Id="rId2d5hq9yc_8a4jycnwbua_" Type="http://schemas.openxmlformats.org/officeDocument/2006/relationships/hyperlink" Target="https://pubmed.ncbi.nlm.nih.gov/16453316/" TargetMode="External"/><Relationship Id="rIdnjdsjkdq2l5poxtl_gyl3" Type="http://schemas.openxmlformats.org/officeDocument/2006/relationships/hyperlink" Target="https://pubmed.ncbi.nlm.nih.gov/16453316/" TargetMode="External"/><Relationship Id="rIdw6b-c4zh6gdegigkxjlee" Type="http://schemas.openxmlformats.org/officeDocument/2006/relationships/hyperlink" Target="https://pubmed.ncbi.nlm.nih.gov/16453316/" TargetMode="External"/><Relationship Id="rIddzyag8yyvytys4m2zckqf" Type="http://schemas.openxmlformats.org/officeDocument/2006/relationships/hyperlink" Target="https://pubmed.ncbi.nlm.nih.gov/16453316/" TargetMode="External"/><Relationship Id="rIdynkwraix3coftcj9wmbzt" Type="http://schemas.openxmlformats.org/officeDocument/2006/relationships/hyperlink" Target="https://pubmed.ncbi.nlm.nih.gov/31307492/" TargetMode="External"/><Relationship Id="rIdyck8muzoxecku05wycuh4" Type="http://schemas.openxmlformats.org/officeDocument/2006/relationships/hyperlink" Target="https://pubmed.ncbi.nlm.nih.gov/32391273/" TargetMode="External"/><Relationship Id="rId3ykiq4eqnwjkssmhjdxer" Type="http://schemas.openxmlformats.org/officeDocument/2006/relationships/hyperlink" Target="https://pubmed.ncbi.nlm.nih.gov/32391273/" TargetMode="External"/><Relationship Id="rIdm2oawhboqvuj2_36wfszp" Type="http://schemas.openxmlformats.org/officeDocument/2006/relationships/hyperlink" Target="https://pubmed.ncbi.nlm.nih.gov/32391273/" TargetMode="External"/><Relationship Id="rIdvuvugaz49h_nprmltjnqd" Type="http://schemas.openxmlformats.org/officeDocument/2006/relationships/hyperlink" Target="https://pubmed.ncbi.nlm.nih.gov/32391273/" TargetMode="External"/><Relationship Id="rIdohjfdafzerxp4q8wnharv" Type="http://schemas.openxmlformats.org/officeDocument/2006/relationships/hyperlink" Target="https://pubmed.ncbi.nlm.nih.gov/32391273/" TargetMode="External"/><Relationship Id="rIdzrw3ioaayfwgkqgkmpm6-" Type="http://schemas.openxmlformats.org/officeDocument/2006/relationships/hyperlink" Target="https://pubmed.ncbi.nlm.nih.gov/31307492/" TargetMode="External"/><Relationship Id="rIdnygokx43-qdifztcm1tu7" Type="http://schemas.openxmlformats.org/officeDocument/2006/relationships/hyperlink" Target="https://pubmed.ncbi.nlm.nih.gov/17175568/" TargetMode="External"/><Relationship Id="rId8tkapcywztj8gha1eggwa" Type="http://schemas.openxmlformats.org/officeDocument/2006/relationships/hyperlink" Target="https://pubmed.ncbi.nlm.nih.gov/31694927/" TargetMode="External"/><Relationship Id="rIdy3fswqxkokfmzzdnvdj9a" Type="http://schemas.openxmlformats.org/officeDocument/2006/relationships/hyperlink" Target="https://pubmed.ncbi.nlm.nih.gov/28893587/" TargetMode="External"/><Relationship Id="rIdno790lh63hs3feftkmg0m" Type="http://schemas.openxmlformats.org/officeDocument/2006/relationships/hyperlink" Target="https://pubmed.ncbi.nlm.nih.gov/29730448/" TargetMode="External"/><Relationship Id="rId8sdtjsgttybs6jzwm1kc3" Type="http://schemas.openxmlformats.org/officeDocument/2006/relationships/hyperlink" Target="https://pubmed.ncbi.nlm.nih.gov/31694927/" TargetMode="External"/><Relationship Id="rIdjkcczgpkfnriy0lhyjegg" Type="http://schemas.openxmlformats.org/officeDocument/2006/relationships/hyperlink" Target="https://pubmed.ncbi.nlm.nih.gov/28893587/" TargetMode="External"/><Relationship Id="rId88v4kdbqsii9fzdecdvqz" Type="http://schemas.openxmlformats.org/officeDocument/2006/relationships/hyperlink" Target="https://pubmed.ncbi.nlm.nih.gov/28893587/" TargetMode="External"/><Relationship Id="rIdj4sqbfjw-npwtqesegox8" Type="http://schemas.openxmlformats.org/officeDocument/2006/relationships/hyperlink" Target="https://pubmed.ncbi.nlm.nih.gov/28893587/" TargetMode="External"/><Relationship Id="rIdutb_47pxdquddp8bczv2x" Type="http://schemas.openxmlformats.org/officeDocument/2006/relationships/hyperlink" Target="https://pubmed.ncbi.nlm.nih.gov/28893587/" TargetMode="External"/><Relationship Id="rIdmjjyl5a-2h6sbeputchyj" Type="http://schemas.openxmlformats.org/officeDocument/2006/relationships/hyperlink" Target="https://pubmed.ncbi.nlm.nih.gov/28893587/" TargetMode="External"/><Relationship Id="rIdnt4ufleweemlixb_gklmx" Type="http://schemas.openxmlformats.org/officeDocument/2006/relationships/hyperlink" Target="https://pubmed.ncbi.nlm.nih.gov/29730448/" TargetMode="External"/><Relationship Id="rIdoph7b0osdnuskqw45h-4u" Type="http://schemas.openxmlformats.org/officeDocument/2006/relationships/hyperlink" Target="https://pubmed.ncbi.nlm.nih.gov/26753942/" TargetMode="External"/><Relationship Id="rIderhzjepgi7cxoymbrvp48" Type="http://schemas.openxmlformats.org/officeDocument/2006/relationships/hyperlink" Target="https://pubmed.ncbi.nlm.nih.gov/28893587/" TargetMode="External"/><Relationship Id="rIdjvxgig04iedoq-xh4flnl" Type="http://schemas.openxmlformats.org/officeDocument/2006/relationships/hyperlink" Target="https://pubmed.ncbi.nlm.nih.gov/29730448/" TargetMode="External"/><Relationship Id="rIdkujzqawlyptec6eikcoim" Type="http://schemas.openxmlformats.org/officeDocument/2006/relationships/hyperlink" Target="https://pubmed.ncbi.nlm.nih.gov/31694927/" TargetMode="External"/><Relationship Id="rId-r2tbnnyhs5smrvuvuf8k" Type="http://schemas.openxmlformats.org/officeDocument/2006/relationships/hyperlink" Target="https://pubmed.ncbi.nlm.nih.gov/32868897/" TargetMode="External"/><Relationship Id="rIdqwokmnt-ensh-autawuhw" Type="http://schemas.openxmlformats.org/officeDocument/2006/relationships/hyperlink" Target="https://pubmed.ncbi.nlm.nih.gov/32868897/" TargetMode="External"/><Relationship Id="rIdc1kjhhwmnhgiys4nf6zvk" Type="http://schemas.openxmlformats.org/officeDocument/2006/relationships/hyperlink" Target="https://pubmed.ncbi.nlm.nih.gov/32868897/" TargetMode="External"/><Relationship Id="rIdyeu8-ckr9xmbneciov2g-" Type="http://schemas.openxmlformats.org/officeDocument/2006/relationships/hyperlink" Target="https://pubmed.ncbi.nlm.nih.gov/32868897/" TargetMode="External"/><Relationship Id="rIdirwmxsxylpysh9usaneur" Type="http://schemas.openxmlformats.org/officeDocument/2006/relationships/hyperlink" Target="https://pubmed.ncbi.nlm.nih.gov/29730448/" TargetMode="External"/><Relationship Id="rIdz7-oh7jhcqavnbll_tgmp" Type="http://schemas.openxmlformats.org/officeDocument/2006/relationships/hyperlink" Target="https://pubmed.ncbi.nlm.nih.gov/32868897/" TargetMode="External"/><Relationship Id="rIdqtnd7ujsqt9dsgfszuzdr" Type="http://schemas.openxmlformats.org/officeDocument/2006/relationships/hyperlink" Target="https://pubmed.ncbi.nlm.nih.gov/32868897/" TargetMode="External"/><Relationship Id="rIde757sq71fgouxz5146ou-" Type="http://schemas.openxmlformats.org/officeDocument/2006/relationships/hyperlink" Target="https://pubmed.ncbi.nlm.nih.gov/32868897/" TargetMode="External"/><Relationship Id="rIdzh3hqcmphg_7vzedrhadn" Type="http://schemas.openxmlformats.org/officeDocument/2006/relationships/hyperlink" Target="https://pubmed.ncbi.nlm.nih.gov/32868897/" TargetMode="External"/><Relationship Id="rIdm-jzpya3uhbjiflxazfvh" Type="http://schemas.openxmlformats.org/officeDocument/2006/relationships/hyperlink" Target="https://pubmed.ncbi.nlm.nih.gov/29730448/" TargetMode="External"/><Relationship Id="rId8geb3igz95yzpl0hhwyxz" Type="http://schemas.openxmlformats.org/officeDocument/2006/relationships/hyperlink" Target="https://pubmed.ncbi.nlm.nih.gov/29730448/" TargetMode="External"/><Relationship Id="rId4v46iqjyag5j8y4qh6ub0" Type="http://schemas.openxmlformats.org/officeDocument/2006/relationships/hyperlink" Target="https://pubmed.ncbi.nlm.nih.gov/29730448/" TargetMode="External"/><Relationship Id="rIdc88098tbwdsg_nuuxzto5" Type="http://schemas.openxmlformats.org/officeDocument/2006/relationships/hyperlink" Target="https://pubmed.ncbi.nlm.nih.gov/26753942/" TargetMode="External"/><Relationship Id="rIdskj99rx_j9b0bh-76bidp" Type="http://schemas.openxmlformats.org/officeDocument/2006/relationships/hyperlink" Target="https://pubmed.ncbi.nlm.nih.gov/18468556/" TargetMode="External"/><Relationship Id="rIdeg2pff1iz8qcnowmilvmw" Type="http://schemas.openxmlformats.org/officeDocument/2006/relationships/hyperlink" Target="https://pubmed.ncbi.nlm.nih.gov/18468556/" TargetMode="External"/><Relationship Id="rIdryn68ip947mkmin4msvix" Type="http://schemas.openxmlformats.org/officeDocument/2006/relationships/hyperlink" Target="https://pubmed.ncbi.nlm.nih.gov/18468556/" TargetMode="External"/><Relationship Id="rId1zzkyilizh9va25vlzqyl" Type="http://schemas.openxmlformats.org/officeDocument/2006/relationships/hyperlink" Target="https://pubmed.ncbi.nlm.nih.gov/18468556/" TargetMode="External"/><Relationship Id="rIdcab2pijlug5v0uz0egbaf" Type="http://schemas.openxmlformats.org/officeDocument/2006/relationships/hyperlink" Target="https://pubmed.ncbi.nlm.nih.gov/28422076/" TargetMode="External"/><Relationship Id="rIdzurptlpusex-gzub03vr8" Type="http://schemas.openxmlformats.org/officeDocument/2006/relationships/hyperlink" Target="https://pubmed.ncbi.nlm.nih.gov/28422076/" TargetMode="External"/><Relationship Id="rIdi3dotaewvoxwmtcmzpm3g" Type="http://schemas.openxmlformats.org/officeDocument/2006/relationships/hyperlink" Target="https://pubmed.ncbi.nlm.nih.gov/28893587/" TargetMode="External"/><Relationship Id="rId3u95mkzrceghtmjosawmp" Type="http://schemas.openxmlformats.org/officeDocument/2006/relationships/hyperlink" Target="https://pubmed.ncbi.nlm.nih.gov/28893587/" TargetMode="External"/><Relationship Id="rIdu2mkcy4udtkucilkwyagr" Type="http://schemas.openxmlformats.org/officeDocument/2006/relationships/hyperlink" Target="https://pubmed.ncbi.nlm.nih.gov/28893587/" TargetMode="External"/><Relationship Id="rId_lkuqkc23r-7cwkrm2cnw" Type="http://schemas.openxmlformats.org/officeDocument/2006/relationships/hyperlink" Target="https://pubmed.ncbi.nlm.nih.gov/28893587/" TargetMode="External"/><Relationship Id="rIds3ow1-a56wktsphm4uymd" Type="http://schemas.openxmlformats.org/officeDocument/2006/relationships/hyperlink" Target="https://pubmed.ncbi.nlm.nih.gov/28893587/" TargetMode="External"/><Relationship Id="rIda6ghbmdqsxsqemsrnkbbm" Type="http://schemas.openxmlformats.org/officeDocument/2006/relationships/hyperlink" Target="https://pubmed.ncbi.nlm.nih.gov/28893587/" TargetMode="External"/><Relationship Id="rIdoiq_se9cicftlmoagkdvw" Type="http://schemas.openxmlformats.org/officeDocument/2006/relationships/hyperlink" Target="https://pubmed.ncbi.nlm.nih.gov/28903488/" TargetMode="External"/><Relationship Id="rId8hpbcw0uoxrvncez3glv-" Type="http://schemas.openxmlformats.org/officeDocument/2006/relationships/hyperlink" Target="https://pubmed.ncbi.nlm.nih.gov/30726989/" TargetMode="External"/><Relationship Id="rIdw1hetqpbtssdhmerwtzaz" Type="http://schemas.openxmlformats.org/officeDocument/2006/relationships/hyperlink" Target="https://pubmed.ncbi.nlm.nih.gov/30726989/" TargetMode="External"/><Relationship Id="rIdzmbcppdotaoxq3vxva2k5" Type="http://schemas.openxmlformats.org/officeDocument/2006/relationships/hyperlink" Target="https://pubmed.ncbi.nlm.nih.gov/28903488/" TargetMode="External"/><Relationship Id="rId9g6inez4lyykz8i0p3k8k" Type="http://schemas.openxmlformats.org/officeDocument/2006/relationships/hyperlink" Target="https://pubmed.ncbi.nlm.nih.gov/38852684/" TargetMode="External"/><Relationship Id="rIdsu-je-sbac5fdeoyuztfc" Type="http://schemas.openxmlformats.org/officeDocument/2006/relationships/hyperlink" Target="https://pubmed.ncbi.nlm.nih.gov/35148401/" TargetMode="External"/><Relationship Id="rId8f5p9gc5qgvgauswhnt4c" Type="http://schemas.openxmlformats.org/officeDocument/2006/relationships/hyperlink" Target="https://pubmed.ncbi.nlm.nih.gov/30726989/" TargetMode="External"/><Relationship Id="rIdnex88y1amtmary9jodu4u" Type="http://schemas.openxmlformats.org/officeDocument/2006/relationships/hyperlink" Target="https://pubmed.ncbi.nlm.nih.gov/30726989/" TargetMode="External"/><Relationship Id="rIdkxwrre2vevqrz03rxripx" Type="http://schemas.openxmlformats.org/officeDocument/2006/relationships/hyperlink" Target="https://pubmed.ncbi.nlm.nih.gov/38852684/" TargetMode="External"/><Relationship Id="rIdqeaow9chlsdmw2vhkmsg2" Type="http://schemas.openxmlformats.org/officeDocument/2006/relationships/hyperlink" Target="https://pubmed.ncbi.nlm.nih.gov/38852684/" TargetMode="External"/><Relationship Id="rIdmesf_u0vn8osg_mqeykcg" Type="http://schemas.openxmlformats.org/officeDocument/2006/relationships/hyperlink" Target="https://pubmed.ncbi.nlm.nih.gov/38852684/" TargetMode="External"/><Relationship Id="rIdarrcsgdwyoap33ppxsegh" Type="http://schemas.openxmlformats.org/officeDocument/2006/relationships/hyperlink" Target="https://pubmed.ncbi.nlm.nih.gov/38852684/" TargetMode="External"/><Relationship Id="rIdgscbjc8c-yvqvpksc8zuq" Type="http://schemas.openxmlformats.org/officeDocument/2006/relationships/hyperlink" Target="https://pubmed.ncbi.nlm.nih.gov/30726989/" TargetMode="External"/><Relationship Id="rIdfnme1zsepgt3km3o-la9z" Type="http://schemas.openxmlformats.org/officeDocument/2006/relationships/hyperlink" Target="https://pubmed.ncbi.nlm.nih.gov/30726989/" TargetMode="External"/><Relationship Id="rIde3qu1z8tbclafjq8pjuim" Type="http://schemas.openxmlformats.org/officeDocument/2006/relationships/hyperlink" Target="https://pubmed.ncbi.nlm.nih.gov/30726989/" TargetMode="External"/><Relationship Id="rIdyokf09wgljkaysozsavv9" Type="http://schemas.openxmlformats.org/officeDocument/2006/relationships/hyperlink" Target="https://pubmed.ncbi.nlm.nih.gov/30726989/" TargetMode="External"/><Relationship Id="rIdo1sy_7uu7rmtumnpfuzki" Type="http://schemas.openxmlformats.org/officeDocument/2006/relationships/hyperlink" Target="https://pubmed.ncbi.nlm.nih.gov/30726989/" TargetMode="External"/><Relationship Id="rIdw9mjwu7apledue7vqa-rf" Type="http://schemas.openxmlformats.org/officeDocument/2006/relationships/hyperlink" Target="https://pubmed.ncbi.nlm.nih.gov/23401516/" TargetMode="External"/><Relationship Id="rIdygkqdsxiuqkzfe3hxlxkh" Type="http://schemas.openxmlformats.org/officeDocument/2006/relationships/hyperlink" Target="https://pubmed.ncbi.nlm.nih.gov/25092317/" TargetMode="External"/><Relationship Id="rIdsqvwp0rhskqhs9fsaag0m" Type="http://schemas.openxmlformats.org/officeDocument/2006/relationships/hyperlink" Target="https://pubmed.ncbi.nlm.nih.gov/23401516/" TargetMode="External"/><Relationship Id="rId238tmlxdj_iwduiodgtmw" Type="http://schemas.openxmlformats.org/officeDocument/2006/relationships/hyperlink" Target="https://pubmed.ncbi.nlm.nih.gov/25092317/" TargetMode="External"/><Relationship Id="rId27_hioq7yvzgzf3qyrz8v" Type="http://schemas.openxmlformats.org/officeDocument/2006/relationships/hyperlink" Target="https://pubmed.ncbi.nlm.nih.gov/25092317/" TargetMode="External"/><Relationship Id="rIdyirtfhqhzbqbzkvyu40dw" Type="http://schemas.openxmlformats.org/officeDocument/2006/relationships/hyperlink" Target="https://pubmed.ncbi.nlm.nih.gov/25092317/" TargetMode="External"/><Relationship Id="rIdg5gyo9t3n6gg30k7hojmd" Type="http://schemas.openxmlformats.org/officeDocument/2006/relationships/hyperlink" Target="https://pubmed.ncbi.nlm.nih.gov/25092317/" TargetMode="External"/><Relationship Id="rIdg7mzogdxalohvrdevmd9w" Type="http://schemas.openxmlformats.org/officeDocument/2006/relationships/hyperlink" Target="https://pubmed.ncbi.nlm.nih.gov/40849367/" TargetMode="External"/><Relationship Id="rId7izcc5gqqetn9jjccfnhz" Type="http://schemas.openxmlformats.org/officeDocument/2006/relationships/hyperlink" Target="https://pubmed.ncbi.nlm.nih.gov/32127577/" TargetMode="External"/><Relationship Id="rIdtpcq-u8yqxoza8k4guraj" Type="http://schemas.openxmlformats.org/officeDocument/2006/relationships/hyperlink" Target="https://pubmed.ncbi.nlm.nih.gov/32127577/" TargetMode="External"/><Relationship Id="rIdohu1tdpjqqtyulbfv8ey5" Type="http://schemas.openxmlformats.org/officeDocument/2006/relationships/hyperlink" Target="https://pubmed.ncbi.nlm.nih.gov/34127759/" TargetMode="External"/><Relationship Id="rIdlgcu_oymn-bov-y2naoag" Type="http://schemas.openxmlformats.org/officeDocument/2006/relationships/hyperlink" Target="https://pubmed.ncbi.nlm.nih.gov/34127759/" TargetMode="External"/><Relationship Id="rIdj5aukc1ysptui5nsjdmkw" Type="http://schemas.openxmlformats.org/officeDocument/2006/relationships/hyperlink" Target="https://pubmed.ncbi.nlm.nih.gov/25677548/" TargetMode="External"/><Relationship Id="rIdkb__3zn6fqx-4gmtv0_ta" Type="http://schemas.openxmlformats.org/officeDocument/2006/relationships/hyperlink" Target="https://pubmed.ncbi.nlm.nih.gov/36730203/" TargetMode="External"/><Relationship Id="rIdosygqqknvniwjlno83e2d" Type="http://schemas.openxmlformats.org/officeDocument/2006/relationships/hyperlink" Target="https://pubmed.ncbi.nlm.nih.gov/36730203/" TargetMode="External"/><Relationship Id="rIdqdg0tdtdvf3af6wptc3ej" Type="http://schemas.openxmlformats.org/officeDocument/2006/relationships/hyperlink" Target="https://pubmed.ncbi.nlm.nih.gov/36730203/" TargetMode="External"/><Relationship Id="rIdpg1jjbs1gtajgx2xz6jzu" Type="http://schemas.openxmlformats.org/officeDocument/2006/relationships/hyperlink" Target="https://pubmed.ncbi.nlm.nih.gov/36730203/" TargetMode="External"/><Relationship Id="rIdrg-419mua6kb8fw86iaj6" Type="http://schemas.openxmlformats.org/officeDocument/2006/relationships/hyperlink" Target="https://pubmed.ncbi.nlm.nih.gov/34127759/" TargetMode="External"/><Relationship Id="rIdxpuspg5r40i7wmp4zkxkv" Type="http://schemas.openxmlformats.org/officeDocument/2006/relationships/hyperlink" Target="https://pubmed.ncbi.nlm.nih.gov/34127759/" TargetMode="External"/><Relationship Id="rIdcspkj8-uuixaekzanlayo" Type="http://schemas.openxmlformats.org/officeDocument/2006/relationships/hyperlink" Target="https://pubmed.ncbi.nlm.nih.gov/34127759/" TargetMode="External"/><Relationship Id="rIdnh17eylweh9cks2m3_00y" Type="http://schemas.openxmlformats.org/officeDocument/2006/relationships/hyperlink" Target="https://pubmed.ncbi.nlm.nih.gov/34127759/" TargetMode="External"/><Relationship Id="rIdru8b4l6ktrn-ci2v608nx" Type="http://schemas.openxmlformats.org/officeDocument/2006/relationships/hyperlink" Target="https://pubmed.ncbi.nlm.nih.gov/34127759/" TargetMode="External"/><Relationship Id="rId11_mlp6_km_faxp3ayrze" Type="http://schemas.openxmlformats.org/officeDocument/2006/relationships/hyperlink" Target="https://pubmed.ncbi.nlm.nih.gov/34127759/" TargetMode="External"/><Relationship Id="rIdsfka6enh1ktrtmro-64wy" Type="http://schemas.openxmlformats.org/officeDocument/2006/relationships/hyperlink" Target="https://pubmed.ncbi.nlm.nih.gov/32127577/" TargetMode="External"/><Relationship Id="rIdijjbzhc1uiuspjeppswra" Type="http://schemas.openxmlformats.org/officeDocument/2006/relationships/hyperlink" Target="https://pubmed.ncbi.nlm.nih.gov/32127577/" TargetMode="External"/><Relationship Id="rIdtbg66rmbgrudjr-bynhna" Type="http://schemas.openxmlformats.org/officeDocument/2006/relationships/hyperlink" Target="https://pubmed.ncbi.nlm.nih.gov/32127577/" TargetMode="External"/><Relationship Id="rIdvr1rhcctcwrjv3w8hc9bk" Type="http://schemas.openxmlformats.org/officeDocument/2006/relationships/hyperlink" Target="https://pubmed.ncbi.nlm.nih.gov/32127577/" TargetMode="External"/><Relationship Id="rId12pp5bbe0-v1ozjizmal8" Type="http://schemas.openxmlformats.org/officeDocument/2006/relationships/hyperlink" Target="https://pubmed.ncbi.nlm.nih.gov/32127577/" TargetMode="External"/><Relationship Id="rIdie0tc4oxx8qodrid5j0ed" Type="http://schemas.openxmlformats.org/officeDocument/2006/relationships/hyperlink" Target="https://pubmed.ncbi.nlm.nih.gov/32127577/" TargetMode="External"/><Relationship Id="rIdvsyucmd_gvefbil_fwqsw" Type="http://schemas.openxmlformats.org/officeDocument/2006/relationships/hyperlink" Target="https://pubmed.ncbi.nlm.nih.gov/32127577/" TargetMode="External"/><Relationship Id="rIde_icolhnz2lm5coh3glcr" Type="http://schemas.openxmlformats.org/officeDocument/2006/relationships/hyperlink" Target="https://pubmed.ncbi.nlm.nih.gov/32127577/" TargetMode="External"/><Relationship Id="rIdkyovmqy7clrjrsu237dum" Type="http://schemas.openxmlformats.org/officeDocument/2006/relationships/hyperlink" Target="https://pubmed.ncbi.nlm.nih.gov/32127577/" TargetMode="External"/><Relationship Id="rIdqfkmzsdg7mxgvtgxcrprm" Type="http://schemas.openxmlformats.org/officeDocument/2006/relationships/hyperlink" Target="https://pubmed.ncbi.nlm.nih.gov/32127577/" TargetMode="External"/><Relationship Id="rIdi5ouaobmdb0tog6_fwou7" Type="http://schemas.openxmlformats.org/officeDocument/2006/relationships/hyperlink" Target="https://pubmed.ncbi.nlm.nih.gov/32127577/" TargetMode="External"/><Relationship Id="rIdksfioht1woczrnvxt8vc_" Type="http://schemas.openxmlformats.org/officeDocument/2006/relationships/hyperlink" Target="https://pubmed.ncbi.nlm.nih.gov/32127577/" TargetMode="External"/><Relationship Id="rIdtx_-aask_r6dfgfztsgky" Type="http://schemas.openxmlformats.org/officeDocument/2006/relationships/hyperlink" Target="https://pubmed.ncbi.nlm.nih.gov/34127759/" TargetMode="External"/><Relationship Id="rIdstyayx7vl7dyzqhngeawb" Type="http://schemas.openxmlformats.org/officeDocument/2006/relationships/hyperlink" Target="https://pubmed.ncbi.nlm.nih.gov/34127759/" TargetMode="External"/><Relationship Id="rIdz8ap9ysudd-sz0vlncn1x" Type="http://schemas.openxmlformats.org/officeDocument/2006/relationships/hyperlink" Target="https://pubmed.ncbi.nlm.nih.gov/34127759/" TargetMode="External"/><Relationship Id="rId7f3a1e4vj2wx_hguea9as" Type="http://schemas.openxmlformats.org/officeDocument/2006/relationships/hyperlink" Target="https://pubmed.ncbi.nlm.nih.gov/34127759/" TargetMode="External"/><Relationship Id="rIdmqx8jvr1jmvq6l8zhcvyh" Type="http://schemas.openxmlformats.org/officeDocument/2006/relationships/hyperlink" Target="https://pubmed.ncbi.nlm.nih.gov/34127759/" TargetMode="External"/><Relationship Id="rIdls2ephbtg3nkn6rpgsdlt" Type="http://schemas.openxmlformats.org/officeDocument/2006/relationships/hyperlink" Target="https://pubmed.ncbi.nlm.nih.gov/34127759/" TargetMode="External"/><Relationship Id="rIdemywyw0rkaygwcubtdth2" Type="http://schemas.openxmlformats.org/officeDocument/2006/relationships/hyperlink" Target="https://pubmed.ncbi.nlm.nih.gov/42245789/" TargetMode="External"/><Relationship Id="rId0ansjoyx-ir5ckp1jy8zj" Type="http://schemas.openxmlformats.org/officeDocument/2006/relationships/hyperlink" Target="https://pubmed.ncbi.nlm.nih.gov/42245789/" TargetMode="External"/><Relationship Id="rIdyt7h4blhg7cm-tjvu8j2q" Type="http://schemas.openxmlformats.org/officeDocument/2006/relationships/hyperlink" Target="https://pubmed.ncbi.nlm.nih.gov/42245789/" TargetMode="External"/><Relationship Id="rIdxu0swgtjdps2rejubahww" Type="http://schemas.openxmlformats.org/officeDocument/2006/relationships/hyperlink" Target="https://pubmed.ncbi.nlm.nih.gov/42245789/" TargetMode="External"/><Relationship Id="rIdpkwgxz3er3hjgunfjwnez" Type="http://schemas.openxmlformats.org/officeDocument/2006/relationships/hyperlink" Target="https://pubmed.ncbi.nlm.nih.gov/42245789/" TargetMode="External"/><Relationship Id="rIdgfr9xl1ld0natb2wpyjdu" Type="http://schemas.openxmlformats.org/officeDocument/2006/relationships/hyperlink" Target="https://pubmed.ncbi.nlm.nih.gov/42245789/" TargetMode="External"/><Relationship Id="rId1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2026-08-23T05:15:22.728Z</dcterms:created>
  <dcterms:modified xsi:type="dcterms:W3CDTF">2026-08-23T05:15:22.729Z</dcterms:modified>
</cp:coreProperties>
</file>

<file path=docProps/custom.xml><?xml version="1.0" encoding="utf-8"?>
<Properties xmlns="http://schemas.openxmlformats.org/officeDocument/2006/custom-properties" xmlns:vt="http://schemas.openxmlformats.org/officeDocument/2006/docPropsVTypes"/>
</file>