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sz w:val="30"/>
          <w:szCs w:val="30"/>
        </w:rPr>
        <w:t xml:space="preserve">How well do animal models predict human clinical outcomes?</w:t>
      </w:r>
    </w:p>
    <w:p>
      <w:pPr>
        <w:spacing w:after="80"/>
      </w:pPr>
      <w:r>
        <w:rPr>
          <w:rFonts w:ascii="Calibri" w:cs="Calibri" w:eastAsia="Calibri" w:hAnsi="Calibri"/>
          <w:color w:val="444444"/>
          <w:sz w:val="18"/>
          <w:szCs w:val="18"/>
        </w:rPr>
        <w:t xml:space="preserve">Evidence by assessment and model organism. Each figure is reported as the study reported it, in its own units. Nothing is averaged across studies; a range spans only figures measuring the same thing. Grouped labels such as “rodent” are kept as reported and never expanded into member species. Each row opens with a synthesis of what the evidence shows; the underlying figures follow. Study names link to PubMed.</w:t>
      </w:r>
    </w:p>
    <w:p>
      <w:pPr>
        <w:spacing w:after="200"/>
      </w:pPr>
      <w:r>
        <w:rPr>
          <w:rFonts w:ascii="Calibri" w:cs="Calibri" w:eastAsia="Calibri" w:hAnsi="Calibri"/>
          <w:color w:val="444444"/>
          <w:sz w:val="18"/>
          <w:szCs w:val="18"/>
        </w:rPr>
        <w:t xml:space="preserve">Source: </w:t>
      </w:r>
      <w:hyperlink w:history="1" r:id="rIdkfzd2ob122h9_2vp28mpj">
        <w:r>
          <w:rPr>
            <w:rFonts w:ascii="Calibri" w:cs="Calibri" w:eastAsia="Calibri" w:hAnsi="Calibri"/>
            <w:color w:val="1155CC"/>
            <w:sz w:val="18"/>
            <w:szCs w:val="18"/>
            <w:u w:val="single"/>
          </w:rPr>
          <w:t xml:space="preserve">rohitium.github.io/animal-model-concordance</w:t>
        </w:r>
      </w:hyperlink>
      <w:r>
        <w:rPr>
          <w:rFonts w:ascii="Calibri" w:cs="Calibri" w:eastAsia="Calibri" w:hAnsi="Calibri"/>
          <w:color w:val="444444"/>
          <w:sz w:val="18"/>
          <w:szCs w:val="18"/>
        </w:rPr>
        <w:t xml:space="preserve">  ·  Not peer reviewed. Screening and extraction were model-assisted and have not been verified by a second reader. Verdict reliability: two independent raters agree on 73% of studies (Cohen’s kappa 0.58).</w:t>
      </w:r>
    </w:p>
    <w:tbl>
      <w:tblPr>
        <w:tblW w:type="dxa" w:w="13440"/>
        <w:tblBorders>
          <w:top w:val="single" w:color="C9CFD6" w:sz="2"/>
          <w:left w:val="single" w:color="C9CFD6" w:sz="2"/>
          <w:bottom w:val="single" w:color="C9CFD6" w:sz="2"/>
          <w:right w:val="single" w:color="C9CFD6" w:sz="2"/>
          <w:insideH w:val="single" w:color="C9CFD6" w:sz="2"/>
          <w:insideV w:val="single" w:color="C9CFD6" w:sz="2"/>
        </w:tblBorders>
      </w:tblPr>
      <w:tblGrid>
        <w:gridCol w:w="1700"/>
        <w:gridCol w:w="1500"/>
        <w:gridCol w:w="10240"/>
      </w:tblGrid>
      <w:tr>
        <w:trPr>
          <w:tblHeader/>
        </w:trPr>
        <w:tc>
          <w:tcPr>
            <w:tcW w:type="dxa" w:w="1700"/>
            <w:shd w:fill="2E3B4E"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Assessment</w:t>
            </w:r>
          </w:p>
        </w:tc>
        <w:tc>
          <w:tcPr>
            <w:tcW w:type="dxa" w:w="1500"/>
            <w:shd w:fill="2E3B4E"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Model organism</w:t>
            </w:r>
          </w:p>
        </w:tc>
        <w:tc>
          <w:tcPr>
            <w:tcW w:type="dxa" w:w="10240"/>
            <w:shd w:fill="2E3B4E"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Evidence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rodent</w:t>
            </w:r>
          </w:p>
          <w:p>
            <w:pPr>
              <w:spacing w:after="20"/>
            </w:pPr>
            <w:r>
              <w:rPr>
                <w:rFonts w:ascii="Calibri" w:cs="Calibri" w:eastAsia="Calibri" w:hAnsi="Calibri"/>
                <w:color w:val="666666"/>
                <w:sz w:val="17"/>
                <w:szCs w:val="17"/>
              </w:rPr>
              <w:t xml:space="preserve">8 studies</w:t>
            </w:r>
          </w:p>
          <w:p>
            <w:pPr>
              <w:spacing w:after="0"/>
            </w:pPr>
            <w:r>
              <w:rPr>
                <w:rFonts w:ascii="Calibri" w:cs="Calibri" w:eastAsia="Calibri" w:hAnsi="Calibri"/>
                <w:color w:val="666666"/>
                <w:sz w:val="16"/>
                <w:szCs w:val="16"/>
              </w:rPr>
              <w:t xml:space="preserve">4 does not support</w:t>
            </w:r>
          </w:p>
          <w:p>
            <w:pPr>
              <w:spacing w:after="0"/>
            </w:pPr>
            <w:r>
              <w:rPr>
                <w:rFonts w:ascii="Calibri" w:cs="Calibri" w:eastAsia="Calibri" w:hAnsi="Calibri"/>
                <w:color w:val="666666"/>
                <w:sz w:val="16"/>
                <w:szCs w:val="16"/>
              </w:rPr>
              <w:t xml:space="preserve">4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8A2727"/>
                <w:sz w:val="16"/>
                <w:szCs w:val="16"/>
              </w:rPr>
              <w:t xml:space="preserve">EVIDENCE DOES NOT FAVOUR THE MODEL</w:t>
            </w:r>
          </w:p>
          <w:p>
            <w:pPr>
              <w:spacing w:after="60"/>
            </w:pPr>
            <w:r>
              <w:rPr>
                <w:rFonts w:ascii="Calibri" w:cs="Calibri" w:eastAsia="Calibri" w:hAnsi="Calibri"/>
                <w:sz w:val="18"/>
                <w:szCs w:val="18"/>
              </w:rPr>
              <w:t xml:space="preserve">Most studies show poor translation of rodent efficacy to humans: &lt;8% of cancer drugs entering trials translated (Mak et al. 2014) and 3 of 494 animal‑positive stroke interventions worked in patients (Martić‑Kehl et al. 2012). Some exceptions exist—Ferreira et al. 2023 found 84% HED overlap and Spanagel 2017/Sembach 2021 cite specific drug successes—but selective sampling and publication bias limit generalisability.</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Estimates vary by disease area, outcome measured, and study selection (e.g., small/selected IB samples and publication/selective‑reporting bias).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3–70%</w:t>
            </w:r>
            <w:r>
              <w:rPr>
                <w:rFonts w:ascii="Calibri" w:cs="Calibri" w:eastAsia="Calibri" w:hAnsi="Calibri"/>
                <w:sz w:val="18"/>
                <w:szCs w:val="18"/>
              </w:rPr>
              <w:t xml:space="preserve">  proportion — neuroprotective efficacy in global ischemia models (superior to control) (</w:t>
            </w:r>
            <w:hyperlink w:history="1" r:id="rIdqjchtumcfprwjxzu1dkde">
              <w:r>
                <w:rPr>
                  <w:rFonts w:ascii="Calibri" w:cs="Calibri" w:eastAsia="Calibri" w:hAnsi="Calibri"/>
                  <w:color w:val="1155CC"/>
                  <w:sz w:val="18"/>
                  <w:szCs w:val="18"/>
                  <w:u w:val="single"/>
                </w:rPr>
                <w:t xml:space="preserve">O'Collins et al. 2006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4–62%</w:t>
            </w:r>
            <w:r>
              <w:rPr>
                <w:rFonts w:ascii="Calibri" w:cs="Calibri" w:eastAsia="Calibri" w:hAnsi="Calibri"/>
                <w:sz w:val="18"/>
                <w:szCs w:val="18"/>
              </w:rPr>
              <w:t xml:space="preserve">  proportion — neuroprotective efficacy in focal ischemia experimental results (superior to control) (</w:t>
            </w:r>
            <w:hyperlink w:history="1" r:id="rId1ge7vrvz1uuyox2jts2as">
              <w:r>
                <w:rPr>
                  <w:rFonts w:ascii="Calibri" w:cs="Calibri" w:eastAsia="Calibri" w:hAnsi="Calibri"/>
                  <w:color w:val="1155CC"/>
                  <w:sz w:val="18"/>
                  <w:szCs w:val="18"/>
                  <w:u w:val="single"/>
                </w:rPr>
                <w:t xml:space="preserve">O'Collins et al. 2006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64–84%</w:t>
            </w:r>
            <w:r>
              <w:rPr>
                <w:rFonts w:ascii="Calibri" w:cs="Calibri" w:eastAsia="Calibri" w:hAnsi="Calibri"/>
                <w:sz w:val="18"/>
                <w:szCs w:val="18"/>
              </w:rPr>
              <w:t xml:space="preserve">  average overlap — overlap between preclinical and clinical pharmacologically active dose ranges (HED) (</w:t>
            </w:r>
            <w:hyperlink w:history="1" r:id="rIduy1rslwsbm9etdagq4-q3">
              <w:r>
                <w:rPr>
                  <w:rFonts w:ascii="Calibri" w:cs="Calibri" w:eastAsia="Calibri" w:hAnsi="Calibri"/>
                  <w:color w:val="1155CC"/>
                  <w:sz w:val="18"/>
                  <w:szCs w:val="18"/>
                  <w:u w:val="single"/>
                </w:rPr>
                <w:t xml:space="preserve">Ferreira et al. 2023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32–52%</w:t>
            </w:r>
            <w:r>
              <w:rPr>
                <w:rFonts w:ascii="Calibri" w:cs="Calibri" w:eastAsia="Calibri" w:hAnsi="Calibri"/>
                <w:sz w:val="18"/>
                <w:szCs w:val="18"/>
              </w:rPr>
              <w:t xml:space="preserve">  proportion, n=25 studies — clinical studies reporting well-tolerated doses above NOAEL (Cmax) (</w:t>
            </w:r>
            <w:hyperlink w:history="1" r:id="rIdamyjp4wyddocii08_ve8k">
              <w:r>
                <w:rPr>
                  <w:rFonts w:ascii="Calibri" w:cs="Calibri" w:eastAsia="Calibri" w:hAnsi="Calibri"/>
                  <w:color w:val="1155CC"/>
                  <w:sz w:val="18"/>
                  <w:szCs w:val="18"/>
                  <w:u w:val="single"/>
                </w:rPr>
                <w:t xml:space="preserve">Ferreira et al. 2023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16%</w:t>
            </w:r>
            <w:r>
              <w:rPr>
                <w:rFonts w:ascii="Calibri" w:cs="Calibri" w:eastAsia="Calibri" w:hAnsi="Calibri"/>
                <w:sz w:val="18"/>
                <w:szCs w:val="18"/>
              </w:rPr>
              <w:t xml:space="preserve">  proportion — clinical studies reporting unacceptable side effects at values below NOAEL (Cmax) (</w:t>
            </w:r>
            <w:hyperlink w:history="1" r:id="rIdfnnmyofxitqcmj24s7fdp">
              <w:r>
                <w:rPr>
                  <w:rFonts w:ascii="Calibri" w:cs="Calibri" w:eastAsia="Calibri" w:hAnsi="Calibri"/>
                  <w:color w:val="1155CC"/>
                  <w:sz w:val="18"/>
                  <w:szCs w:val="18"/>
                  <w:u w:val="single"/>
                </w:rPr>
                <w:t xml:space="preserve">Ferreira et al. 2023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60–83%</w:t>
            </w:r>
            <w:r>
              <w:rPr>
                <w:rFonts w:ascii="Calibri" w:cs="Calibri" w:eastAsia="Calibri" w:hAnsi="Calibri"/>
                <w:sz w:val="18"/>
                <w:szCs w:val="18"/>
              </w:rPr>
              <w:t xml:space="preserve">  proportion, n=25 studies — overlap of preclinical and clinical pharmacologically active dose ranges (HED) &gt;= 80% (</w:t>
            </w:r>
            <w:hyperlink w:history="1" r:id="rIdavr6rzudtrbymet7s352f">
              <w:r>
                <w:rPr>
                  <w:rFonts w:ascii="Calibri" w:cs="Calibri" w:eastAsia="Calibri" w:hAnsi="Calibri"/>
                  <w:color w:val="1155CC"/>
                  <w:sz w:val="18"/>
                  <w:szCs w:val="18"/>
                  <w:u w:val="single"/>
                </w:rPr>
                <w:t xml:space="preserve">Ferreira et al. 2023</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8% success rate for drugs passing Phase I is out of those that enter clinical trials, which is already a subset of highly cited animal research (only about a third of which enters clinical trials). The 85% failure rate for early clinical trials is despite successful pre-clinical testing.</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non-human primate</w:t>
            </w:r>
          </w:p>
          <w:p>
            <w:pPr>
              <w:spacing w:after="20"/>
            </w:pPr>
            <w:r>
              <w:rPr>
                <w:rFonts w:ascii="Calibri" w:cs="Calibri" w:eastAsia="Calibri" w:hAnsi="Calibri"/>
                <w:color w:val="666666"/>
                <w:sz w:val="17"/>
                <w:szCs w:val="17"/>
              </w:rPr>
              <w:t xml:space="preserve">6 studies</w:t>
            </w:r>
          </w:p>
          <w:p>
            <w:pPr>
              <w:spacing w:after="0"/>
            </w:pPr>
            <w:r>
              <w:rPr>
                <w:rFonts w:ascii="Calibri" w:cs="Calibri" w:eastAsia="Calibri" w:hAnsi="Calibri"/>
                <w:color w:val="666666"/>
                <w:sz w:val="16"/>
                <w:szCs w:val="16"/>
              </w:rPr>
              <w:t xml:space="preserve">5 partly supports</w:t>
            </w:r>
          </w:p>
          <w:p>
            <w:pPr>
              <w:spacing w:after="0"/>
            </w:pPr>
            <w:r>
              <w:rPr>
                <w:rFonts w:ascii="Calibri" w:cs="Calibri" w:eastAsia="Calibri" w:hAnsi="Calibri"/>
                <w:color w:val="666666"/>
                <w:sz w:val="16"/>
                <w:szCs w:val="16"/>
              </w:rPr>
              <w:t xml:space="preserve">1 does not support</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some NHP results tracked clinical outcomes (thrombolysis: 24% infarct reduction and 23% neurobehavioural gain in animal models — Perel et al. 2007; HED overlap 84% — Ferreira et al. 2023), but many did not (3/494 stroke interventions; 100% AIDS‑vaccine failure — Martić‑Kehl et al. 2012).</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Findings vary by intervention class and outcome (e.g., thrombolytics and bisphosphonates translated, whereas vaccines and many neuroprotectants did not).</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64–84%</w:t>
            </w:r>
            <w:r>
              <w:rPr>
                <w:rFonts w:ascii="Calibri" w:cs="Calibri" w:eastAsia="Calibri" w:hAnsi="Calibri"/>
                <w:sz w:val="18"/>
                <w:szCs w:val="18"/>
              </w:rPr>
              <w:t xml:space="preserve">  average overlap — overlap between preclinical and clinical pharmacologically active dose ranges (HED) (</w:t>
            </w:r>
            <w:hyperlink w:history="1" r:id="rId6rdkwopyshhhoaknuptf5">
              <w:r>
                <w:rPr>
                  <w:rFonts w:ascii="Calibri" w:cs="Calibri" w:eastAsia="Calibri" w:hAnsi="Calibri"/>
                  <w:color w:val="1155CC"/>
                  <w:sz w:val="18"/>
                  <w:szCs w:val="18"/>
                  <w:u w:val="single"/>
                </w:rPr>
                <w:t xml:space="preserve">Ferreira et al. 2023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32–52%</w:t>
            </w:r>
            <w:r>
              <w:rPr>
                <w:rFonts w:ascii="Calibri" w:cs="Calibri" w:eastAsia="Calibri" w:hAnsi="Calibri"/>
                <w:sz w:val="18"/>
                <w:szCs w:val="18"/>
              </w:rPr>
              <w:t xml:space="preserve">  proportion, n=25 studies — clinical studies reporting well-tolerated doses above NOAEL (Cmax) (</w:t>
            </w:r>
            <w:hyperlink w:history="1" r:id="rIdj3zmirotlgykvmqn8bw8i">
              <w:r>
                <w:rPr>
                  <w:rFonts w:ascii="Calibri" w:cs="Calibri" w:eastAsia="Calibri" w:hAnsi="Calibri"/>
                  <w:color w:val="1155CC"/>
                  <w:sz w:val="18"/>
                  <w:szCs w:val="18"/>
                  <w:u w:val="single"/>
                </w:rPr>
                <w:t xml:space="preserve">Ferreira et al. 2023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16%</w:t>
            </w:r>
            <w:r>
              <w:rPr>
                <w:rFonts w:ascii="Calibri" w:cs="Calibri" w:eastAsia="Calibri" w:hAnsi="Calibri"/>
                <w:sz w:val="18"/>
                <w:szCs w:val="18"/>
              </w:rPr>
              <w:t xml:space="preserve">  proportion — clinical studies reporting unacceptable side effects at values below NOAEL (Cmax) (</w:t>
            </w:r>
            <w:hyperlink w:history="1" r:id="rIdscw4daruyvqriubqswyqy">
              <w:r>
                <w:rPr>
                  <w:rFonts w:ascii="Calibri" w:cs="Calibri" w:eastAsia="Calibri" w:hAnsi="Calibri"/>
                  <w:color w:val="1155CC"/>
                  <w:sz w:val="18"/>
                  <w:szCs w:val="18"/>
                  <w:u w:val="single"/>
                </w:rPr>
                <w:t xml:space="preserve">Ferreira et al. 2023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60–83%</w:t>
            </w:r>
            <w:r>
              <w:rPr>
                <w:rFonts w:ascii="Calibri" w:cs="Calibri" w:eastAsia="Calibri" w:hAnsi="Calibri"/>
                <w:sz w:val="18"/>
                <w:szCs w:val="18"/>
              </w:rPr>
              <w:t xml:space="preserve">  proportion, n=25 studies — overlap of preclinical and clinical pharmacologically active dose ranges (HED) &gt;= 80% (</w:t>
            </w:r>
            <w:hyperlink w:history="1" r:id="rIdst4mi6oqxuaxj9iztos0b">
              <w:r>
                <w:rPr>
                  <w:rFonts w:ascii="Calibri" w:cs="Calibri" w:eastAsia="Calibri" w:hAnsi="Calibri"/>
                  <w:color w:val="1155CC"/>
                  <w:sz w:val="18"/>
                  <w:szCs w:val="18"/>
                  <w:u w:val="single"/>
                </w:rPr>
                <w:t xml:space="preserve">Ferreira et al. 2023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8–28%</w:t>
            </w:r>
            <w:r>
              <w:rPr>
                <w:rFonts w:ascii="Calibri" w:cs="Calibri" w:eastAsia="Calibri" w:hAnsi="Calibri"/>
                <w:sz w:val="18"/>
                <w:szCs w:val="18"/>
              </w:rPr>
              <w:t xml:space="preserve">  proportion, n=25 studies — poor preclinical prediction of clinical active range (HED) &lt;= 20% overlap (</w:t>
            </w:r>
            <w:hyperlink w:history="1" r:id="rIdsyvcttywdkamicwfj01as">
              <w:r>
                <w:rPr>
                  <w:rFonts w:ascii="Calibri" w:cs="Calibri" w:eastAsia="Calibri" w:hAnsi="Calibri"/>
                  <w:color w:val="1155CC"/>
                  <w:sz w:val="18"/>
                  <w:szCs w:val="18"/>
                  <w:u w:val="single"/>
                </w:rPr>
                <w:t xml:space="preserve">Ferreira et al. 2023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24–29%</w:t>
            </w:r>
            <w:r>
              <w:rPr>
                <w:rFonts w:ascii="Calibri" w:cs="Calibri" w:eastAsia="Calibri" w:hAnsi="Calibri"/>
                <w:sz w:val="18"/>
                <w:szCs w:val="18"/>
              </w:rPr>
              <w:t xml:space="preserve">  reduction — Thrombolysis in acute ischaemic stroke: infarct volume reduction (</w:t>
            </w:r>
            <w:hyperlink w:history="1" r:id="rId69w4vcjudmfh8kpmt_n15">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study included only 25 IBs, which were selected based on specific criteria (e.g., statistically significant CNS activity, reported dose ranges for tolerability and pharmacological activity). This selection process might introduce bias and limit the generalizability of the findings.</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mouse</w:t>
            </w:r>
          </w:p>
          <w:p>
            <w:pPr>
              <w:spacing w:after="20"/>
            </w:pPr>
            <w:r>
              <w:rPr>
                <w:rFonts w:ascii="Calibri" w:cs="Calibri" w:eastAsia="Calibri" w:hAnsi="Calibri"/>
                <w:color w:val="666666"/>
                <w:sz w:val="17"/>
                <w:szCs w:val="17"/>
              </w:rPr>
              <w:t xml:space="preserve">5 studies</w:t>
            </w:r>
          </w:p>
          <w:p>
            <w:pPr>
              <w:spacing w:after="0"/>
            </w:pPr>
            <w:r>
              <w:rPr>
                <w:rFonts w:ascii="Calibri" w:cs="Calibri" w:eastAsia="Calibri" w:hAnsi="Calibri"/>
                <w:color w:val="666666"/>
                <w:sz w:val="16"/>
                <w:szCs w:val="16"/>
              </w:rPr>
              <w:t xml:space="preserve">3 partly supports</w:t>
            </w:r>
          </w:p>
          <w:p>
            <w:pPr>
              <w:spacing w:after="0"/>
            </w:pPr>
            <w:r>
              <w:rPr>
                <w:rFonts w:ascii="Calibri" w:cs="Calibri" w:eastAsia="Calibri" w:hAnsi="Calibri"/>
                <w:color w:val="666666"/>
                <w:sz w:val="16"/>
                <w:szCs w:val="16"/>
              </w:rPr>
              <w:t xml:space="preserve">2 does not support</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some mouse findings translated (thrombolysis reduced infarct volume 24% and bisphosphonates raised hip BMD 11% — Perel et al. 2007). But many did not—Perrin et al. 2014 found 11/12 ALS candidates failed in clinic and Pan et al. 2020 reported AUC 0.45 for TGI.</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Translation varies by intervention, indication and study quality (e.g. published positive ALS studies vs rigorous ALS TDI null results).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0–10%</w:t>
            </w:r>
            <w:r>
              <w:rPr>
                <w:rFonts w:ascii="Calibri" w:cs="Calibri" w:eastAsia="Calibri" w:hAnsi="Calibri"/>
                <w:sz w:val="18"/>
                <w:szCs w:val="18"/>
              </w:rPr>
              <w:t xml:space="preserve">  change in survival — survival benefit of riluzole in mouse study (published) (</w:t>
            </w:r>
            <w:hyperlink w:history="1" r:id="rIdqzrwqk-7nazjeydvwgdyp">
              <w:r>
                <w:rPr>
                  <w:rFonts w:ascii="Calibri" w:cs="Calibri" w:eastAsia="Calibri" w:hAnsi="Calibri"/>
                  <w:color w:val="1155CC"/>
                  <w:sz w:val="18"/>
                  <w:szCs w:val="18"/>
                  <w:u w:val="single"/>
                </w:rPr>
                <w:t xml:space="preserve">Perrin 2014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w:t>
            </w:r>
            <w:r>
              <w:rPr>
                <w:rFonts w:ascii="Calibri" w:cs="Calibri" w:eastAsia="Calibri" w:hAnsi="Calibri"/>
                <w:sz w:val="18"/>
                <w:szCs w:val="18"/>
              </w:rPr>
              <w:t xml:space="preserve">  change in survival — survival benefit of thalidomide in mouse study (ALS TDI) (</w:t>
            </w:r>
            <w:hyperlink w:history="1" r:id="rIdnztq0cgvp5i14agchrngf">
              <w:r>
                <w:rPr>
                  <w:rFonts w:ascii="Calibri" w:cs="Calibri" w:eastAsia="Calibri" w:hAnsi="Calibri"/>
                  <w:color w:val="1155CC"/>
                  <w:sz w:val="18"/>
                  <w:szCs w:val="18"/>
                  <w:u w:val="single"/>
                </w:rPr>
                <w:t xml:space="preserve">Perrin 2014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10%</w:t>
            </w:r>
            <w:r>
              <w:rPr>
                <w:rFonts w:ascii="Calibri" w:cs="Calibri" w:eastAsia="Calibri" w:hAnsi="Calibri"/>
                <w:sz w:val="18"/>
                <w:szCs w:val="18"/>
              </w:rPr>
              <w:t xml:space="preserve">  change in survival — survival benefit of creatine in mouse study (published) (</w:t>
            </w:r>
            <w:hyperlink w:history="1" r:id="rId630aui1wdioa6ml8nfnpi">
              <w:r>
                <w:rPr>
                  <w:rFonts w:ascii="Calibri" w:cs="Calibri" w:eastAsia="Calibri" w:hAnsi="Calibri"/>
                  <w:color w:val="1155CC"/>
                  <w:sz w:val="18"/>
                  <w:szCs w:val="18"/>
                  <w:u w:val="single"/>
                </w:rPr>
                <w:t xml:space="preserve">Perrin 2014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10–30%</w:t>
            </w:r>
            <w:r>
              <w:rPr>
                <w:rFonts w:ascii="Calibri" w:cs="Calibri" w:eastAsia="Calibri" w:hAnsi="Calibri"/>
                <w:sz w:val="18"/>
                <w:szCs w:val="18"/>
              </w:rPr>
              <w:t xml:space="preserve">  change in survival — survival benefit of ceftriaxone in mouse study (published) (</w:t>
            </w:r>
            <w:hyperlink w:history="1" r:id="rIdaviwh6maokhrluapgw6xf">
              <w:r>
                <w:rPr>
                  <w:rFonts w:ascii="Calibri" w:cs="Calibri" w:eastAsia="Calibri" w:hAnsi="Calibri"/>
                  <w:color w:val="1155CC"/>
                  <w:sz w:val="18"/>
                  <w:szCs w:val="18"/>
                  <w:u w:val="single"/>
                </w:rPr>
                <w:t xml:space="preserve">Perrin 2014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0–10%</w:t>
            </w:r>
            <w:r>
              <w:rPr>
                <w:rFonts w:ascii="Calibri" w:cs="Calibri" w:eastAsia="Calibri" w:hAnsi="Calibri"/>
                <w:sz w:val="18"/>
                <w:szCs w:val="18"/>
              </w:rPr>
              <w:t xml:space="preserve">  change in survival — survival benefit of sodium phenylbutyrate in mouse study (published) (</w:t>
            </w:r>
            <w:hyperlink w:history="1" r:id="rIdv5isxlmbjv1sdm7qv9oxq">
              <w:r>
                <w:rPr>
                  <w:rFonts w:ascii="Calibri" w:cs="Calibri" w:eastAsia="Calibri" w:hAnsi="Calibri"/>
                  <w:color w:val="1155CC"/>
                  <w:sz w:val="18"/>
                  <w:szCs w:val="18"/>
                  <w:u w:val="single"/>
                </w:rPr>
                <w:t xml:space="preserve">Perrin 2014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0.74–0.9</w:t>
            </w:r>
            <w:r>
              <w:rPr>
                <w:rFonts w:ascii="Calibri" w:cs="Calibri" w:eastAsia="Calibri" w:hAnsi="Calibri"/>
                <w:sz w:val="18"/>
                <w:szCs w:val="18"/>
              </w:rPr>
              <w:t xml:space="preserve">  or — Odds Ratio for drug success (Q2 TGI vs Q1 TGI) (</w:t>
            </w:r>
            <w:hyperlink w:history="1" r:id="rId9zynqoc2jmhjxdkzijaiw">
              <w:r>
                <w:rPr>
                  <w:rFonts w:ascii="Calibri" w:cs="Calibri" w:eastAsia="Calibri" w:hAnsi="Calibri"/>
                  <w:color w:val="1155CC"/>
                  <w:sz w:val="18"/>
                  <w:szCs w:val="18"/>
                  <w:u w:val="single"/>
                </w:rPr>
                <w:t xml:space="preserve">Pan et al. 2020</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study notes that there is a naturally low proportion of approved drugs compared to failed drugs, which may make comparisons between the two drug classes less robust due to sparse data for the approved category. Also, the variability in TGI measurement across studies due to lack of standardized criteria may have affected the results.</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rat</w:t>
            </w:r>
          </w:p>
          <w:p>
            <w:pPr>
              <w:spacing w:after="20"/>
            </w:pPr>
            <w:r>
              <w:rPr>
                <w:rFonts w:ascii="Calibri" w:cs="Calibri" w:eastAsia="Calibri" w:hAnsi="Calibri"/>
                <w:color w:val="666666"/>
                <w:sz w:val="17"/>
                <w:szCs w:val="17"/>
              </w:rPr>
              <w:t xml:space="preserve">4 studies</w:t>
            </w:r>
          </w:p>
          <w:p>
            <w:pPr>
              <w:spacing w:after="0"/>
            </w:pPr>
            <w:r>
              <w:rPr>
                <w:rFonts w:ascii="Calibri" w:cs="Calibri" w:eastAsia="Calibri" w:hAnsi="Calibri"/>
                <w:color w:val="666666"/>
                <w:sz w:val="16"/>
                <w:szCs w:val="16"/>
              </w:rPr>
              <w:t xml:space="preserve">4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rats predicted clinical efficacy for some interventions (thrombolysis reduced infarct volume 24% and improved neurobehaviour 23%; three alcohol medications originated from rat models) but failed for others (corticosteroids: animal OR 0.58 yet no human benefit; tirilazad: 29% infarct reduction in rats but clinical failure). Translation varies by drug class—bisphosphonates and thrombolytics were concordant, several CNS candidates were not.</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24–29%</w:t>
            </w:r>
            <w:r>
              <w:rPr>
                <w:rFonts w:ascii="Calibri" w:cs="Calibri" w:eastAsia="Calibri" w:hAnsi="Calibri"/>
                <w:sz w:val="18"/>
                <w:szCs w:val="18"/>
              </w:rPr>
              <w:t xml:space="preserve">  reduction — Thrombolysis in acute ischaemic stroke: infarct volume reduction (</w:t>
            </w:r>
            <w:hyperlink w:history="1" r:id="rId7tu3tffhzvvcoramasuot">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23–48%</w:t>
            </w:r>
            <w:r>
              <w:rPr>
                <w:rFonts w:ascii="Calibri" w:cs="Calibri" w:eastAsia="Calibri" w:hAnsi="Calibri"/>
                <w:sz w:val="18"/>
                <w:szCs w:val="18"/>
              </w:rPr>
              <w:t xml:space="preserve">  improvement — Thrombolysis in acute ischaemic stroke: neurobehavioural scores improvement (</w:t>
            </w:r>
            <w:hyperlink w:history="1" r:id="rId_h9-i110zgjre_4zbdcbg">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8.5–11%</w:t>
            </w:r>
            <w:r>
              <w:rPr>
                <w:rFonts w:ascii="Calibri" w:cs="Calibri" w:eastAsia="Calibri" w:hAnsi="Calibri"/>
                <w:sz w:val="18"/>
                <w:szCs w:val="18"/>
              </w:rPr>
              <w:t xml:space="preserve">  increase — Bisphosphonates (alendronate): bone mineral density increase in hip region (</w:t>
            </w:r>
            <w:hyperlink w:history="1" r:id="rIdkdw5vmwzyqceg8nbzsljr">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0.58</w:t>
            </w:r>
            <w:r>
              <w:rPr>
                <w:rFonts w:ascii="Calibri" w:cs="Calibri" w:eastAsia="Calibri" w:hAnsi="Calibri"/>
                <w:sz w:val="18"/>
                <w:szCs w:val="18"/>
              </w:rPr>
              <w:t xml:space="preserve">  odds ratio — Corticosteroids for traumatic head injury: adverse functional outcome (pooled odds ratio) (</w:t>
            </w:r>
            <w:hyperlink w:history="1" r:id="rIds3r1g7_fvihekmffzdfly">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1.96</w:t>
            </w:r>
            <w:r>
              <w:rPr>
                <w:rFonts w:ascii="Calibri" w:cs="Calibri" w:eastAsia="Calibri" w:hAnsi="Calibri"/>
                <w:sz w:val="18"/>
                <w:szCs w:val="18"/>
              </w:rPr>
              <w:t xml:space="preserve">  odds ratio — Thrombolysis in acute ischaemic stroke: probability of haemorrhage (</w:t>
            </w:r>
            <w:hyperlink w:history="1" r:id="rId66q-bnqpzhuquwzrk8q8l">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4.2</w:t>
            </w:r>
            <w:r>
              <w:rPr>
                <w:rFonts w:ascii="Calibri" w:cs="Calibri" w:eastAsia="Calibri" w:hAnsi="Calibri"/>
                <w:sz w:val="18"/>
                <w:szCs w:val="18"/>
              </w:rPr>
              <w:t xml:space="preserve">  odds ratio — Antenatal corticosteroids: neonatal mortality (pooled odds ratio) (</w:t>
            </w:r>
            <w:hyperlink w:history="1" r:id="rIdeewqwxbuynzyk8wf1tw1n">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cat</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2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thrombolytics (tPA) in animals reduced infarct volume by 24% and improved neurobehaviour by 23% and matched clinical benefit, while corticosteroids (animal pooled OR 0.58) and tirilazad (infarct −29%, behaviour +48%) showed animal benefit but not in humans. Only &lt;7% of studies met permissibility (Bateson's Cube) and several concordant studies involved high animal suffering.</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24–29%</w:t>
            </w:r>
            <w:r>
              <w:rPr>
                <w:rFonts w:ascii="Calibri" w:cs="Calibri" w:eastAsia="Calibri" w:hAnsi="Calibri"/>
                <w:sz w:val="18"/>
                <w:szCs w:val="18"/>
              </w:rPr>
              <w:t xml:space="preserve">  reduction — Thrombolysis in acute ischaemic stroke: infarct volume reduction (</w:t>
            </w:r>
            <w:hyperlink w:history="1" r:id="rIdqh1shx3pf1y_zp1ifvw5p">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23–48%</w:t>
            </w:r>
            <w:r>
              <w:rPr>
                <w:rFonts w:ascii="Calibri" w:cs="Calibri" w:eastAsia="Calibri" w:hAnsi="Calibri"/>
                <w:sz w:val="18"/>
                <w:szCs w:val="18"/>
              </w:rPr>
              <w:t xml:space="preserve">  improvement — Thrombolysis in acute ischaemic stroke: neurobehavioural scores improvement (</w:t>
            </w:r>
            <w:hyperlink w:history="1" r:id="rIdgm8szpvzyflsxj1rbcbsh">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8.5–11%</w:t>
            </w:r>
            <w:r>
              <w:rPr>
                <w:rFonts w:ascii="Calibri" w:cs="Calibri" w:eastAsia="Calibri" w:hAnsi="Calibri"/>
                <w:sz w:val="18"/>
                <w:szCs w:val="18"/>
              </w:rPr>
              <w:t xml:space="preserve">  increase — Bisphosphonates (alendronate): bone mineral density increase in hip region (</w:t>
            </w:r>
            <w:hyperlink w:history="1" r:id="rIdwgklwyfkxqzzhtios3bma">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0.58</w:t>
            </w:r>
            <w:r>
              <w:rPr>
                <w:rFonts w:ascii="Calibri" w:cs="Calibri" w:eastAsia="Calibri" w:hAnsi="Calibri"/>
                <w:sz w:val="18"/>
                <w:szCs w:val="18"/>
              </w:rPr>
              <w:t xml:space="preserve">  odds ratio — Corticosteroids for traumatic head injury: adverse functional outcome (pooled odds ratio) (</w:t>
            </w:r>
            <w:hyperlink w:history="1" r:id="rIdtmcejt-h1oyvieh29ajuj">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1.96</w:t>
            </w:r>
            <w:r>
              <w:rPr>
                <w:rFonts w:ascii="Calibri" w:cs="Calibri" w:eastAsia="Calibri" w:hAnsi="Calibri"/>
                <w:sz w:val="18"/>
                <w:szCs w:val="18"/>
              </w:rPr>
              <w:t xml:space="preserve">  odds ratio — Thrombolysis in acute ischaemic stroke: probability of haemorrhage (</w:t>
            </w:r>
            <w:hyperlink w:history="1" r:id="rIdon7fifehmdfmris1nimp3">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4.2</w:t>
            </w:r>
            <w:r>
              <w:rPr>
                <w:rFonts w:ascii="Calibri" w:cs="Calibri" w:eastAsia="Calibri" w:hAnsi="Calibri"/>
                <w:sz w:val="18"/>
                <w:szCs w:val="18"/>
              </w:rPr>
              <w:t xml:space="preserve">  odds ratio — Antenatal corticosteroids: neonatal mortality (pooled odds ratio) (</w:t>
            </w:r>
            <w:hyperlink w:history="1" r:id="rIdn0wn6_clalbcbu5tgyc2a">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rabbit</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2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some rabbit results tracked human efficacy (thrombolysis and bisphosphonates), e.g. thrombolysis in animals reduced infarct volume by 24% and improved neurobehaviour by 23%. Other interventions were discordant—corticosteroids showed animal benefit (pooled OR 0.58) but no clinical benefit; tirilazad reduced infarct 29% in animals yet failed clinically.</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Effect direction and size vary by intervention (thrombolytics and bisphosphonates concordant; corticosteroids, tirilazad and antifibrinolytics discordant).</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24–29%</w:t>
            </w:r>
            <w:r>
              <w:rPr>
                <w:rFonts w:ascii="Calibri" w:cs="Calibri" w:eastAsia="Calibri" w:hAnsi="Calibri"/>
                <w:sz w:val="18"/>
                <w:szCs w:val="18"/>
              </w:rPr>
              <w:t xml:space="preserve">  reduction — Thrombolysis in acute ischaemic stroke: infarct volume reduction (</w:t>
            </w:r>
            <w:hyperlink w:history="1" r:id="rId-luc-s_keirwc0ewwg_cj">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23–48%</w:t>
            </w:r>
            <w:r>
              <w:rPr>
                <w:rFonts w:ascii="Calibri" w:cs="Calibri" w:eastAsia="Calibri" w:hAnsi="Calibri"/>
                <w:sz w:val="18"/>
                <w:szCs w:val="18"/>
              </w:rPr>
              <w:t xml:space="preserve">  improvement — Thrombolysis in acute ischaemic stroke: neurobehavioural scores improvement (</w:t>
            </w:r>
            <w:hyperlink w:history="1" r:id="rId_me-uz5v8mf-mm0apemcu">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8.5–11%</w:t>
            </w:r>
            <w:r>
              <w:rPr>
                <w:rFonts w:ascii="Calibri" w:cs="Calibri" w:eastAsia="Calibri" w:hAnsi="Calibri"/>
                <w:sz w:val="18"/>
                <w:szCs w:val="18"/>
              </w:rPr>
              <w:t xml:space="preserve">  increase — Bisphosphonates (alendronate): bone mineral density increase in hip region (</w:t>
            </w:r>
            <w:hyperlink w:history="1" r:id="rIdx7cc9oiwwboncrtjbkqfx">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0.58</w:t>
            </w:r>
            <w:r>
              <w:rPr>
                <w:rFonts w:ascii="Calibri" w:cs="Calibri" w:eastAsia="Calibri" w:hAnsi="Calibri"/>
                <w:sz w:val="18"/>
                <w:szCs w:val="18"/>
              </w:rPr>
              <w:t xml:space="preserve">  odds ratio — Corticosteroids for traumatic head injury: adverse functional outcome (pooled odds ratio) (</w:t>
            </w:r>
            <w:hyperlink w:history="1" r:id="rIdhzals4ojwxrlfc3bfdrvs">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1.96</w:t>
            </w:r>
            <w:r>
              <w:rPr>
                <w:rFonts w:ascii="Calibri" w:cs="Calibri" w:eastAsia="Calibri" w:hAnsi="Calibri"/>
                <w:sz w:val="18"/>
                <w:szCs w:val="18"/>
              </w:rPr>
              <w:t xml:space="preserve">  odds ratio — Thrombolysis in acute ischaemic stroke: probability of haemorrhage (</w:t>
            </w:r>
            <w:hyperlink w:history="1" r:id="rIdoi2gslkge1qglprgxoykl">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4.2</w:t>
            </w:r>
            <w:r>
              <w:rPr>
                <w:rFonts w:ascii="Calibri" w:cs="Calibri" w:eastAsia="Calibri" w:hAnsi="Calibri"/>
                <w:sz w:val="18"/>
                <w:szCs w:val="18"/>
              </w:rPr>
              <w:t xml:space="preserve">  odds ratio — Antenatal corticosteroids: neonatal mortality (pooled odds ratio) (</w:t>
            </w:r>
            <w:hyperlink w:history="1" r:id="rIdaub6xn5vyh1s0sl2edxes">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sheep</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2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Sheep data are mixed: bisphosphonates raised bone density (alendronate +11.0% hip, +8.5% spine) and thrombolysis reduced infarct volume (−24%) and improved behaviour (+23%), but antenatal corticosteroids increased neonatal mortality in ewes (OR 12.5). The mortality estimate is based on seven ewe experiments and many efficacy studies involved high animal suffering, limiting permissibility.</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The large CI for the ewe mortality OR reflects pooling of only seven ewe experiments with small sample sizes.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24–29%</w:t>
            </w:r>
            <w:r>
              <w:rPr>
                <w:rFonts w:ascii="Calibri" w:cs="Calibri" w:eastAsia="Calibri" w:hAnsi="Calibri"/>
                <w:sz w:val="18"/>
                <w:szCs w:val="18"/>
              </w:rPr>
              <w:t xml:space="preserve">  reduction — Thrombolysis in acute ischaemic stroke: infarct volume reduction (</w:t>
            </w:r>
            <w:hyperlink w:history="1" r:id="rIdmi0b9fx7u0ojy6fzfl9v6">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23–48%</w:t>
            </w:r>
            <w:r>
              <w:rPr>
                <w:rFonts w:ascii="Calibri" w:cs="Calibri" w:eastAsia="Calibri" w:hAnsi="Calibri"/>
                <w:sz w:val="18"/>
                <w:szCs w:val="18"/>
              </w:rPr>
              <w:t xml:space="preserve">  improvement — Thrombolysis in acute ischaemic stroke: neurobehavioural scores improvement (</w:t>
            </w:r>
            <w:hyperlink w:history="1" r:id="rIdvpo8fcr1hnfkpazfmrt8x">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4.2–12.5</w:t>
            </w:r>
            <w:r>
              <w:rPr>
                <w:rFonts w:ascii="Calibri" w:cs="Calibri" w:eastAsia="Calibri" w:hAnsi="Calibri"/>
                <w:sz w:val="18"/>
                <w:szCs w:val="18"/>
              </w:rPr>
              <w:t xml:space="preserve">  odds ratio — Antenatal corticosteroids: neonatal mortality (pooled odds ratio) (</w:t>
            </w:r>
            <w:hyperlink w:history="1" r:id="rIdw8q4fdmk-4p65qdqnjicm">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8.5–11%</w:t>
            </w:r>
            <w:r>
              <w:rPr>
                <w:rFonts w:ascii="Calibri" w:cs="Calibri" w:eastAsia="Calibri" w:hAnsi="Calibri"/>
                <w:sz w:val="18"/>
                <w:szCs w:val="18"/>
              </w:rPr>
              <w:t xml:space="preserve">  increase — Bisphosphonates (alendronate): bone mineral density increase in hip region (</w:t>
            </w:r>
            <w:hyperlink w:history="1" r:id="rId3e3yq-gimdhltuu5_clcp">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0.58</w:t>
            </w:r>
            <w:r>
              <w:rPr>
                <w:rFonts w:ascii="Calibri" w:cs="Calibri" w:eastAsia="Calibri" w:hAnsi="Calibri"/>
                <w:sz w:val="18"/>
                <w:szCs w:val="18"/>
              </w:rPr>
              <w:t xml:space="preserve">  odds ratio — Corticosteroids for traumatic head injury: adverse functional outcome (pooled odds ratio) (</w:t>
            </w:r>
            <w:hyperlink w:history="1" r:id="rIdpgpcqp1nvukm5zu3o6xvk">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1.96</w:t>
            </w:r>
            <w:r>
              <w:rPr>
                <w:rFonts w:ascii="Calibri" w:cs="Calibri" w:eastAsia="Calibri" w:hAnsi="Calibri"/>
                <w:sz w:val="18"/>
                <w:szCs w:val="18"/>
              </w:rPr>
              <w:t xml:space="preserve">  odds ratio — Thrombolysis in acute ischaemic stroke: probability of haemorrhage (</w:t>
            </w:r>
            <w:hyperlink w:history="1" r:id="rId_q98d_sqwtw2-ckkfkgdf">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cattle</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Pound et al. 2018: animal–human concordance in cattle was mixed — 2 interventions (bisphosphonates, thrombolytics) concordant, 3 (corticosteroids, Tirilazad, antifibrinolytics) discordant and 1 partially concordant (antenatal corticosteroids). Under Bateson's Cube &lt;7% of studies were permissible and some concordant results involved high animal suffering.</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7%</w:t>
            </w:r>
            <w:r>
              <w:rPr>
                <w:rFonts w:ascii="Calibri" w:cs="Calibri" w:eastAsia="Calibri" w:hAnsi="Calibri"/>
                <w:sz w:val="18"/>
                <w:szCs w:val="18"/>
              </w:rPr>
              <w:t xml:space="preserve">  proportion — Studies permissible according to Bateson's Cube (</w:t>
            </w:r>
            <w:hyperlink w:history="1" r:id="rIdnz28flty8d4o-ymfoaidv">
              <w:r>
                <w:rPr>
                  <w:rFonts w:ascii="Calibri" w:cs="Calibri" w:eastAsia="Calibri" w:hAnsi="Calibri"/>
                  <w:color w:val="1155CC"/>
                  <w:sz w:val="18"/>
                  <w:szCs w:val="18"/>
                  <w:u w:val="single"/>
                </w:rPr>
                <w:t xml:space="preserve">Pound et al. 2018</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dog</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does not support</w:t>
            </w:r>
          </w:p>
        </w:tc>
        <w:tc>
          <w:tcPr>
            <w:tcW w:type="dxa" w:w="10240"/>
            <w:tcMar>
              <w:top w:type="dxa" w:w="80"/>
              <w:left w:type="dxa" w:w="110"/>
              <w:bottom w:type="dxa" w:w="80"/>
              <w:right w:type="dxa" w:w="110"/>
            </w:tcMar>
          </w:tcPr>
          <w:p>
            <w:pPr>
              <w:spacing w:after="40"/>
            </w:pPr>
            <w:r>
              <w:rPr>
                <w:rFonts w:ascii="Calibri" w:cs="Calibri" w:eastAsia="Calibri" w:hAnsi="Calibri"/>
                <w:b/>
                <w:bCs/>
                <w:color w:val="8A2727"/>
                <w:sz w:val="16"/>
                <w:szCs w:val="16"/>
              </w:rPr>
              <w:t xml:space="preserve">EVIDENCE DOES NOT FAVOUR THE MODEL</w:t>
            </w:r>
          </w:p>
          <w:p>
            <w:pPr>
              <w:spacing w:after="60"/>
            </w:pPr>
            <w:r>
              <w:rPr>
                <w:rFonts w:ascii="Calibri" w:cs="Calibri" w:eastAsia="Calibri" w:hAnsi="Calibri"/>
                <w:sz w:val="18"/>
                <w:szCs w:val="18"/>
              </w:rPr>
              <w:t xml:space="preserve">Martić-Kehl et al. 2012 found animal efficacy often did not predict human outcomes: fewer than 50% of animal studies predicted human results and only 3 of 494 animal-positive acute ischemic stroke interventions showed convincing patient benefit. Findings aggregate multiple species and indications, not dogs alone.</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50%</w:t>
            </w:r>
            <w:r>
              <w:rPr>
                <w:rFonts w:ascii="Calibri" w:cs="Calibri" w:eastAsia="Calibri" w:hAnsi="Calibri"/>
                <w:sz w:val="18"/>
                <w:szCs w:val="18"/>
              </w:rPr>
              <w:t xml:space="preserve">  less than — prediction of human outcomes by animal studies (</w:t>
            </w:r>
            <w:hyperlink w:history="1" r:id="rIdna3mcyguorhmomrnryikk">
              <w:r>
                <w:rPr>
                  <w:rFonts w:ascii="Calibri" w:cs="Calibri" w:eastAsia="Calibri" w:hAnsi="Calibri"/>
                  <w:color w:val="1155CC"/>
                  <w:sz w:val="18"/>
                  <w:szCs w:val="18"/>
                  <w:u w:val="single"/>
                </w:rPr>
                <w:t xml:space="preserve">Martić-Kehl et al. 2012</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3</w:t>
            </w:r>
            <w:r>
              <w:rPr>
                <w:rFonts w:ascii="Calibri" w:cs="Calibri" w:eastAsia="Calibri" w:hAnsi="Calibri"/>
                <w:sz w:val="18"/>
                <w:szCs w:val="18"/>
              </w:rPr>
              <w:t xml:space="preserve">  number of interventions, n=494 out of 494 — interventions for acute ischaemic stroke treatment with convincing effect in patients out of interventions with positive effect in animal models (</w:t>
            </w:r>
            <w:hyperlink w:history="1" r:id="rIdr7qr-m8rbbwys48h9dxgc">
              <w:r>
                <w:rPr>
                  <w:rFonts w:ascii="Calibri" w:cs="Calibri" w:eastAsia="Calibri" w:hAnsi="Calibri"/>
                  <w:color w:val="1155CC"/>
                  <w:sz w:val="18"/>
                  <w:szCs w:val="18"/>
                  <w:u w:val="single"/>
                </w:rPr>
                <w:t xml:space="preserve">Martić-Kehl et al. 2012</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non-rodent</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TOO LITTLE EVIDENCE</w:t>
            </w:r>
          </w:p>
          <w:p>
            <w:pPr>
              <w:spacing w:after="60"/>
            </w:pPr>
            <w:r>
              <w:rPr>
                <w:rFonts w:ascii="Calibri" w:cs="Calibri" w:eastAsia="Calibri" w:hAnsi="Calibri"/>
                <w:sz w:val="18"/>
                <w:szCs w:val="18"/>
              </w:rPr>
              <w:t xml:space="preserve">Study reports toxicity concordance: non‑rodent liver concordance 40% (n=951) and animal data predicted 48% of adverse drug reactions (n=1,256); overall concordance across species was 71% (n=221). These are toxicity metrics and do not assess efficacy, so they provide too little evidence to judge non‑rodents for efficacy.</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Numbers refer to different analyses/endpoints: 40% is non‑rodent liver concordance, 71% is concordance across all species.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48%</w:t>
            </w:r>
            <w:r>
              <w:rPr>
                <w:rFonts w:ascii="Calibri" w:cs="Calibri" w:eastAsia="Calibri" w:hAnsi="Calibri"/>
                <w:sz w:val="18"/>
                <w:szCs w:val="18"/>
              </w:rPr>
              <w:t xml:space="preserve">  predictive value, n=1,256 adverse drug reactions — prediction of adverse drug reactions (</w:t>
            </w:r>
            <w:hyperlink w:history="1" r:id="rIdtwexdoh7l5byw5n2fncxp">
              <w:r>
                <w:rPr>
                  <w:rFonts w:ascii="Calibri" w:cs="Calibri" w:eastAsia="Calibri" w:hAnsi="Calibri"/>
                  <w:color w:val="1155CC"/>
                  <w:sz w:val="18"/>
                  <w:szCs w:val="18"/>
                  <w:u w:val="single"/>
                </w:rPr>
                <w:t xml:space="preserve">Leenaars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40%</w:t>
            </w:r>
            <w:r>
              <w:rPr>
                <w:rFonts w:ascii="Calibri" w:cs="Calibri" w:eastAsia="Calibri" w:hAnsi="Calibri"/>
                <w:sz w:val="18"/>
                <w:szCs w:val="18"/>
              </w:rPr>
              <w:t xml:space="preserve">  concordance rate, n=951 compounds — concordance of liver effects (</w:t>
            </w:r>
            <w:hyperlink w:history="1" r:id="rIdld9gulihcmtgi5xmxaekq">
              <w:r>
                <w:rPr>
                  <w:rFonts w:ascii="Calibri" w:cs="Calibri" w:eastAsia="Calibri" w:hAnsi="Calibri"/>
                  <w:color w:val="1155CC"/>
                  <w:sz w:val="18"/>
                  <w:szCs w:val="18"/>
                  <w:u w:val="single"/>
                </w:rPr>
                <w:t xml:space="preserve">Leenaars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71%</w:t>
            </w:r>
            <w:r>
              <w:rPr>
                <w:rFonts w:ascii="Calibri" w:cs="Calibri" w:eastAsia="Calibri" w:hAnsi="Calibri"/>
                <w:sz w:val="18"/>
                <w:szCs w:val="18"/>
              </w:rPr>
              <w:t xml:space="preserve">  concordance rate, n=221 human toxicity events — concordance of human toxicity events (</w:t>
            </w:r>
            <w:hyperlink w:history="1" r:id="rIdkimt1etvpckgshcjqy9c5">
              <w:r>
                <w:rPr>
                  <w:rFonts w:ascii="Calibri" w:cs="Calibri" w:eastAsia="Calibri" w:hAnsi="Calibri"/>
                  <w:color w:val="1155CC"/>
                  <w:sz w:val="18"/>
                  <w:szCs w:val="18"/>
                  <w:u w:val="single"/>
                </w:rPr>
                <w:t xml:space="preserve">Leenaars et al. 2019</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pig</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pig efficacy studies agreed with human outcomes for bisphosphonates and thrombolytics but disagreed for corticosteroids, Tirilazad and antifibrinolytics, while antenatal corticosteroids were partially concordant; only 7% of studies were permissible by Bateson's Cube. Concordance and permissibility depended on the intervention and on animal suffering severity (moderate studies were permissible; severe were not).</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Concordance varies by intervention and by experiment severity/animal suffering.</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7%</w:t>
            </w:r>
            <w:r>
              <w:rPr>
                <w:rFonts w:ascii="Calibri" w:cs="Calibri" w:eastAsia="Calibri" w:hAnsi="Calibri"/>
                <w:sz w:val="18"/>
                <w:szCs w:val="18"/>
              </w:rPr>
              <w:t xml:space="preserve">  proportion — Studies permissible according to Bateson's Cube (</w:t>
            </w:r>
            <w:hyperlink w:history="1" r:id="rIdecnabna9uys4ykn3lyhky">
              <w:r>
                <w:rPr>
                  <w:rFonts w:ascii="Calibri" w:cs="Calibri" w:eastAsia="Calibri" w:hAnsi="Calibri"/>
                  <w:color w:val="1155CC"/>
                  <w:sz w:val="18"/>
                  <w:szCs w:val="18"/>
                  <w:u w:val="single"/>
                </w:rPr>
                <w:t xml:space="preserve">Pound et al. 2018</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dog</w:t>
            </w:r>
          </w:p>
          <w:p>
            <w:pPr>
              <w:spacing w:after="20"/>
            </w:pPr>
            <w:r>
              <w:rPr>
                <w:rFonts w:ascii="Calibri" w:cs="Calibri" w:eastAsia="Calibri" w:hAnsi="Calibri"/>
                <w:color w:val="666666"/>
                <w:sz w:val="17"/>
                <w:szCs w:val="17"/>
              </w:rPr>
              <w:t xml:space="preserve">6 studies</w:t>
            </w:r>
          </w:p>
          <w:p>
            <w:pPr>
              <w:spacing w:after="0"/>
            </w:pPr>
            <w:r>
              <w:rPr>
                <w:rFonts w:ascii="Calibri" w:cs="Calibri" w:eastAsia="Calibri" w:hAnsi="Calibri"/>
                <w:color w:val="666666"/>
                <w:sz w:val="16"/>
                <w:szCs w:val="16"/>
              </w:rPr>
              <w:t xml:space="preserve">3 partly supports</w:t>
            </w:r>
          </w:p>
          <w:p>
            <w:pPr>
              <w:spacing w:after="0"/>
            </w:pPr>
            <w:r>
              <w:rPr>
                <w:rFonts w:ascii="Calibri" w:cs="Calibri" w:eastAsia="Calibri" w:hAnsi="Calibri"/>
                <w:color w:val="666666"/>
                <w:sz w:val="16"/>
                <w:szCs w:val="16"/>
              </w:rPr>
              <w:t xml:space="preserve">3 does not support</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Dog toxicology tests are inconsistently predictive of human toxicity. Examples: Monticello et al. 2017—specificity 84% and NPV 86% (absence); Atkins et al. 2020—median dog PPV ≈0.67 and NPV ≈0.52; Bailey et al. 2019—no-animal-toxicity → 72% no human toxicity; Clark et al. 2018—dog LR+ for cardiac 6.11.</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Results vary by organ/endpoint, by metric reported (PPV/NPV vs likelihood ratios), and by study design/sample.</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16–90%</w:t>
            </w:r>
            <w:r>
              <w:rPr>
                <w:rFonts w:ascii="Calibri" w:cs="Calibri" w:eastAsia="Calibri" w:hAnsi="Calibri"/>
                <w:sz w:val="18"/>
                <w:szCs w:val="18"/>
              </w:rPr>
              <w:t xml:space="preserve">  sensitivity — Sensitivity for liver disorders (Olson study) (</w:t>
            </w:r>
            <w:hyperlink w:history="1" r:id="rIdz2yj1vkled18-csbov2tr">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4.1–1000</w:t>
            </w:r>
            <w:r>
              <w:rPr>
                <w:rFonts w:ascii="Calibri" w:cs="Calibri" w:eastAsia="Calibri" w:hAnsi="Calibri"/>
                <w:sz w:val="18"/>
                <w:szCs w:val="18"/>
              </w:rPr>
              <w:t xml:space="preserve">  lr+ — Likelihood Ratio for Pain (all species combined) (</w:t>
            </w:r>
            <w:hyperlink w:history="1" r:id="rIdl4quo6ykg9rmneljsp7lo">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10–30</w:t>
            </w:r>
            <w:r>
              <w:rPr>
                <w:rFonts w:ascii="Calibri" w:cs="Calibri" w:eastAsia="Calibri" w:hAnsi="Calibri"/>
                <w:sz w:val="18"/>
                <w:szCs w:val="18"/>
              </w:rPr>
              <w:t xml:space="preserve">  ic50 (half-maximal inhibitory concentration) — IC50 for bosentan-induced albumin secretion decrease (</w:t>
            </w:r>
            <w:hyperlink w:history="1" r:id="rIdg-hytv48eevsnthoxbrso">
              <w:r>
                <w:rPr>
                  <w:rFonts w:ascii="Calibri" w:cs="Calibri" w:eastAsia="Calibri" w:hAnsi="Calibri"/>
                  <w:color w:val="1155CC"/>
                  <w:sz w:val="18"/>
                  <w:szCs w:val="18"/>
                  <w:u w:val="single"/>
                </w:rPr>
                <w:t xml:space="preserve">Jang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20–70</w:t>
            </w:r>
            <w:r>
              <w:rPr>
                <w:rFonts w:ascii="Calibri" w:cs="Calibri" w:eastAsia="Calibri" w:hAnsi="Calibri"/>
                <w:sz w:val="18"/>
                <w:szCs w:val="18"/>
              </w:rPr>
              <w:t xml:space="preserve">  range — albumin secretion (µg day-1 per million cells) in Liver-Chip vs in vivo (</w:t>
            </w:r>
            <w:hyperlink w:history="1" r:id="rIdj9c2sjg5r6gdshir-t7wi">
              <w:r>
                <w:rPr>
                  <w:rFonts w:ascii="Calibri" w:cs="Calibri" w:eastAsia="Calibri" w:hAnsi="Calibri"/>
                  <w:color w:val="1155CC"/>
                  <w:sz w:val="18"/>
                  <w:szCs w:val="18"/>
                  <w:u w:val="single"/>
                </w:rPr>
                <w:t xml:space="preserve">Jang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2.8–3.9</w:t>
            </w:r>
            <w:r>
              <w:rPr>
                <w:rFonts w:ascii="Calibri" w:cs="Calibri" w:eastAsia="Calibri" w:hAnsi="Calibri"/>
                <w:sz w:val="18"/>
                <w:szCs w:val="18"/>
              </w:rPr>
              <w:t xml:space="preserve">  lower — albumin secretion in conventional sandwich monoculture plates vs human Liver-Chip (</w:t>
            </w:r>
            <w:hyperlink w:history="1" r:id="rIdib0ihsavtzvtwgsdws5eq">
              <w:r>
                <w:rPr>
                  <w:rFonts w:ascii="Calibri" w:cs="Calibri" w:eastAsia="Calibri" w:hAnsi="Calibri"/>
                  <w:color w:val="1155CC"/>
                  <w:sz w:val="18"/>
                  <w:szCs w:val="18"/>
                  <w:u w:val="single"/>
                </w:rPr>
                <w:t xml:space="preserve">Jang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3–10</w:t>
            </w:r>
            <w:r>
              <w:rPr>
                <w:rFonts w:ascii="Calibri" w:cs="Calibri" w:eastAsia="Calibri" w:hAnsi="Calibri"/>
                <w:sz w:val="18"/>
                <w:szCs w:val="18"/>
              </w:rPr>
              <w:t xml:space="preserve">  more potent — JNJ-3 induced albumin secretion decrease in dog Liver-Chip vs human Liver-Chip (</w:t>
            </w:r>
            <w:hyperlink w:history="1" r:id="rIdn9xl_lj3nk8drvobydfj3">
              <w:r>
                <w:rPr>
                  <w:rFonts w:ascii="Calibri" w:cs="Calibri" w:eastAsia="Calibri" w:hAnsi="Calibri"/>
                  <w:color w:val="1155CC"/>
                  <w:sz w:val="18"/>
                  <w:szCs w:val="18"/>
                  <w:u w:val="single"/>
                </w:rPr>
                <w:t xml:space="preserve">Jang et al. 2019</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selectivity of 7% is low, but the paper notes that the data set differs from other studies, as it focuses on marketed drugs that passed rigorous clinical safety testing. The high LR+ for dizziness (1000) might be an outlier or reflect specific testing practices.</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non-human primate</w:t>
            </w:r>
          </w:p>
          <w:p>
            <w:pPr>
              <w:spacing w:after="20"/>
            </w:pPr>
            <w:r>
              <w:rPr>
                <w:rFonts w:ascii="Calibri" w:cs="Calibri" w:eastAsia="Calibri" w:hAnsi="Calibri"/>
                <w:color w:val="666666"/>
                <w:sz w:val="17"/>
                <w:szCs w:val="17"/>
              </w:rPr>
              <w:t xml:space="preserve">5 studies</w:t>
            </w:r>
          </w:p>
          <w:p>
            <w:pPr>
              <w:spacing w:after="0"/>
            </w:pPr>
            <w:r>
              <w:rPr>
                <w:rFonts w:ascii="Calibri" w:cs="Calibri" w:eastAsia="Calibri" w:hAnsi="Calibri"/>
                <w:color w:val="666666"/>
                <w:sz w:val="16"/>
                <w:szCs w:val="16"/>
              </w:rPr>
              <w:t xml:space="preserve">3 does not support</w:t>
            </w:r>
          </w:p>
          <w:p>
            <w:pPr>
              <w:spacing w:after="0"/>
            </w:pPr>
            <w:r>
              <w:rPr>
                <w:rFonts w:ascii="Calibri" w:cs="Calibri" w:eastAsia="Calibri" w:hAnsi="Calibri"/>
                <w:color w:val="666666"/>
                <w:sz w:val="16"/>
                <w:szCs w:val="16"/>
              </w:rPr>
              <w:t xml:space="preserve">2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NHPs have low-to-moderate overall predictive value for human toxicity (Monticello 2017: sens 48%, PPV 43%; Atkins 2020: median PPV 0.65, NPV 0.50; Bailey 2019: negative animal test → ~70% chance no human toxicity). Predictivity is endpoint-dependent—Clark 2018 reports LR+ up to 11 for cynomolgus monkey (cardiac/hepatobiliary).</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Results differ by organ system, endpoint and study dataset/metric (some endpoints show high LR+ while many ADRs have low selectivity or iNLR≈1).</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27–62%</w:t>
            </w:r>
            <w:r>
              <w:rPr>
                <w:rFonts w:ascii="Calibri" w:cs="Calibri" w:eastAsia="Calibri" w:hAnsi="Calibri"/>
                <w:sz w:val="18"/>
                <w:szCs w:val="18"/>
              </w:rPr>
              <w:t xml:space="preserve">  ppv — PPV for Liver (</w:t>
            </w:r>
            <w:hyperlink w:history="1" r:id="rIddcqwlxlleurrpu9j26jmf">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85–92%</w:t>
            </w:r>
            <w:r>
              <w:rPr>
                <w:rFonts w:ascii="Calibri" w:cs="Calibri" w:eastAsia="Calibri" w:hAnsi="Calibri"/>
                <w:sz w:val="18"/>
                <w:szCs w:val="18"/>
              </w:rPr>
              <w:t xml:space="preserve">  npv — NPV for Liver (</w:t>
            </w:r>
            <w:hyperlink w:history="1" r:id="rId40vc_a0axdqdhazc81lth">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16–90%</w:t>
            </w:r>
            <w:r>
              <w:rPr>
                <w:rFonts w:ascii="Calibri" w:cs="Calibri" w:eastAsia="Calibri" w:hAnsi="Calibri"/>
                <w:sz w:val="18"/>
                <w:szCs w:val="18"/>
              </w:rPr>
              <w:t xml:space="preserve">  sensitivity — Sensitivity for liver disorders (Olson study) (</w:t>
            </w:r>
            <w:hyperlink w:history="1" r:id="rIdxw-sswk0dau1dbrrsbkrj">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4.1–1000</w:t>
            </w:r>
            <w:r>
              <w:rPr>
                <w:rFonts w:ascii="Calibri" w:cs="Calibri" w:eastAsia="Calibri" w:hAnsi="Calibri"/>
                <w:sz w:val="18"/>
                <w:szCs w:val="18"/>
              </w:rPr>
              <w:t xml:space="preserve">  lr+ — Likelihood Ratio for Pain (all species combined) (</w:t>
            </w:r>
            <w:hyperlink w:history="1" r:id="rIdvt_sxlmv28xxakzb1tq-x">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60–80%</w:t>
            </w:r>
            <w:r>
              <w:rPr>
                <w:rFonts w:ascii="Calibri" w:cs="Calibri" w:eastAsia="Calibri" w:hAnsi="Calibri"/>
                <w:sz w:val="18"/>
                <w:szCs w:val="18"/>
              </w:rPr>
              <w:t xml:space="preserve">  pru — Proportionate Reduction in Uncertainty (PRU) for GI (Monkey) (</w:t>
            </w:r>
            <w:hyperlink w:history="1" r:id="rIdinllrlgk5nquhlycjekaq">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9.52–11.02</w:t>
            </w:r>
            <w:r>
              <w:rPr>
                <w:rFonts w:ascii="Calibri" w:cs="Calibri" w:eastAsia="Calibri" w:hAnsi="Calibri"/>
                <w:sz w:val="18"/>
                <w:szCs w:val="18"/>
              </w:rPr>
              <w:t xml:space="preserve">  lr+, n=84 — Likelihood Ratio for cynomolgus monkey, Cardiac disorders (</w:t>
            </w:r>
            <w:hyperlink w:history="1" r:id="rIdhmk3x3xw01pt4tipdfzph">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selectivity of 7% is low, but the paper notes that the data set differs from other studies, as it focuses on marketed drugs that passed rigorous clinical safety testing. The high LR+ for dizziness (1000) might be an outlier or reflect specific testing practices.</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rodent</w:t>
            </w:r>
          </w:p>
          <w:p>
            <w:pPr>
              <w:spacing w:after="20"/>
            </w:pPr>
            <w:r>
              <w:rPr>
                <w:rFonts w:ascii="Calibri" w:cs="Calibri" w:eastAsia="Calibri" w:hAnsi="Calibri"/>
                <w:color w:val="666666"/>
                <w:sz w:val="17"/>
                <w:szCs w:val="17"/>
              </w:rPr>
              <w:t xml:space="preserve">5 studies</w:t>
            </w:r>
          </w:p>
          <w:p>
            <w:pPr>
              <w:spacing w:after="0"/>
            </w:pPr>
            <w:r>
              <w:rPr>
                <w:rFonts w:ascii="Calibri" w:cs="Calibri" w:eastAsia="Calibri" w:hAnsi="Calibri"/>
                <w:color w:val="666666"/>
                <w:sz w:val="16"/>
                <w:szCs w:val="16"/>
              </w:rPr>
              <w:t xml:space="preserve">3 partly supports</w:t>
            </w:r>
          </w:p>
          <w:p>
            <w:pPr>
              <w:spacing w:after="0"/>
            </w:pPr>
            <w:r>
              <w:rPr>
                <w:rFonts w:ascii="Calibri" w:cs="Calibri" w:eastAsia="Calibri" w:hAnsi="Calibri"/>
                <w:color w:val="666666"/>
                <w:sz w:val="16"/>
                <w:szCs w:val="16"/>
              </w:rPr>
              <w:t xml:space="preserve">2 does not support</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rodents detect some human toxicities but often miss others — rodent concordance/sensitivity ≈43–48% (Wall et al. 2008; Monticello et al. 2017; Olson et al. 2000) with mean PPV ≈36% (Bailey et al. 2019); hematologic concordance was 91% (Olson et al. 2000). Findings vary by organ, trial phase and study inclusion (e.g., Olson included only compounds with known human toxicities).</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Estimates vary by organ system, clinical-prevalence effects on PPV/NPV, trial phase, and study inclusion criteria (e.g., Olson only included drugs with known human toxicities).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26–62%</w:t>
            </w:r>
            <w:r>
              <w:rPr>
                <w:rFonts w:ascii="Calibri" w:cs="Calibri" w:eastAsia="Calibri" w:hAnsi="Calibri"/>
                <w:sz w:val="18"/>
                <w:szCs w:val="18"/>
              </w:rPr>
              <w:t xml:space="preserve">  ppv — PPV for Liver (</w:t>
            </w:r>
            <w:hyperlink w:history="1" r:id="rIdxepvyf98osylcpj9cgtx9">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86–92%</w:t>
            </w:r>
            <w:r>
              <w:rPr>
                <w:rFonts w:ascii="Calibri" w:cs="Calibri" w:eastAsia="Calibri" w:hAnsi="Calibri"/>
                <w:sz w:val="18"/>
                <w:szCs w:val="18"/>
              </w:rPr>
              <w:t xml:space="preserve">  npv — NPV for Liver (</w:t>
            </w:r>
            <w:hyperlink w:history="1" r:id="rIdh4u2yut9dk3eyww61tmhm">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52–75%</w:t>
            </w:r>
            <w:r>
              <w:rPr>
                <w:rFonts w:ascii="Calibri" w:cs="Calibri" w:eastAsia="Calibri" w:hAnsi="Calibri"/>
                <w:sz w:val="18"/>
                <w:szCs w:val="18"/>
              </w:rPr>
              <w:t xml:space="preserve">  rate — concordance rate for Phase I onset HTs (</w:t>
            </w:r>
            <w:hyperlink w:history="1" r:id="rIdpzyqyd6ai00pvumewngzs">
              <w:r>
                <w:rPr>
                  <w:rFonts w:ascii="Calibri" w:cs="Calibri" w:eastAsia="Calibri" w:hAnsi="Calibri"/>
                  <w:color w:val="1155CC"/>
                  <w:sz w:val="18"/>
                  <w:szCs w:val="18"/>
                  <w:u w:val="single"/>
                </w:rPr>
                <w:t xml:space="preserve">Olson et al. 2000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70–71%</w:t>
            </w:r>
            <w:r>
              <w:rPr>
                <w:rFonts w:ascii="Calibri" w:cs="Calibri" w:eastAsia="Calibri" w:hAnsi="Calibri"/>
                <w:sz w:val="18"/>
                <w:szCs w:val="18"/>
              </w:rPr>
              <w:t xml:space="preserve">  rate — true positive HT concordance rate (sensitivity) (</w:t>
            </w:r>
            <w:hyperlink w:history="1" r:id="rIdabz15w6s9iqaintktw_8i">
              <w:r>
                <w:rPr>
                  <w:rFonts w:ascii="Calibri" w:cs="Calibri" w:eastAsia="Calibri" w:hAnsi="Calibri"/>
                  <w:color w:val="1155CC"/>
                  <w:sz w:val="18"/>
                  <w:szCs w:val="18"/>
                  <w:u w:val="single"/>
                </w:rPr>
                <w:t xml:space="preserve">Olson et al. 2000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43–63%</w:t>
            </w:r>
            <w:r>
              <w:rPr>
                <w:rFonts w:ascii="Calibri" w:cs="Calibri" w:eastAsia="Calibri" w:hAnsi="Calibri"/>
                <w:sz w:val="18"/>
                <w:szCs w:val="18"/>
              </w:rPr>
              <w:t xml:space="preserve">  rate — predictive rate for HTs (</w:t>
            </w:r>
            <w:hyperlink w:history="1" r:id="rId_bnasnnjudj8pcknl9eph">
              <w:r>
                <w:rPr>
                  <w:rFonts w:ascii="Calibri" w:cs="Calibri" w:eastAsia="Calibri" w:hAnsi="Calibri"/>
                  <w:color w:val="1155CC"/>
                  <w:sz w:val="18"/>
                  <w:szCs w:val="18"/>
                  <w:u w:val="single"/>
                </w:rPr>
                <w:t xml:space="preserve">Olson et al. 2000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43–63%</w:t>
            </w:r>
            <w:r>
              <w:rPr>
                <w:rFonts w:ascii="Calibri" w:cs="Calibri" w:eastAsia="Calibri" w:hAnsi="Calibri"/>
                <w:sz w:val="18"/>
                <w:szCs w:val="18"/>
              </w:rPr>
              <w:t xml:space="preserve">  rate — concordance rate (</w:t>
            </w:r>
            <w:hyperlink w:history="1" r:id="rIdfwjdzmsufhudqboye61yv">
              <w:r>
                <w:rPr>
                  <w:rFonts w:ascii="Calibri" w:cs="Calibri" w:eastAsia="Calibri" w:hAnsi="Calibri"/>
                  <w:color w:val="1155CC"/>
                  <w:sz w:val="18"/>
                  <w:szCs w:val="18"/>
                  <w:u w:val="single"/>
                </w:rPr>
                <w:t xml:space="preserve">Olson et al. 2000</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study only included compounds where human toxicities were identified, meaning it focused on true positives and false negatives, not true negatives or false positives. This limits the ability to assess overall predictivity.</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rat</w:t>
            </w:r>
          </w:p>
          <w:p>
            <w:pPr>
              <w:spacing w:after="20"/>
            </w:pPr>
            <w:r>
              <w:rPr>
                <w:rFonts w:ascii="Calibri" w:cs="Calibri" w:eastAsia="Calibri" w:hAnsi="Calibri"/>
                <w:color w:val="666666"/>
                <w:sz w:val="17"/>
                <w:szCs w:val="17"/>
              </w:rPr>
              <w:t xml:space="preserve">4 studies</w:t>
            </w:r>
          </w:p>
          <w:p>
            <w:pPr>
              <w:spacing w:after="0"/>
            </w:pPr>
            <w:r>
              <w:rPr>
                <w:rFonts w:ascii="Calibri" w:cs="Calibri" w:eastAsia="Calibri" w:hAnsi="Calibri"/>
                <w:color w:val="666666"/>
                <w:sz w:val="16"/>
                <w:szCs w:val="16"/>
              </w:rPr>
              <w:t xml:space="preserve">2 partly supports</w:t>
            </w:r>
          </w:p>
          <w:p>
            <w:pPr>
              <w:spacing w:after="0"/>
            </w:pPr>
            <w:r>
              <w:rPr>
                <w:rFonts w:ascii="Calibri" w:cs="Calibri" w:eastAsia="Calibri" w:hAnsi="Calibri"/>
                <w:color w:val="666666"/>
                <w:sz w:val="16"/>
                <w:szCs w:val="16"/>
              </w:rPr>
              <w:t xml:space="preserve">2 does not support</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rats give modest positive signal for some toxicities (Atkins et al. 2020 median PPV 0.65; Clark et al. 2018 rat LR+ 2.74 hepatobiliary, 4.73 cardiac) but do not reliably rule out human harm (Bailey et al. 2015 rat iNLR 1.82). Jang et al. 2019 shows species mismatches (bosentan rat IC50 &gt;100 µM vs human 10 µM).</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Metrics vary by organ class and severity of toxicity (different endpoints and study subsets produce different performance).</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16–90%</w:t>
            </w:r>
            <w:r>
              <w:rPr>
                <w:rFonts w:ascii="Calibri" w:cs="Calibri" w:eastAsia="Calibri" w:hAnsi="Calibri"/>
                <w:sz w:val="18"/>
                <w:szCs w:val="18"/>
              </w:rPr>
              <w:t xml:space="preserve">  sensitivity — Sensitivity for liver disorders (Olson study) (</w:t>
            </w:r>
            <w:hyperlink w:history="1" r:id="rIdlyiynlilj5jslzxtsxzou">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4.1–1000</w:t>
            </w:r>
            <w:r>
              <w:rPr>
                <w:rFonts w:ascii="Calibri" w:cs="Calibri" w:eastAsia="Calibri" w:hAnsi="Calibri"/>
                <w:sz w:val="18"/>
                <w:szCs w:val="18"/>
              </w:rPr>
              <w:t xml:space="preserve">  lr+ — Likelihood Ratio for Pain (all species combined) (</w:t>
            </w:r>
            <w:hyperlink w:history="1" r:id="rIdwe7379jvfnik7borjcslo">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10–100</w:t>
            </w:r>
            <w:r>
              <w:rPr>
                <w:rFonts w:ascii="Calibri" w:cs="Calibri" w:eastAsia="Calibri" w:hAnsi="Calibri"/>
                <w:sz w:val="18"/>
                <w:szCs w:val="18"/>
              </w:rPr>
              <w:t xml:space="preserve">  ic50 (half-maximal inhibitory concentration) — IC50 for bosentan-induced albumin secretion decrease (</w:t>
            </w:r>
            <w:hyperlink w:history="1" r:id="rIdouaimryms7ecl-lzclgx6">
              <w:r>
                <w:rPr>
                  <w:rFonts w:ascii="Calibri" w:cs="Calibri" w:eastAsia="Calibri" w:hAnsi="Calibri"/>
                  <w:color w:val="1155CC"/>
                  <w:sz w:val="18"/>
                  <w:szCs w:val="18"/>
                  <w:u w:val="single"/>
                </w:rPr>
                <w:t xml:space="preserve">Jang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20–70</w:t>
            </w:r>
            <w:r>
              <w:rPr>
                <w:rFonts w:ascii="Calibri" w:cs="Calibri" w:eastAsia="Calibri" w:hAnsi="Calibri"/>
                <w:sz w:val="18"/>
                <w:szCs w:val="18"/>
              </w:rPr>
              <w:t xml:space="preserve">  range — albumin secretion (µg day-1 per million cells) in Liver-Chip vs in vivo (</w:t>
            </w:r>
            <w:hyperlink w:history="1" r:id="rIdowecttauwsp5d7cpe00rt">
              <w:r>
                <w:rPr>
                  <w:rFonts w:ascii="Calibri" w:cs="Calibri" w:eastAsia="Calibri" w:hAnsi="Calibri"/>
                  <w:color w:val="1155CC"/>
                  <w:sz w:val="18"/>
                  <w:szCs w:val="18"/>
                  <w:u w:val="single"/>
                </w:rPr>
                <w:t xml:space="preserve">Jang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2.8–3.9</w:t>
            </w:r>
            <w:r>
              <w:rPr>
                <w:rFonts w:ascii="Calibri" w:cs="Calibri" w:eastAsia="Calibri" w:hAnsi="Calibri"/>
                <w:sz w:val="18"/>
                <w:szCs w:val="18"/>
              </w:rPr>
              <w:t xml:space="preserve">  lower — albumin secretion in conventional sandwich monoculture plates vs human Liver-Chip (</w:t>
            </w:r>
            <w:hyperlink w:history="1" r:id="rIdvmhg3qxhljpqfexcnlkwg">
              <w:r>
                <w:rPr>
                  <w:rFonts w:ascii="Calibri" w:cs="Calibri" w:eastAsia="Calibri" w:hAnsi="Calibri"/>
                  <w:color w:val="1155CC"/>
                  <w:sz w:val="18"/>
                  <w:szCs w:val="18"/>
                  <w:u w:val="single"/>
                </w:rPr>
                <w:t xml:space="preserve">Jang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2.74–4.73</w:t>
            </w:r>
            <w:r>
              <w:rPr>
                <w:rFonts w:ascii="Calibri" w:cs="Calibri" w:eastAsia="Calibri" w:hAnsi="Calibri"/>
                <w:sz w:val="18"/>
                <w:szCs w:val="18"/>
              </w:rPr>
              <w:t xml:space="preserve">  lr+, n=521 — Likelihood Ratio for rat, Cardiac disorders (</w:t>
            </w:r>
            <w:hyperlink w:history="1" r:id="rIdqpigdb_2d0ywyfdlxpmqd">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selectivity of 7% is low, but the paper notes that the data set differs from other studies, as it focuses on marketed drugs that passed rigorous clinical safety testing. The high LR+ for dizziness (1000) might be an outlier or reflect specific testing practices.</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mouse</w:t>
            </w:r>
          </w:p>
          <w:p>
            <w:pPr>
              <w:spacing w:after="20"/>
            </w:pPr>
            <w:r>
              <w:rPr>
                <w:rFonts w:ascii="Calibri" w:cs="Calibri" w:eastAsia="Calibri" w:hAnsi="Calibri"/>
                <w:color w:val="666666"/>
                <w:sz w:val="17"/>
                <w:szCs w:val="17"/>
              </w:rPr>
              <w:t xml:space="preserve">3 studies</w:t>
            </w:r>
          </w:p>
          <w:p>
            <w:pPr>
              <w:spacing w:after="0"/>
            </w:pPr>
            <w:r>
              <w:rPr>
                <w:rFonts w:ascii="Calibri" w:cs="Calibri" w:eastAsia="Calibri" w:hAnsi="Calibri"/>
                <w:color w:val="666666"/>
                <w:sz w:val="16"/>
                <w:szCs w:val="16"/>
              </w:rPr>
              <w:t xml:space="preserve">2 does not support</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Mouse toxicology translates inconsistently to humans: PPV 0.57 (all grades) and 0.43 (grade 3–4) vs NPV 0.81 for grade 3–4 (Atkins et al. 2020), iNLR 1.39 (Bailey et al. 2015), though mouse cardiac LR+ = 5.29 (Clark et al. 2018). Performance varies by organ class and severity.</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Variation arises from organ class and toxicity severity: some endpoints (e.g. cardiac) show high LR+ while overall selectivity and iNLR remain low.</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16–90%</w:t>
            </w:r>
            <w:r>
              <w:rPr>
                <w:rFonts w:ascii="Calibri" w:cs="Calibri" w:eastAsia="Calibri" w:hAnsi="Calibri"/>
                <w:sz w:val="18"/>
                <w:szCs w:val="18"/>
              </w:rPr>
              <w:t xml:space="preserve">  sensitivity — Sensitivity for liver disorders (Olson study) (</w:t>
            </w:r>
            <w:hyperlink w:history="1" r:id="rId9qv9bx65q7uhawviynx57">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4.1–1000</w:t>
            </w:r>
            <w:r>
              <w:rPr>
                <w:rFonts w:ascii="Calibri" w:cs="Calibri" w:eastAsia="Calibri" w:hAnsi="Calibri"/>
                <w:sz w:val="18"/>
                <w:szCs w:val="18"/>
              </w:rPr>
              <w:t xml:space="preserve">  lr+ — Likelihood Ratio for Pain (all species combined) (</w:t>
            </w:r>
            <w:hyperlink w:history="1" r:id="rId701pyepdhqfehmwtwvxmi">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3.73–5.29</w:t>
            </w:r>
            <w:r>
              <w:rPr>
                <w:rFonts w:ascii="Calibri" w:cs="Calibri" w:eastAsia="Calibri" w:hAnsi="Calibri"/>
                <w:sz w:val="18"/>
                <w:szCs w:val="18"/>
              </w:rPr>
              <w:t xml:space="preserve">  lr+, n=210 — Likelihood Ratio for mouse, Cardiac disorders (</w:t>
            </w:r>
            <w:hyperlink w:history="1" r:id="rIdl1xkfgo1yin7agr-du1kh">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0.65</w:t>
            </w:r>
            <w:r>
              <w:rPr>
                <w:rFonts w:ascii="Calibri" w:cs="Calibri" w:eastAsia="Calibri" w:hAnsi="Calibri"/>
                <w:sz w:val="18"/>
                <w:szCs w:val="18"/>
              </w:rPr>
              <w:t xml:space="preserve">  median ppv — Overall animal toxicity correlation with human toxicity (</w:t>
            </w:r>
            <w:hyperlink w:history="1" r:id="rIdtvr17rd2khor_ytjyt1iv">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w:t>
            </w:r>
            <w:r>
              <w:rPr>
                <w:rFonts w:ascii="Calibri" w:cs="Calibri" w:eastAsia="Calibri" w:hAnsi="Calibri"/>
                <w:sz w:val="18"/>
                <w:szCs w:val="18"/>
              </w:rPr>
              <w:t xml:space="preserve">  median npv — Overall animal toxicity correlation with human toxicity (</w:t>
            </w:r>
            <w:hyperlink w:history="1" r:id="rId1kravfepdtcnecqr9kx3b">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0.57</w:t>
            </w:r>
            <w:r>
              <w:rPr>
                <w:rFonts w:ascii="Calibri" w:cs="Calibri" w:eastAsia="Calibri" w:hAnsi="Calibri"/>
                <w:sz w:val="18"/>
                <w:szCs w:val="18"/>
              </w:rPr>
              <w:t xml:space="preserve">  median ppv — PPV for all toxicity grades (</w:t>
            </w:r>
            <w:hyperlink w:history="1" r:id="rIdnw1iidsgfzs-0lvk5ul4c">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selectivity of 7% is low, but the paper notes that the data set differs from other studies, as it focuses on marketed drugs that passed rigorous clinical safety testing. The high LR+ for dizziness (1000) might be an outlier or reflect specific testing practices.</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non-rodent</w:t>
            </w:r>
          </w:p>
          <w:p>
            <w:pPr>
              <w:spacing w:after="20"/>
            </w:pPr>
            <w:r>
              <w:rPr>
                <w:rFonts w:ascii="Calibri" w:cs="Calibri" w:eastAsia="Calibri" w:hAnsi="Calibri"/>
                <w:color w:val="666666"/>
                <w:sz w:val="17"/>
                <w:szCs w:val="17"/>
              </w:rPr>
              <w:t xml:space="preserve">3 studies</w:t>
            </w:r>
          </w:p>
          <w:p>
            <w:pPr>
              <w:spacing w:after="0"/>
            </w:pPr>
            <w:r>
              <w:rPr>
                <w:rFonts w:ascii="Calibri" w:cs="Calibri" w:eastAsia="Calibri" w:hAnsi="Calibri"/>
                <w:color w:val="666666"/>
                <w:sz w:val="16"/>
                <w:szCs w:val="16"/>
              </w:rPr>
              <w:t xml:space="preserve">2 partly supports</w:t>
            </w:r>
          </w:p>
          <w:p>
            <w:pPr>
              <w:spacing w:after="0"/>
            </w:pPr>
            <w:r>
              <w:rPr>
                <w:rFonts w:ascii="Calibri" w:cs="Calibri" w:eastAsia="Calibri" w:hAnsi="Calibri"/>
                <w:color w:val="666666"/>
                <w:sz w:val="16"/>
                <w:szCs w:val="16"/>
              </w:rPr>
              <w:t xml:space="preserve">1 does not support</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Non‑rodent toxicology tracked human organ toxicities moderately: non‑rodents predicted human organ toxicity ~63% of the time (Olson et al. 2000; Wall et al. 2008) and rodent+nonrodent concordance was ~71% (Olson et al. 2000). Concordance varied by organ — e.g. non‑rodent GI 83% vs rodent GI 46% (Peters et al. 2019) — and Olson analysed only compounds with known human toxicities.</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Concordance differs by organ system and clinical phase, and Olson restricted analysis to compounds with known human toxicities.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52–75%</w:t>
            </w:r>
            <w:r>
              <w:rPr>
                <w:rFonts w:ascii="Calibri" w:cs="Calibri" w:eastAsia="Calibri" w:hAnsi="Calibri"/>
                <w:sz w:val="18"/>
                <w:szCs w:val="18"/>
              </w:rPr>
              <w:t xml:space="preserve">  rate — concordance rate for Phase I onset HTs (</w:t>
            </w:r>
            <w:hyperlink w:history="1" r:id="rIdpoauh7gx2yeipgrhyysu_">
              <w:r>
                <w:rPr>
                  <w:rFonts w:ascii="Calibri" w:cs="Calibri" w:eastAsia="Calibri" w:hAnsi="Calibri"/>
                  <w:color w:val="1155CC"/>
                  <w:sz w:val="18"/>
                  <w:szCs w:val="18"/>
                  <w:u w:val="single"/>
                </w:rPr>
                <w:t xml:space="preserve">Olson et al. 2000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70–71%</w:t>
            </w:r>
            <w:r>
              <w:rPr>
                <w:rFonts w:ascii="Calibri" w:cs="Calibri" w:eastAsia="Calibri" w:hAnsi="Calibri"/>
                <w:sz w:val="18"/>
                <w:szCs w:val="18"/>
              </w:rPr>
              <w:t xml:space="preserve">  rate — true positive HT concordance rate (sensitivity) (</w:t>
            </w:r>
            <w:hyperlink w:history="1" r:id="rId-7ife9ec5ufebmxkgthgm">
              <w:r>
                <w:rPr>
                  <w:rFonts w:ascii="Calibri" w:cs="Calibri" w:eastAsia="Calibri" w:hAnsi="Calibri"/>
                  <w:color w:val="1155CC"/>
                  <w:sz w:val="18"/>
                  <w:szCs w:val="18"/>
                  <w:u w:val="single"/>
                </w:rPr>
                <w:t xml:space="preserve">Olson et al. 2000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43–63%</w:t>
            </w:r>
            <w:r>
              <w:rPr>
                <w:rFonts w:ascii="Calibri" w:cs="Calibri" w:eastAsia="Calibri" w:hAnsi="Calibri"/>
                <w:sz w:val="18"/>
                <w:szCs w:val="18"/>
              </w:rPr>
              <w:t xml:space="preserve">  rate — predictive rate for HTs (</w:t>
            </w:r>
            <w:hyperlink w:history="1" r:id="rIdc0bmv4gva9zs1iq5fpe3j">
              <w:r>
                <w:rPr>
                  <w:rFonts w:ascii="Calibri" w:cs="Calibri" w:eastAsia="Calibri" w:hAnsi="Calibri"/>
                  <w:color w:val="1155CC"/>
                  <w:sz w:val="18"/>
                  <w:szCs w:val="18"/>
                  <w:u w:val="single"/>
                </w:rPr>
                <w:t xml:space="preserve">Olson et al. 2000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43–63%</w:t>
            </w:r>
            <w:r>
              <w:rPr>
                <w:rFonts w:ascii="Calibri" w:cs="Calibri" w:eastAsia="Calibri" w:hAnsi="Calibri"/>
                <w:sz w:val="18"/>
                <w:szCs w:val="18"/>
              </w:rPr>
              <w:t xml:space="preserve">  rate — concordance rate (</w:t>
            </w:r>
            <w:hyperlink w:history="1" r:id="rIdtm953bunp1nrwn7s7n8ks">
              <w:r>
                <w:rPr>
                  <w:rFonts w:ascii="Calibri" w:cs="Calibri" w:eastAsia="Calibri" w:hAnsi="Calibri"/>
                  <w:color w:val="1155CC"/>
                  <w:sz w:val="18"/>
                  <w:szCs w:val="18"/>
                  <w:u w:val="single"/>
                </w:rPr>
                <w:t xml:space="preserve">Olson et al. 2000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7–27%</w:t>
            </w:r>
            <w:r>
              <w:rPr>
                <w:rFonts w:ascii="Calibri" w:cs="Calibri" w:eastAsia="Calibri" w:hAnsi="Calibri"/>
                <w:sz w:val="18"/>
                <w:szCs w:val="18"/>
              </w:rPr>
              <w:t xml:space="preserve">  rate — concordance by only one species occurring in the nonrodent (</w:t>
            </w:r>
            <w:hyperlink w:history="1" r:id="rIdvxf1rivyboujcyicrcyks">
              <w:r>
                <w:rPr>
                  <w:rFonts w:ascii="Calibri" w:cs="Calibri" w:eastAsia="Calibri" w:hAnsi="Calibri"/>
                  <w:color w:val="1155CC"/>
                  <w:sz w:val="18"/>
                  <w:szCs w:val="18"/>
                  <w:u w:val="single"/>
                </w:rPr>
                <w:t xml:space="preserve">Olson et al. 2000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90–91%</w:t>
            </w:r>
            <w:r>
              <w:rPr>
                <w:rFonts w:ascii="Calibri" w:cs="Calibri" w:eastAsia="Calibri" w:hAnsi="Calibri"/>
                <w:sz w:val="18"/>
                <w:szCs w:val="18"/>
              </w:rPr>
              <w:t xml:space="preserve">  rate — rodent toxicology studies judged to have been performed at limiting doses for cases where HTs were not predicted (</w:t>
            </w:r>
            <w:hyperlink w:history="1" r:id="rIdlnsa_f_yj9dr8orqscc80">
              <w:r>
                <w:rPr>
                  <w:rFonts w:ascii="Calibri" w:cs="Calibri" w:eastAsia="Calibri" w:hAnsi="Calibri"/>
                  <w:color w:val="1155CC"/>
                  <w:sz w:val="18"/>
                  <w:szCs w:val="18"/>
                  <w:u w:val="single"/>
                </w:rPr>
                <w:t xml:space="preserve">Olson et al. 2000</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study only included compounds where human toxicities were identified, meaning it focused on true positives and false negatives, not true negatives or false positives. This limits the ability to assess overall predictivity.</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zebrafish</w:t>
            </w:r>
          </w:p>
          <w:p>
            <w:pPr>
              <w:spacing w:after="20"/>
            </w:pPr>
            <w:r>
              <w:rPr>
                <w:rFonts w:ascii="Calibri" w:cs="Calibri" w:eastAsia="Calibri" w:hAnsi="Calibri"/>
                <w:color w:val="666666"/>
                <w:sz w:val="17"/>
                <w:szCs w:val="17"/>
              </w:rPr>
              <w:t xml:space="preserve">3 studies</w:t>
            </w:r>
          </w:p>
          <w:p>
            <w:pPr>
              <w:spacing w:after="0"/>
            </w:pPr>
            <w:r>
              <w:rPr>
                <w:rFonts w:ascii="Calibri" w:cs="Calibri" w:eastAsia="Calibri" w:hAnsi="Calibri"/>
                <w:color w:val="666666"/>
                <w:sz w:val="16"/>
                <w:szCs w:val="16"/>
              </w:rPr>
              <w:t xml:space="preserve">2 supports</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15603A"/>
                <w:sz w:val="16"/>
                <w:szCs w:val="16"/>
              </w:rPr>
              <w:t xml:space="preserve">EVIDENCE FAVOURS THE MODEL</w:t>
            </w:r>
          </w:p>
          <w:p>
            <w:pPr>
              <w:spacing w:after="60"/>
            </w:pPr>
            <w:r>
              <w:rPr>
                <w:rFonts w:ascii="Calibri" w:cs="Calibri" w:eastAsia="Calibri" w:hAnsi="Calibri"/>
                <w:sz w:val="18"/>
                <w:szCs w:val="18"/>
              </w:rPr>
              <w:t xml:space="preserve">Studies show zebrafish toxicology often tracks mammalian outcomes: Nikam et al. 2020 reported 100% concordance with mammalian screening and hepatotoxicity and 90% agreement for teratogenicity (n=59); Cornet et al. 2017 reported overall accuracy 78%. Performance varies by endpoint—sensitivities 54–80% and specificities 77–100% across endpoints (McGrath 2008 noted sensitivity &gt;80% and specificity &gt;70%).</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Range reflects differences between toxicity endpoints (cardiotoxicity, neurotoxicity, hepatotoxicity) and between assay versions/studies.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231–336</w:t>
            </w:r>
            <w:r>
              <w:rPr>
                <w:rFonts w:ascii="Calibri" w:cs="Calibri" w:eastAsia="Calibri" w:hAnsi="Calibri"/>
                <w:sz w:val="18"/>
                <w:szCs w:val="18"/>
              </w:rPr>
              <w:t xml:space="preserve">  qt interval — QT interval (</w:t>
            </w:r>
            <w:hyperlink w:history="1" r:id="rIdogqcyutbyd9h-2u8j32ho">
              <w:r>
                <w:rPr>
                  <w:rFonts w:ascii="Calibri" w:cs="Calibri" w:eastAsia="Calibri" w:hAnsi="Calibri"/>
                  <w:color w:val="1155CC"/>
                  <w:sz w:val="18"/>
                  <w:szCs w:val="18"/>
                  <w:u w:val="single"/>
                </w:rPr>
                <w:t xml:space="preserve">Nikam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75%</w:t>
            </w:r>
            <w:r>
              <w:rPr>
                <w:rFonts w:ascii="Calibri" w:cs="Calibri" w:eastAsia="Calibri" w:hAnsi="Calibri"/>
                <w:sz w:val="18"/>
                <w:szCs w:val="18"/>
              </w:rPr>
              <w:t xml:space="preserve">  success rate — success rate in identifying nonteratogenic compounds (</w:t>
            </w:r>
            <w:hyperlink w:history="1" r:id="rIdqvjxyu8pws3bvqkbbc2al">
              <w:r>
                <w:rPr>
                  <w:rFonts w:ascii="Calibri" w:cs="Calibri" w:eastAsia="Calibri" w:hAnsi="Calibri"/>
                  <w:color w:val="1155CC"/>
                  <w:sz w:val="18"/>
                  <w:szCs w:val="18"/>
                  <w:u w:val="single"/>
                </w:rPr>
                <w:t xml:space="preserve">McGrath et al. 2008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100%</w:t>
            </w:r>
            <w:r>
              <w:rPr>
                <w:rFonts w:ascii="Calibri" w:cs="Calibri" w:eastAsia="Calibri" w:hAnsi="Calibri"/>
                <w:sz w:val="18"/>
                <w:szCs w:val="18"/>
              </w:rPr>
              <w:t xml:space="preserve">  success rate — success rate in identifying teratogens (</w:t>
            </w:r>
            <w:hyperlink w:history="1" r:id="rIdljhhnwnxz3jmxli2k7edy">
              <w:r>
                <w:rPr>
                  <w:rFonts w:ascii="Calibri" w:cs="Calibri" w:eastAsia="Calibri" w:hAnsi="Calibri"/>
                  <w:color w:val="1155CC"/>
                  <w:sz w:val="18"/>
                  <w:szCs w:val="18"/>
                  <w:u w:val="single"/>
                </w:rPr>
                <w:t xml:space="preserve">McGrath et al. 2008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70%</w:t>
            </w:r>
            <w:r>
              <w:rPr>
                <w:rFonts w:ascii="Calibri" w:cs="Calibri" w:eastAsia="Calibri" w:hAnsi="Calibri"/>
                <w:sz w:val="18"/>
                <w:szCs w:val="18"/>
              </w:rPr>
              <w:t xml:space="preserve">  good — specificity (</w:t>
            </w:r>
            <w:hyperlink w:history="1" r:id="rId8_k0ueimahdqsl71n1hx3">
              <w:r>
                <w:rPr>
                  <w:rFonts w:ascii="Calibri" w:cs="Calibri" w:eastAsia="Calibri" w:hAnsi="Calibri"/>
                  <w:color w:val="1155CC"/>
                  <w:sz w:val="18"/>
                  <w:szCs w:val="18"/>
                  <w:u w:val="single"/>
                </w:rPr>
                <w:t xml:space="preserve">McGrath et al. 2008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80%</w:t>
            </w:r>
            <w:r>
              <w:rPr>
                <w:rFonts w:ascii="Calibri" w:cs="Calibri" w:eastAsia="Calibri" w:hAnsi="Calibri"/>
                <w:sz w:val="18"/>
                <w:szCs w:val="18"/>
              </w:rPr>
              <w:t xml:space="preserve">  excellent — specificity (</w:t>
            </w:r>
            <w:hyperlink w:history="1" r:id="rIdktkzfugg5xraqej09tsdi">
              <w:r>
                <w:rPr>
                  <w:rFonts w:ascii="Calibri" w:cs="Calibri" w:eastAsia="Calibri" w:hAnsi="Calibri"/>
                  <w:color w:val="1155CC"/>
                  <w:sz w:val="18"/>
                  <w:szCs w:val="18"/>
                  <w:u w:val="single"/>
                </w:rPr>
                <w:t xml:space="preserve">McGrath et al. 2008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89%</w:t>
            </w:r>
            <w:r>
              <w:rPr>
                <w:rFonts w:ascii="Calibri" w:cs="Calibri" w:eastAsia="Calibri" w:hAnsi="Calibri"/>
                <w:sz w:val="18"/>
                <w:szCs w:val="18"/>
              </w:rPr>
              <w:t xml:space="preserve">  specificity — ZeGlobalTox predictive assessment (overall) (</w:t>
            </w:r>
            <w:hyperlink w:history="1" r:id="rIdqns0qhu8wi32mhar0azph">
              <w:r>
                <w:rPr>
                  <w:rFonts w:ascii="Calibri" w:cs="Calibri" w:eastAsia="Calibri" w:hAnsi="Calibri"/>
                  <w:color w:val="1155CC"/>
                  <w:sz w:val="18"/>
                  <w:szCs w:val="18"/>
                  <w:u w:val="single"/>
                </w:rPr>
                <w:t xml:space="preserve">Cornet et al. 2017</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rabbit</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1 partly supports</w:t>
            </w:r>
          </w:p>
          <w:p>
            <w:pPr>
              <w:spacing w:after="0"/>
            </w:pPr>
            <w:r>
              <w:rPr>
                <w:rFonts w:ascii="Calibri" w:cs="Calibri" w:eastAsia="Calibri" w:hAnsi="Calibri"/>
                <w:color w:val="666666"/>
                <w:sz w:val="16"/>
                <w:szCs w:val="16"/>
              </w:rPr>
              <w:t xml:space="preserve">1 does not support</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rabbit findings predict some human toxicities (LR+ 3.54 for cardiac, LR+ 2.8 for hepatobiliary; rabbit QT post-test odds 83%) but give little reassurance overall (rabbit median iNLR 1.12 ≈ unity). Differences reflect endpoint-specific concordance and study design/selection bias (Clark et al. 2018; Bailey et al. 2015).</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Endpoint-specific analyses (e.g., QT) show higher concordance while overall selectivity is low; differing datasets and selection bias explain variation.</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16–90%</w:t>
            </w:r>
            <w:r>
              <w:rPr>
                <w:rFonts w:ascii="Calibri" w:cs="Calibri" w:eastAsia="Calibri" w:hAnsi="Calibri"/>
                <w:sz w:val="18"/>
                <w:szCs w:val="18"/>
              </w:rPr>
              <w:t xml:space="preserve">  sensitivity — Sensitivity for liver disorders (Olson study) (</w:t>
            </w:r>
            <w:hyperlink w:history="1" r:id="rIdsfzegcybl6jqnltkcrqqk">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4.1–1000</w:t>
            </w:r>
            <w:r>
              <w:rPr>
                <w:rFonts w:ascii="Calibri" w:cs="Calibri" w:eastAsia="Calibri" w:hAnsi="Calibri"/>
                <w:sz w:val="18"/>
                <w:szCs w:val="18"/>
              </w:rPr>
              <w:t xml:space="preserve">  lr+ — Likelihood Ratio for Pain (all species combined) (</w:t>
            </w:r>
            <w:hyperlink w:history="1" r:id="rIdpcqdl-quz46_rteo7gwgg">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2.8–3.54</w:t>
            </w:r>
            <w:r>
              <w:rPr>
                <w:rFonts w:ascii="Calibri" w:cs="Calibri" w:eastAsia="Calibri" w:hAnsi="Calibri"/>
                <w:sz w:val="18"/>
                <w:szCs w:val="18"/>
              </w:rPr>
              <w:t xml:space="preserve">  lr+, n=99 — Likelihood Ratio for rabbit, Cardiac disorders (</w:t>
            </w:r>
            <w:hyperlink w:history="1" r:id="rIdoauouqhvqnw8dtfsjcrmx">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w:t>
            </w:r>
            <w:r>
              <w:rPr>
                <w:rFonts w:ascii="Calibri" w:cs="Calibri" w:eastAsia="Calibri" w:hAnsi="Calibri"/>
                <w:sz w:val="18"/>
                <w:szCs w:val="18"/>
              </w:rPr>
              <w:t xml:space="preserve">  selectivity — Overall true positive rate for all species and organ classes (</w:t>
            </w:r>
            <w:hyperlink w:history="1" r:id="rId0ji8kjkcdfyxnqi1b9twb">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90%</w:t>
            </w:r>
            <w:r>
              <w:rPr>
                <w:rFonts w:ascii="Calibri" w:cs="Calibri" w:eastAsia="Calibri" w:hAnsi="Calibri"/>
                <w:sz w:val="18"/>
                <w:szCs w:val="18"/>
              </w:rPr>
              <w:t xml:space="preserve">  chance, n=23 small set of compounds (n = 23) — QT prolongation prediction chance (Vargas et al. study) (</w:t>
            </w:r>
            <w:hyperlink w:history="1" r:id="rIdtdgth551huyo-pnqnwshj">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83%</w:t>
            </w:r>
            <w:r>
              <w:rPr>
                <w:rFonts w:ascii="Calibri" w:cs="Calibri" w:eastAsia="Calibri" w:hAnsi="Calibri"/>
                <w:sz w:val="18"/>
                <w:szCs w:val="18"/>
              </w:rPr>
              <w:t xml:space="preserve">  post-test odds — QT prolongation post-test odds (rabbit) (</w:t>
            </w:r>
            <w:hyperlink w:history="1" r:id="rIdvugbvmsmldngzfvftkv4h">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selectivity of 7% is low, but the paper notes that the data set differs from other studies, as it focuses on marketed drugs that passed rigorous clinical safety testing. The high LR+ for dizziness (1000) might be an outlier or reflect specific testing practices.</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pig</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Monticello et al. 2017: animal findings predicted absence of human adverse effects better than presence — specificity 84% and NPV 86% vs sensitivity 48% and PPV 43% (clinical positive prevalence 21%). Excluding subjective 'other' events raised sensitivity to 52% and NPV to 92%.</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Excluding the subjective 'other' organ-category (low signal) changed PPV/NPV and prevalence.</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48%</w:t>
            </w:r>
            <w:r>
              <w:rPr>
                <w:rFonts w:ascii="Calibri" w:cs="Calibri" w:eastAsia="Calibri" w:hAnsi="Calibri"/>
                <w:sz w:val="18"/>
                <w:szCs w:val="18"/>
              </w:rPr>
              <w:t xml:space="preserve">  sensitivity — Sensitivity (</w:t>
            </w:r>
            <w:hyperlink w:history="1" r:id="rIdow1wfqvtpbbgwpshy9cdr">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43%</w:t>
            </w:r>
            <w:r>
              <w:rPr>
                <w:rFonts w:ascii="Calibri" w:cs="Calibri" w:eastAsia="Calibri" w:hAnsi="Calibri"/>
                <w:sz w:val="18"/>
                <w:szCs w:val="18"/>
              </w:rPr>
              <w:t xml:space="preserve">  ppv — Positive Predictive Value (PPV) (</w:t>
            </w:r>
            <w:hyperlink w:history="1" r:id="rIdgw4tyvwnuogswy0pt6qjy">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84%</w:t>
            </w:r>
            <w:r>
              <w:rPr>
                <w:rFonts w:ascii="Calibri" w:cs="Calibri" w:eastAsia="Calibri" w:hAnsi="Calibri"/>
                <w:sz w:val="18"/>
                <w:szCs w:val="18"/>
              </w:rPr>
              <w:t xml:space="preserve">  specificity — Specificity (</w:t>
            </w:r>
            <w:hyperlink w:history="1" r:id="rId5y7urlwtk9ejugtgndj3h">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86%</w:t>
            </w:r>
            <w:r>
              <w:rPr>
                <w:rFonts w:ascii="Calibri" w:cs="Calibri" w:eastAsia="Calibri" w:hAnsi="Calibri"/>
                <w:sz w:val="18"/>
                <w:szCs w:val="18"/>
              </w:rPr>
              <w:t xml:space="preserve">  npv — Negative Predictive Value (NPV) (</w:t>
            </w:r>
            <w:hyperlink w:history="1" r:id="rId4ljaaaxx7vnpqy3th_d2p">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48%</w:t>
            </w:r>
            <w:r>
              <w:rPr>
                <w:rFonts w:ascii="Calibri" w:cs="Calibri" w:eastAsia="Calibri" w:hAnsi="Calibri"/>
                <w:sz w:val="18"/>
                <w:szCs w:val="18"/>
              </w:rPr>
              <w:t xml:space="preserve">  sensitivity — Overall Sensitivity (</w:t>
            </w:r>
            <w:hyperlink w:history="1" r:id="rIdh8tgcbjfvwgmnahjiqxcj">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84%</w:t>
            </w:r>
            <w:r>
              <w:rPr>
                <w:rFonts w:ascii="Calibri" w:cs="Calibri" w:eastAsia="Calibri" w:hAnsi="Calibri"/>
                <w:sz w:val="18"/>
                <w:szCs w:val="18"/>
              </w:rPr>
              <w:t xml:space="preserve">  specificity — Overall Specificity (</w:t>
            </w:r>
            <w:hyperlink w:history="1" r:id="rIdv2wkx_rlvvs0wqtcb11ra">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clinical positive prevalence for the entire database was 21%. For the 'other' organ system category, which consisted of subjective constitutional adverse events, the PPV was very low (9% for rodent, 0% for dog, 25% for NHP) and NPV was also very low (14% for rodent, 15% for dog, 16% for NHP). The paper notes that NPV is usually high because most findings are negative.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Safety pharmacology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dog</w:t>
            </w:r>
          </w:p>
          <w:p>
            <w:pPr>
              <w:spacing w:after="20"/>
            </w:pPr>
            <w:r>
              <w:rPr>
                <w:rFonts w:ascii="Calibri" w:cs="Calibri" w:eastAsia="Calibri" w:hAnsi="Calibri"/>
                <w:color w:val="666666"/>
                <w:sz w:val="17"/>
                <w:szCs w:val="17"/>
              </w:rPr>
              <w:t xml:space="preserve">4 studies</w:t>
            </w:r>
          </w:p>
          <w:p>
            <w:pPr>
              <w:spacing w:after="0"/>
            </w:pPr>
            <w:r>
              <w:rPr>
                <w:rFonts w:ascii="Calibri" w:cs="Calibri" w:eastAsia="Calibri" w:hAnsi="Calibri"/>
                <w:color w:val="666666"/>
                <w:sz w:val="16"/>
                <w:szCs w:val="16"/>
              </w:rPr>
              <w:t xml:space="preserve">3 partly supports</w:t>
            </w:r>
          </w:p>
          <w:p>
            <w:pPr>
              <w:spacing w:after="0"/>
            </w:pPr>
            <w:r>
              <w:rPr>
                <w:rFonts w:ascii="Calibri" w:cs="Calibri" w:eastAsia="Calibri" w:hAnsi="Calibri"/>
                <w:color w:val="666666"/>
                <w:sz w:val="16"/>
                <w:szCs w:val="16"/>
              </w:rPr>
              <w:t xml:space="preserve">1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Dog safety studies broadly track human cardiac and BP/HR effects: dog QTc AUC ≈0.81 (Pollard et al. 2017), 91% of human QT‑prolongers also prolonged QT in animals (Valentin et al. 2022), and combined BP/HR sensitivity/specificity were 78%/79% (Bhatt et al. 2019). However, overall discordance was 31% and nonclinical false‑negatives among TQT‑positive drugs reached 65% (Valentin et al. 2022); assay sensitivity varies by assay and exposure.</w:t>
            </w:r>
          </w:p>
          <w:p>
            <w:pPr>
              <w:spacing w:after="50"/>
            </w:pPr>
            <w:r>
              <w:rPr>
                <w:rFonts w:ascii="Calibri" w:cs="Calibri" w:eastAsia="Calibri" w:hAnsi="Calibri"/>
                <w:b/>
                <w:bCs/>
                <w:color w:val="8A6D00"/>
                <w:sz w:val="17"/>
                <w:szCs w:val="17"/>
              </w:rPr>
              <w:t xml:space="preserve">Negative controls. </w:t>
            </w:r>
            <w:r>
              <w:rPr>
                <w:rFonts w:ascii="Calibri" w:cs="Calibri" w:eastAsia="Calibri" w:hAnsi="Calibri"/>
                <w:i/>
                <w:iCs/>
                <w:color w:val="8A6D00"/>
                <w:sz w:val="17"/>
                <w:szCs w:val="17"/>
              </w:rPr>
              <w:t xml:space="preserve">Sadko et al. 2024 included a mock/vehicle negative control that produced no QTc change in dogs. These are designed to score low and are excluded from the reading above.</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Sensitivity varies by assay type and exposure multiple (e.g., hERG/in vivo QTc 50–57% at 30× vs APD 19%).</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19–57%</w:t>
            </w:r>
            <w:r>
              <w:rPr>
                <w:rFonts w:ascii="Calibri" w:cs="Calibri" w:eastAsia="Calibri" w:hAnsi="Calibri"/>
                <w:sz w:val="18"/>
                <w:szCs w:val="18"/>
              </w:rPr>
              <w:t xml:space="preserve">  sensitivity — sensitivity of hERG assay for clinical QTc prolongation at 30x exposure multiples (</w:t>
            </w:r>
            <w:hyperlink w:history="1" r:id="rIdnddjucnbafycyyy79iav7">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0.78–0.92</w:t>
            </w:r>
            <w:r>
              <w:rPr>
                <w:rFonts w:ascii="Calibri" w:cs="Calibri" w:eastAsia="Calibri" w:hAnsi="Calibri"/>
                <w:sz w:val="18"/>
                <w:szCs w:val="18"/>
              </w:rPr>
              <w:t xml:space="preserve">  auc, n=24 — concordance between hERG potency and clinical QTc outcome (</w:t>
            </w:r>
            <w:hyperlink w:history="1" r:id="rId8rvwyfeydm-eziq-zyq2y">
              <w:r>
                <w:rPr>
                  <w:rFonts w:ascii="Calibri" w:cs="Calibri" w:eastAsia="Calibri" w:hAnsi="Calibri"/>
                  <w:color w:val="1155CC"/>
                  <w:sz w:val="18"/>
                  <w:szCs w:val="18"/>
                  <w:u w:val="single"/>
                </w:rPr>
                <w:t xml:space="preserve">Pollard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54–78%</w:t>
            </w:r>
            <w:r>
              <w:rPr>
                <w:rFonts w:ascii="Calibri" w:cs="Calibri" w:eastAsia="Calibri" w:hAnsi="Calibri"/>
                <w:sz w:val="18"/>
                <w:szCs w:val="18"/>
              </w:rPr>
              <w:t xml:space="preserve">  sensitivity — large animal to human (combined BP and HR) (</w:t>
            </w:r>
            <w:hyperlink w:history="1" r:id="rIdxqfew6bkobmknb8wplefz">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79–83%</w:t>
            </w:r>
            <w:r>
              <w:rPr>
                <w:rFonts w:ascii="Calibri" w:cs="Calibri" w:eastAsia="Calibri" w:hAnsi="Calibri"/>
                <w:sz w:val="18"/>
                <w:szCs w:val="18"/>
              </w:rPr>
              <w:t xml:space="preserve">  specificity — large animal to human (combined BP and HR) (</w:t>
            </w:r>
            <w:hyperlink w:history="1" r:id="rIddnrwwytpupandynz_u4cx">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88–91%</w:t>
            </w:r>
            <w:r>
              <w:rPr>
                <w:rFonts w:ascii="Calibri" w:cs="Calibri" w:eastAsia="Calibri" w:hAnsi="Calibri"/>
                <w:sz w:val="18"/>
                <w:szCs w:val="18"/>
              </w:rPr>
              <w:t xml:space="preserve">  proportion — concordance between QT results in humans and nonrodent animals (</w:t>
            </w:r>
            <w:hyperlink w:history="1" r:id="rIdsluwoi-s2rh25jqv1gr6n">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0.81–0.91</w:t>
            </w:r>
            <w:r>
              <w:rPr>
                <w:rFonts w:ascii="Calibri" w:cs="Calibri" w:eastAsia="Calibri" w:hAnsi="Calibri"/>
                <w:sz w:val="18"/>
                <w:szCs w:val="18"/>
              </w:rPr>
              <w:t xml:space="preserve">  auc — concordance between dog QTc data and clinical QTc outcome (</w:t>
            </w:r>
            <w:hyperlink w:history="1" r:id="rIdtvv3tp_nac5wqzmwwrw2n">
              <w:r>
                <w:rPr>
                  <w:rFonts w:ascii="Calibri" w:cs="Calibri" w:eastAsia="Calibri" w:hAnsi="Calibri"/>
                  <w:color w:val="1155CC"/>
                  <w:sz w:val="18"/>
                  <w:szCs w:val="18"/>
                  <w:u w:val="single"/>
                </w:rPr>
                <w:t xml:space="preserve">Pollard et al. 2017</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Predictive values are dependent on the prevalence of positives in the dataset. The paper notes that the prevalence in the dataset may be lower than "real world" prevalence.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Safety pharmacology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non-human primate</w:t>
            </w:r>
          </w:p>
          <w:p>
            <w:pPr>
              <w:spacing w:after="20"/>
            </w:pPr>
            <w:r>
              <w:rPr>
                <w:rFonts w:ascii="Calibri" w:cs="Calibri" w:eastAsia="Calibri" w:hAnsi="Calibri"/>
                <w:color w:val="666666"/>
                <w:sz w:val="17"/>
                <w:szCs w:val="17"/>
              </w:rPr>
              <w:t xml:space="preserve">3 studies</w:t>
            </w:r>
          </w:p>
          <w:p>
            <w:pPr>
              <w:spacing w:after="0"/>
            </w:pPr>
            <w:r>
              <w:rPr>
                <w:rFonts w:ascii="Calibri" w:cs="Calibri" w:eastAsia="Calibri" w:hAnsi="Calibri"/>
                <w:color w:val="666666"/>
                <w:sz w:val="16"/>
                <w:szCs w:val="16"/>
              </w:rPr>
              <w:t xml:space="preserve">2 partly supports</w:t>
            </w:r>
          </w:p>
          <w:p>
            <w:pPr>
              <w:spacing w:after="0"/>
            </w:pPr>
            <w:r>
              <w:rPr>
                <w:rFonts w:ascii="Calibri" w:cs="Calibri" w:eastAsia="Calibri" w:hAnsi="Calibri"/>
                <w:color w:val="666666"/>
                <w:sz w:val="16"/>
                <w:szCs w:val="16"/>
              </w:rPr>
              <w:t xml:space="preserve">1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NHPs recapitulated a clinical QTc change for moxifloxacin (10.9 ms vs ~10 ms in humans; Sadko et al. 2024) and 91% of human-QT–prolonging drugs also prolonged in animals, but 31% of 150 drugs were discordant (Valentin et al. 2022). Large-animal to human BP/HR concordance was reasonable (sensitivity 78%, specificity 79%; Bhatt et al. 2019), though assay sensitivity varies by endpoint and exposure multiple.</w:t>
            </w:r>
          </w:p>
          <w:p>
            <w:pPr>
              <w:spacing w:after="50"/>
            </w:pPr>
            <w:r>
              <w:rPr>
                <w:rFonts w:ascii="Calibri" w:cs="Calibri" w:eastAsia="Calibri" w:hAnsi="Calibri"/>
                <w:b/>
                <w:bCs/>
                <w:color w:val="8A6D00"/>
                <w:sz w:val="17"/>
                <w:szCs w:val="17"/>
              </w:rPr>
              <w:t xml:space="preserve">Negative controls. </w:t>
            </w:r>
            <w:r>
              <w:rPr>
                <w:rFonts w:ascii="Calibri" w:cs="Calibri" w:eastAsia="Calibri" w:hAnsi="Calibri"/>
                <w:i/>
                <w:iCs/>
                <w:color w:val="8A6D00"/>
                <w:sz w:val="17"/>
                <w:szCs w:val="17"/>
              </w:rPr>
              <w:t xml:space="preserve">Sadko et al. 2024 included a mock drug negative control showing no QTc increase up to 3× clinical concentration. These are designed to score low and are excluded from the reading above.</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Results vary by endpoint, assay type and exposure multiple (e.g., hERG/in vivo QTc sensitivity rose to ~50–57% at 30× while APD stayed ~19%; Valentin et al. 2022).</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19–57%</w:t>
            </w:r>
            <w:r>
              <w:rPr>
                <w:rFonts w:ascii="Calibri" w:cs="Calibri" w:eastAsia="Calibri" w:hAnsi="Calibri"/>
                <w:sz w:val="18"/>
                <w:szCs w:val="18"/>
              </w:rPr>
              <w:t xml:space="preserve">  sensitivity — sensitivity of hERG assay for clinical QTc prolongation at 30x exposure multiples (</w:t>
            </w:r>
            <w:hyperlink w:history="1" r:id="rIdxpyn3wbnrv1rzrlatjjbw">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54–78%</w:t>
            </w:r>
            <w:r>
              <w:rPr>
                <w:rFonts w:ascii="Calibri" w:cs="Calibri" w:eastAsia="Calibri" w:hAnsi="Calibri"/>
                <w:sz w:val="18"/>
                <w:szCs w:val="18"/>
              </w:rPr>
              <w:t xml:space="preserve">  sensitivity — large animal to human (combined BP and HR) (</w:t>
            </w:r>
            <w:hyperlink w:history="1" r:id="rIdzms9bbfzd505l9ytrpsuf">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79–83%</w:t>
            </w:r>
            <w:r>
              <w:rPr>
                <w:rFonts w:ascii="Calibri" w:cs="Calibri" w:eastAsia="Calibri" w:hAnsi="Calibri"/>
                <w:sz w:val="18"/>
                <w:szCs w:val="18"/>
              </w:rPr>
              <w:t xml:space="preserve">  specificity — large animal to human (combined BP and HR) (</w:t>
            </w:r>
            <w:hyperlink w:history="1" r:id="rId5ixjgq04sblkawvnblihl">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88–91%</w:t>
            </w:r>
            <w:r>
              <w:rPr>
                <w:rFonts w:ascii="Calibri" w:cs="Calibri" w:eastAsia="Calibri" w:hAnsi="Calibri"/>
                <w:sz w:val="18"/>
                <w:szCs w:val="18"/>
              </w:rPr>
              <w:t xml:space="preserve">  proportion — concordance between QT results in humans and nonrodent animals (</w:t>
            </w:r>
            <w:hyperlink w:history="1" r:id="rId4oemebmlhhlcg2syrqi_v">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1.5–3</w:t>
            </w:r>
            <w:r>
              <w:rPr>
                <w:rFonts w:ascii="Calibri" w:cs="Calibri" w:eastAsia="Calibri" w:hAnsi="Calibri"/>
                <w:sz w:val="18"/>
                <w:szCs w:val="18"/>
              </w:rPr>
              <w:t xml:space="preserve">  multiple, n=48 n=48 — Critical concentration multiple for 10ms QTc increase (moxifloxacin) (</w:t>
            </w:r>
            <w:hyperlink w:history="1" r:id="rIdo5m9ajrelukyu_bca-pzq">
              <w:r>
                <w:rPr>
                  <w:rFonts w:ascii="Calibri" w:cs="Calibri" w:eastAsia="Calibri" w:hAnsi="Calibri"/>
                  <w:color w:val="1155CC"/>
                  <w:sz w:val="18"/>
                  <w:szCs w:val="18"/>
                  <w:u w:val="single"/>
                </w:rPr>
                <w:t xml:space="preserve">Sadko et al. 2024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89%</w:t>
            </w:r>
            <w:r>
              <w:rPr>
                <w:rFonts w:ascii="Calibri" w:cs="Calibri" w:eastAsia="Calibri" w:hAnsi="Calibri"/>
                <w:sz w:val="18"/>
                <w:szCs w:val="18"/>
              </w:rPr>
              <w:t xml:space="preserve">  specificity — specificity of all nonclinical assays for clinical QTc prolongation (</w:t>
            </w:r>
            <w:hyperlink w:history="1" r:id="rIdz_j2gfh0dd6sz4vs0ka3e">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Predictive values are dependent on the prevalence of positives in the dataset. The paper notes that the prevalence in the dataset may be lower than "real world" prevalence.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Safety pharmacology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rat</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2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Rat safety data partly track human cardiovascular outcomes: Bhatt et al. 2019 reported rat→large-animal concordance for combined BP/HR with sensitivity 84% and specificity 71% (PPV 90%, NPV 60%). However, QT findings are mixed — Valentin et al. 2022 found 91% of human QT‑prolongers also prolonged QT in animals but 31% overall discordance and only 50–57% assay sensitivity at 30x exposure.</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19–57%</w:t>
            </w:r>
            <w:r>
              <w:rPr>
                <w:rFonts w:ascii="Calibri" w:cs="Calibri" w:eastAsia="Calibri" w:hAnsi="Calibri"/>
                <w:sz w:val="18"/>
                <w:szCs w:val="18"/>
              </w:rPr>
              <w:t xml:space="preserve">  sensitivity — sensitivity of hERG assay for clinical QTc prolongation at 30x exposure multiples (</w:t>
            </w:r>
            <w:hyperlink w:history="1" r:id="rIdt2irgkvk7_sqmn5hwmd9j">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64–84%</w:t>
            </w:r>
            <w:r>
              <w:rPr>
                <w:rFonts w:ascii="Calibri" w:cs="Calibri" w:eastAsia="Calibri" w:hAnsi="Calibri"/>
                <w:sz w:val="18"/>
                <w:szCs w:val="18"/>
              </w:rPr>
              <w:t xml:space="preserve">  sensitivity — rat to large animal (combined BP and HR) (</w:t>
            </w:r>
            <w:hyperlink w:history="1" r:id="rIda4jowv2ocf8otawt1ii2q">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59–71%</w:t>
            </w:r>
            <w:r>
              <w:rPr>
                <w:rFonts w:ascii="Calibri" w:cs="Calibri" w:eastAsia="Calibri" w:hAnsi="Calibri"/>
                <w:sz w:val="18"/>
                <w:szCs w:val="18"/>
              </w:rPr>
              <w:t xml:space="preserve">  specificity — rat to large animal (combined BP and HR) (</w:t>
            </w:r>
            <w:hyperlink w:history="1" r:id="rIdqsrlg477xfx8hvadfq6pj">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88–91%</w:t>
            </w:r>
            <w:r>
              <w:rPr>
                <w:rFonts w:ascii="Calibri" w:cs="Calibri" w:eastAsia="Calibri" w:hAnsi="Calibri"/>
                <w:sz w:val="18"/>
                <w:szCs w:val="18"/>
              </w:rPr>
              <w:t xml:space="preserve">  proportion — concordance between QT results in humans and nonrodent animals (</w:t>
            </w:r>
            <w:hyperlink w:history="1" r:id="rIdcw-2hazerqwun5bl1utdc">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23–26%</w:t>
            </w:r>
            <w:r>
              <w:rPr>
                <w:rFonts w:ascii="Calibri" w:cs="Calibri" w:eastAsia="Calibri" w:hAnsi="Calibri"/>
                <w:sz w:val="18"/>
                <w:szCs w:val="18"/>
              </w:rPr>
              <w:t xml:space="preserve">  opposite direction of change — rat to large animal (directionality of HR change) (</w:t>
            </w:r>
            <w:hyperlink w:history="1" r:id="rIdalvrmtqznd3hllofuq2br">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89%</w:t>
            </w:r>
            <w:r>
              <w:rPr>
                <w:rFonts w:ascii="Calibri" w:cs="Calibri" w:eastAsia="Calibri" w:hAnsi="Calibri"/>
                <w:sz w:val="18"/>
                <w:szCs w:val="18"/>
              </w:rPr>
              <w:t xml:space="preserve">  specificity — specificity of all nonclinical assays for clinical QTc prolongation (</w:t>
            </w:r>
            <w:hyperlink w:history="1" r:id="rIdd5fl9gbrtwiwgalekz_x1">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Predictive values are dependent on the prevalence of positives in the dataset. The paper notes that the prevalence in the dataset may be lower than "real world" prevalence.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Safety pharmacology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non-rodent</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does not support</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8A2727"/>
                <w:sz w:val="16"/>
                <w:szCs w:val="16"/>
              </w:rPr>
              <w:t xml:space="preserve">EVIDENCE DOES NOT FAVOUR THE MODEL</w:t>
            </w:r>
          </w:p>
          <w:p>
            <w:pPr>
              <w:spacing w:after="60"/>
            </w:pPr>
            <w:r>
              <w:rPr>
                <w:rFonts w:ascii="Calibri" w:cs="Calibri" w:eastAsia="Calibri" w:hAnsi="Calibri"/>
                <w:sz w:val="18"/>
                <w:szCs w:val="18"/>
              </w:rPr>
              <w:t xml:space="preserve">Baldrick et al. 2021 report non-rodent safety‑pharmacology does not reliably predict clinical proarrhythmic risk: a stand‑alone hERG assay showed little correlation to animal data, while non‑rodent telemetry detected QTc effects in ≈10% of studies. However, the authors note in vivo telemetry can still be useful for identifying QTc effects and supporting safe clinical entry.</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w:t>
            </w:r>
            <w:r>
              <w:rPr>
                <w:rFonts w:ascii="Calibri" w:cs="Calibri" w:eastAsia="Calibri" w:hAnsi="Calibri"/>
                <w:sz w:val="18"/>
                <w:szCs w:val="18"/>
              </w:rPr>
              <w:t xml:space="preserve">  proportion, n=92 studies — Rodent CNS (neurobehavioural) evaluations with findings identified as of obvious concern to moving affected drugs into clinic (</w:t>
            </w:r>
            <w:hyperlink w:history="1" r:id="rIdo5hea1ce3r8sawqg-db3g">
              <w:r>
                <w:rPr>
                  <w:rFonts w:ascii="Calibri" w:cs="Calibri" w:eastAsia="Calibri" w:hAnsi="Calibri"/>
                  <w:color w:val="1155CC"/>
                  <w:sz w:val="18"/>
                  <w:szCs w:val="18"/>
                  <w:u w:val="single"/>
                </w:rPr>
                <w:t xml:space="preserve">Baldrick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21%</w:t>
            </w:r>
            <w:r>
              <w:rPr>
                <w:rFonts w:ascii="Calibri" w:cs="Calibri" w:eastAsia="Calibri" w:hAnsi="Calibri"/>
                <w:sz w:val="18"/>
                <w:szCs w:val="18"/>
              </w:rPr>
              <w:t xml:space="preserve">  proportion, n=92 studies — Rodent CNS studies (modified Irwin's or FOB test) with findings (</w:t>
            </w:r>
            <w:hyperlink w:history="1" r:id="rIduwxwbqr6bik3aseb4txx1">
              <w:r>
                <w:rPr>
                  <w:rFonts w:ascii="Calibri" w:cs="Calibri" w:eastAsia="Calibri" w:hAnsi="Calibri"/>
                  <w:color w:val="1155CC"/>
                  <w:sz w:val="18"/>
                  <w:szCs w:val="18"/>
                  <w:u w:val="single"/>
                </w:rPr>
                <w:t xml:space="preserve">Baldrick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28%</w:t>
            </w:r>
            <w:r>
              <w:rPr>
                <w:rFonts w:ascii="Calibri" w:cs="Calibri" w:eastAsia="Calibri" w:hAnsi="Calibri"/>
                <w:sz w:val="18"/>
                <w:szCs w:val="18"/>
              </w:rPr>
              <w:t xml:space="preserve">  proportion — Rodent respiratory function (plethysmography) studies with findings (</w:t>
            </w:r>
            <w:hyperlink w:history="1" r:id="rIdugz7fckjdirn1qmid4oj1">
              <w:r>
                <w:rPr>
                  <w:rFonts w:ascii="Calibri" w:cs="Calibri" w:eastAsia="Calibri" w:hAnsi="Calibri"/>
                  <w:color w:val="1155CC"/>
                  <w:sz w:val="18"/>
                  <w:szCs w:val="18"/>
                  <w:u w:val="single"/>
                </w:rPr>
                <w:t xml:space="preserve">Baldrick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10%</w:t>
            </w:r>
            <w:r>
              <w:rPr>
                <w:rFonts w:ascii="Calibri" w:cs="Calibri" w:eastAsia="Calibri" w:hAnsi="Calibri"/>
                <w:sz w:val="18"/>
                <w:szCs w:val="18"/>
              </w:rPr>
              <w:t xml:space="preserve">  proportion — Non-rodent telemetry studies identifying effects on QTc interval (</w:t>
            </w:r>
            <w:hyperlink w:history="1" r:id="rIdwnddso3mosc_feeii24qn">
              <w:r>
                <w:rPr>
                  <w:rFonts w:ascii="Calibri" w:cs="Calibri" w:eastAsia="Calibri" w:hAnsi="Calibri"/>
                  <w:color w:val="1155CC"/>
                  <w:sz w:val="18"/>
                  <w:szCs w:val="18"/>
                  <w:u w:val="single"/>
                </w:rPr>
                <w:t xml:space="preserve">Baldrick 2021</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Safety pharmacology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pig</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Valentin et al. 2022: nonrodent (including pig) QT findings partly tracked clinical QT—69% concordant (31% discordant, 47/150); 91% of human QT‑prolongers and 88% of human non‑prolongers matched animal results. However, sensitivity varied by assay (hERG 50%; in vivo QTc 57% at 30x; APD 19%) and 65% of TQT‑positives were nonclinical false negatives.</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Performance varies by assay type and by exposure multiple (results reported at 30x exposure).</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19–57%</w:t>
            </w:r>
            <w:r>
              <w:rPr>
                <w:rFonts w:ascii="Calibri" w:cs="Calibri" w:eastAsia="Calibri" w:hAnsi="Calibri"/>
                <w:sz w:val="18"/>
                <w:szCs w:val="18"/>
              </w:rPr>
              <w:t xml:space="preserve">  sensitivity — sensitivity of hERG assay for clinical QTc prolongation at 30x exposure multiples (</w:t>
            </w:r>
            <w:hyperlink w:history="1" r:id="rIdouudwhzl-qhoruuqufmto">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88–91%</w:t>
            </w:r>
            <w:r>
              <w:rPr>
                <w:rFonts w:ascii="Calibri" w:cs="Calibri" w:eastAsia="Calibri" w:hAnsi="Calibri"/>
                <w:sz w:val="18"/>
                <w:szCs w:val="18"/>
              </w:rPr>
              <w:t xml:space="preserve">  proportion — concordance between QT results in humans and nonrodent animals (</w:t>
            </w:r>
            <w:hyperlink w:history="1" r:id="rIdw3_d3p8zcyoxvz7-zexiu">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89%</w:t>
            </w:r>
            <w:r>
              <w:rPr>
                <w:rFonts w:ascii="Calibri" w:cs="Calibri" w:eastAsia="Calibri" w:hAnsi="Calibri"/>
                <w:sz w:val="18"/>
                <w:szCs w:val="18"/>
              </w:rPr>
              <w:t xml:space="preserve">  specificity — specificity of all nonclinical assays for clinical QTc prolongation (</w:t>
            </w:r>
            <w:hyperlink w:history="1" r:id="rIdinndghvq3muuz-unx_qh_">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65%</w:t>
            </w:r>
            <w:r>
              <w:rPr>
                <w:rFonts w:ascii="Calibri" w:cs="Calibri" w:eastAsia="Calibri" w:hAnsi="Calibri"/>
                <w:sz w:val="18"/>
                <w:szCs w:val="18"/>
              </w:rPr>
              <w:t xml:space="preserve">  proportion, n=43 TQT-positive drugs — discordant TQT-positive drugs (</w:t>
            </w:r>
            <w:hyperlink w:history="1" r:id="rIdltwurw9ato7djbps9ym5x">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65%</w:t>
            </w:r>
            <w:r>
              <w:rPr>
                <w:rFonts w:ascii="Calibri" w:cs="Calibri" w:eastAsia="Calibri" w:hAnsi="Calibri"/>
                <w:sz w:val="18"/>
                <w:szCs w:val="18"/>
              </w:rPr>
              <w:t xml:space="preserve">  proportion — nonclinical false negatives among TQT-positive drugs (</w:t>
            </w:r>
            <w:hyperlink w:history="1" r:id="rIdtv33fxd48-6d9ncoitaxl">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Safety pharmacology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rabbit</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Valentin et al. 2022: rabbit/nonrodent QT findings partially tracked humans — 91% of human-QT‑prolonging drugs also prolonged QT in animals and 88% of non‑prolongers had no animal effect, but 31% (47/150) of drugs were discordant. Crucially, 65% of TQT‑positive drugs were nonclinical false negatives and assay sensitivity at 30x was only 50–57%.</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Performance varies by assay type (hERG, in vivo QTc, APD) and by exposure multiple.</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19–57%</w:t>
            </w:r>
            <w:r>
              <w:rPr>
                <w:rFonts w:ascii="Calibri" w:cs="Calibri" w:eastAsia="Calibri" w:hAnsi="Calibri"/>
                <w:sz w:val="18"/>
                <w:szCs w:val="18"/>
              </w:rPr>
              <w:t xml:space="preserve">  sensitivity — sensitivity of hERG assay for clinical QTc prolongation at 30x exposure multiples (</w:t>
            </w:r>
            <w:hyperlink w:history="1" r:id="rIdpay2kebexlfn4rb7gyotl">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88–91%</w:t>
            </w:r>
            <w:r>
              <w:rPr>
                <w:rFonts w:ascii="Calibri" w:cs="Calibri" w:eastAsia="Calibri" w:hAnsi="Calibri"/>
                <w:sz w:val="18"/>
                <w:szCs w:val="18"/>
              </w:rPr>
              <w:t xml:space="preserve">  proportion — concordance between QT results in humans and nonrodent animals (</w:t>
            </w:r>
            <w:hyperlink w:history="1" r:id="rId7sgwbkyhluscpzgdbhrpi">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89%</w:t>
            </w:r>
            <w:r>
              <w:rPr>
                <w:rFonts w:ascii="Calibri" w:cs="Calibri" w:eastAsia="Calibri" w:hAnsi="Calibri"/>
                <w:sz w:val="18"/>
                <w:szCs w:val="18"/>
              </w:rPr>
              <w:t xml:space="preserve">  specificity — specificity of all nonclinical assays for clinical QTc prolongation (</w:t>
            </w:r>
            <w:hyperlink w:history="1" r:id="rIdh5-k7j1nwiuxuibsreeza">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65%</w:t>
            </w:r>
            <w:r>
              <w:rPr>
                <w:rFonts w:ascii="Calibri" w:cs="Calibri" w:eastAsia="Calibri" w:hAnsi="Calibri"/>
                <w:sz w:val="18"/>
                <w:szCs w:val="18"/>
              </w:rPr>
              <w:t xml:space="preserve">  proportion, n=43 TQT-positive drugs — discordant TQT-positive drugs (</w:t>
            </w:r>
            <w:hyperlink w:history="1" r:id="rIdcofgxvb4qly0ryfxfd-cs">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65%</w:t>
            </w:r>
            <w:r>
              <w:rPr>
                <w:rFonts w:ascii="Calibri" w:cs="Calibri" w:eastAsia="Calibri" w:hAnsi="Calibri"/>
                <w:sz w:val="18"/>
                <w:szCs w:val="18"/>
              </w:rPr>
              <w:t xml:space="preserve">  proportion — nonclinical false negatives among TQT-positive drugs (</w:t>
            </w:r>
            <w:hyperlink w:history="1" r:id="rId80ttmtmfevg-saum8r7ch">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Safety pharmacology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rodent</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does not support</w:t>
            </w:r>
          </w:p>
        </w:tc>
        <w:tc>
          <w:tcPr>
            <w:tcW w:type="dxa" w:w="10240"/>
            <w:tcMar>
              <w:top w:type="dxa" w:w="80"/>
              <w:left w:type="dxa" w:w="110"/>
              <w:bottom w:type="dxa" w:w="80"/>
              <w:right w:type="dxa" w:w="110"/>
            </w:tcMar>
          </w:tcPr>
          <w:p>
            <w:pPr>
              <w:spacing w:after="40"/>
            </w:pPr>
            <w:r>
              <w:rPr>
                <w:rFonts w:ascii="Calibri" w:cs="Calibri" w:eastAsia="Calibri" w:hAnsi="Calibri"/>
                <w:b/>
                <w:bCs/>
                <w:color w:val="8A2727"/>
                <w:sz w:val="16"/>
                <w:szCs w:val="16"/>
              </w:rPr>
              <w:t xml:space="preserve">EVIDENCE DOES NOT FAVOUR THE MODEL</w:t>
            </w:r>
          </w:p>
          <w:p>
            <w:pPr>
              <w:spacing w:after="60"/>
            </w:pPr>
            <w:r>
              <w:rPr>
                <w:rFonts w:ascii="Calibri" w:cs="Calibri" w:eastAsia="Calibri" w:hAnsi="Calibri"/>
                <w:sz w:val="18"/>
                <w:szCs w:val="18"/>
              </w:rPr>
              <w:t xml:space="preserve">Rodent safety‑pharmacology tests found CNS findings in 21% and respiratory findings in 28% of studies, but none (0%) were judged of obvious concern for clinical progression; in vitro hERG assays showed little correlation with animal data even at low IC50 (≤1 µM). All figures from Baldrick et al. 2021.</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w:t>
            </w:r>
            <w:r>
              <w:rPr>
                <w:rFonts w:ascii="Calibri" w:cs="Calibri" w:eastAsia="Calibri" w:hAnsi="Calibri"/>
                <w:sz w:val="18"/>
                <w:szCs w:val="18"/>
              </w:rPr>
              <w:t xml:space="preserve">  proportion, n=92 studies — Rodent CNS (neurobehavioural) evaluations with findings identified as of obvious concern to moving affected drugs into clinic (</w:t>
            </w:r>
            <w:hyperlink w:history="1" r:id="rId5wb-kpi9cga-oahql2ujp">
              <w:r>
                <w:rPr>
                  <w:rFonts w:ascii="Calibri" w:cs="Calibri" w:eastAsia="Calibri" w:hAnsi="Calibri"/>
                  <w:color w:val="1155CC"/>
                  <w:sz w:val="18"/>
                  <w:szCs w:val="18"/>
                  <w:u w:val="single"/>
                </w:rPr>
                <w:t xml:space="preserve">Baldrick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21%</w:t>
            </w:r>
            <w:r>
              <w:rPr>
                <w:rFonts w:ascii="Calibri" w:cs="Calibri" w:eastAsia="Calibri" w:hAnsi="Calibri"/>
                <w:sz w:val="18"/>
                <w:szCs w:val="18"/>
              </w:rPr>
              <w:t xml:space="preserve">  proportion, n=92 studies — Rodent CNS studies (modified Irwin's or FOB test) with findings (</w:t>
            </w:r>
            <w:hyperlink w:history="1" r:id="rIdfisdegducnfddnkr6qpsl">
              <w:r>
                <w:rPr>
                  <w:rFonts w:ascii="Calibri" w:cs="Calibri" w:eastAsia="Calibri" w:hAnsi="Calibri"/>
                  <w:color w:val="1155CC"/>
                  <w:sz w:val="18"/>
                  <w:szCs w:val="18"/>
                  <w:u w:val="single"/>
                </w:rPr>
                <w:t xml:space="preserve">Baldrick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28%</w:t>
            </w:r>
            <w:r>
              <w:rPr>
                <w:rFonts w:ascii="Calibri" w:cs="Calibri" w:eastAsia="Calibri" w:hAnsi="Calibri"/>
                <w:sz w:val="18"/>
                <w:szCs w:val="18"/>
              </w:rPr>
              <w:t xml:space="preserve">  proportion — Rodent respiratory function (plethysmography) studies with findings (</w:t>
            </w:r>
            <w:hyperlink w:history="1" r:id="rId-4hz-z1hojcnjhrlhf1un">
              <w:r>
                <w:rPr>
                  <w:rFonts w:ascii="Calibri" w:cs="Calibri" w:eastAsia="Calibri" w:hAnsi="Calibri"/>
                  <w:color w:val="1155CC"/>
                  <w:sz w:val="18"/>
                  <w:szCs w:val="18"/>
                  <w:u w:val="single"/>
                </w:rPr>
                <w:t xml:space="preserve">Baldrick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10%</w:t>
            </w:r>
            <w:r>
              <w:rPr>
                <w:rFonts w:ascii="Calibri" w:cs="Calibri" w:eastAsia="Calibri" w:hAnsi="Calibri"/>
                <w:sz w:val="18"/>
                <w:szCs w:val="18"/>
              </w:rPr>
              <w:t xml:space="preserve">  proportion — Non-rodent telemetry studies identifying effects on QTc interval (</w:t>
            </w:r>
            <w:hyperlink w:history="1" r:id="rIdaylkyibhe7p90skyihwrw">
              <w:r>
                <w:rPr>
                  <w:rFonts w:ascii="Calibri" w:cs="Calibri" w:eastAsia="Calibri" w:hAnsi="Calibri"/>
                  <w:color w:val="1155CC"/>
                  <w:sz w:val="18"/>
                  <w:szCs w:val="18"/>
                  <w:u w:val="single"/>
                </w:rPr>
                <w:t xml:space="preserve">Baldrick 2021</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mouse</w:t>
            </w:r>
          </w:p>
          <w:p>
            <w:pPr>
              <w:spacing w:after="20"/>
            </w:pPr>
            <w:r>
              <w:rPr>
                <w:rFonts w:ascii="Calibri" w:cs="Calibri" w:eastAsia="Calibri" w:hAnsi="Calibri"/>
                <w:color w:val="666666"/>
                <w:sz w:val="17"/>
                <w:szCs w:val="17"/>
              </w:rPr>
              <w:t xml:space="preserve">14 studies</w:t>
            </w:r>
          </w:p>
          <w:p>
            <w:pPr>
              <w:spacing w:after="0"/>
            </w:pPr>
            <w:r>
              <w:rPr>
                <w:rFonts w:ascii="Calibri" w:cs="Calibri" w:eastAsia="Calibri" w:hAnsi="Calibri"/>
                <w:color w:val="666666"/>
                <w:sz w:val="16"/>
                <w:szCs w:val="16"/>
              </w:rPr>
              <w:t xml:space="preserve">7 partly supports</w:t>
            </w:r>
          </w:p>
          <w:p>
            <w:pPr>
              <w:spacing w:after="0"/>
            </w:pPr>
            <w:r>
              <w:rPr>
                <w:rFonts w:ascii="Calibri" w:cs="Calibri" w:eastAsia="Calibri" w:hAnsi="Calibri"/>
                <w:color w:val="666666"/>
                <w:sz w:val="16"/>
                <w:szCs w:val="16"/>
              </w:rPr>
              <w:t xml:space="preserve">4 does not support</w:t>
            </w:r>
          </w:p>
          <w:p>
            <w:pPr>
              <w:spacing w:after="0"/>
            </w:pPr>
            <w:r>
              <w:rPr>
                <w:rFonts w:ascii="Calibri" w:cs="Calibri" w:eastAsia="Calibri" w:hAnsi="Calibri"/>
                <w:color w:val="666666"/>
                <w:sz w:val="16"/>
                <w:szCs w:val="16"/>
              </w:rPr>
              <w:t xml:space="preserve">3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Seok et al. 2013 found very low whole‑transcriptome concordance (R^2 ≤0.09, mouse vs human), whereas Takao et al. 2015 reported moderate–strong similarity (Spearman 0.43–0.68; 77–93% genes same direction). Disease‑ and method‑specific studies (Asgharpour et al. 2016 FDR 0.02; Holland et al. 2022 recall 0.40) show better but variable alignment.</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Ranges reflect different diseases, analysis choices and thresholds (whole‑transcriptome vs top/filtered genes), and model conditions/duration.</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47–93.2%</w:t>
            </w:r>
            <w:r>
              <w:rPr>
                <w:rFonts w:ascii="Calibri" w:cs="Calibri" w:eastAsia="Calibri" w:hAnsi="Calibri"/>
                <w:sz w:val="18"/>
                <w:szCs w:val="18"/>
              </w:rPr>
              <w:t xml:space="preserve">  percentage, n=4,918 human genes — percentage of genes changed in the same direction between human conditions and mouse orthologs in mouse models (</w:t>
            </w:r>
            <w:hyperlink w:history="1" r:id="rId2dwfe9blloqbz9jyneane">
              <w:r>
                <w:rPr>
                  <w:rFonts w:ascii="Calibri" w:cs="Calibri" w:eastAsia="Calibri" w:hAnsi="Calibri"/>
                  <w:color w:val="1155CC"/>
                  <w:sz w:val="18"/>
                  <w:szCs w:val="18"/>
                  <w:u w:val="single"/>
                </w:rPr>
                <w:t xml:space="preserve">Seok et al. 2013</w:t>
              </w:r>
            </w:hyperlink>
            <w:r>
              <w:rPr>
                <w:rFonts w:ascii="Calibri" w:cs="Calibri" w:eastAsia="Calibri" w:hAnsi="Calibri"/>
                <w:sz w:val="18"/>
                <w:szCs w:val="18"/>
              </w:rPr>
              <w:t xml:space="preserve"> · </w:t>
            </w:r>
            <w:hyperlink w:history="1" r:id="rIdbci-fea01auxpgs6tk5nb">
              <w:r>
                <w:rPr>
                  <w:rFonts w:ascii="Calibri" w:cs="Calibri" w:eastAsia="Calibri" w:hAnsi="Calibri"/>
                  <w:color w:val="1155CC"/>
                  <w:sz w:val="18"/>
                  <w:szCs w:val="18"/>
                  <w:u w:val="single"/>
                </w:rPr>
                <w:t xml:space="preserve">Takao et al. 2015</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-0.04–0.15</w:t>
            </w:r>
            <w:r>
              <w:rPr>
                <w:rFonts w:ascii="Calibri" w:cs="Calibri" w:eastAsia="Calibri" w:hAnsi="Calibri"/>
                <w:sz w:val="18"/>
                <w:szCs w:val="18"/>
              </w:rPr>
              <w:t xml:space="preserve">  average concordance, n=9 mouse studies — Average concordance of differential gene expression signatures (</w:t>
            </w:r>
            <w:hyperlink w:history="1" r:id="rIdqsq-9jvift-qm88cuxozs">
              <w:r>
                <w:rPr>
                  <w:rFonts w:ascii="Calibri" w:cs="Calibri" w:eastAsia="Calibri" w:hAnsi="Calibri"/>
                  <w:color w:val="1155CC"/>
                  <w:sz w:val="18"/>
                  <w:szCs w:val="18"/>
                  <w:u w:val="single"/>
                </w:rPr>
                <w:t xml:space="preserve">Oerton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-0.01–0.08</w:t>
            </w:r>
            <w:r>
              <w:rPr>
                <w:rFonts w:ascii="Calibri" w:cs="Calibri" w:eastAsia="Calibri" w:hAnsi="Calibri"/>
                <w:sz w:val="18"/>
                <w:szCs w:val="18"/>
              </w:rPr>
              <w:t xml:space="preserve">  pearson correlation (r^2) — correlation of gene response between human burn and mouse burn (</w:t>
            </w:r>
            <w:hyperlink w:history="1" r:id="rId_wkj_yoa8prc78dbsp2y3">
              <w:r>
                <w:rPr>
                  <w:rFonts w:ascii="Calibri" w:cs="Calibri" w:eastAsia="Calibri" w:hAnsi="Calibri"/>
                  <w:color w:val="1155CC"/>
                  <w:sz w:val="18"/>
                  <w:szCs w:val="18"/>
                  <w:u w:val="single"/>
                </w:rPr>
                <w:t xml:space="preserve">Seok et al. 2013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3.3e-30–2.2e-09</w:t>
            </w:r>
            <w:r>
              <w:rPr>
                <w:rFonts w:ascii="Calibri" w:cs="Calibri" w:eastAsia="Calibri" w:hAnsi="Calibri"/>
                <w:sz w:val="18"/>
                <w:szCs w:val="18"/>
              </w:rPr>
              <w:t xml:space="preserve">  p value — Overlap P value for 'lymphocyte differentiation' genes down-regulated in mouse burn (</w:t>
            </w:r>
            <w:hyperlink w:history="1" r:id="rIdwm4rodxor6ka9xhvrovef">
              <w:r>
                <w:rPr>
                  <w:rFonts w:ascii="Calibri" w:cs="Calibri" w:eastAsia="Calibri" w:hAnsi="Calibri"/>
                  <w:color w:val="1155CC"/>
                  <w:sz w:val="18"/>
                  <w:szCs w:val="18"/>
                  <w:u w:val="single"/>
                </w:rPr>
                <w:t xml:space="preserve">Takao et al. 2015</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8.7e-25–0.0003</w:t>
            </w:r>
            <w:r>
              <w:rPr>
                <w:rFonts w:ascii="Calibri" w:cs="Calibri" w:eastAsia="Calibri" w:hAnsi="Calibri"/>
                <w:sz w:val="18"/>
                <w:szCs w:val="18"/>
              </w:rPr>
              <w:t xml:space="preserve">  p value — Overlap P value for 'translocation of ZAP-70 to immunological synapse' genes down-regulated in human burn (</w:t>
            </w:r>
            <w:hyperlink w:history="1" r:id="rIdgsmn-pxbyu3ggubravdgt">
              <w:r>
                <w:rPr>
                  <w:rFonts w:ascii="Calibri" w:cs="Calibri" w:eastAsia="Calibri" w:hAnsi="Calibri"/>
                  <w:color w:val="1155CC"/>
                  <w:sz w:val="18"/>
                  <w:szCs w:val="18"/>
                  <w:u w:val="single"/>
                </w:rPr>
                <w:t xml:space="preserve">Takao et al. 2015</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4.1e-90–1.3e-16</w:t>
            </w:r>
            <w:r>
              <w:rPr>
                <w:rFonts w:ascii="Calibri" w:cs="Calibri" w:eastAsia="Calibri" w:hAnsi="Calibri"/>
                <w:sz w:val="18"/>
                <w:szCs w:val="18"/>
              </w:rPr>
              <w:t xml:space="preserve">  p value — Overlap P value for 'innate immune response' genes up-regulated in mouse burn (</w:t>
            </w:r>
            <w:hyperlink w:history="1" r:id="rIdivjtpzwvbppjln8mfdnms">
              <w:r>
                <w:rPr>
                  <w:rFonts w:ascii="Calibri" w:cs="Calibri" w:eastAsia="Calibri" w:hAnsi="Calibri"/>
                  <w:color w:val="1155CC"/>
                  <w:sz w:val="18"/>
                  <w:szCs w:val="18"/>
                  <w:u w:val="single"/>
                </w:rPr>
                <w:t xml:space="preserve">Takao et al. 2015</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MHPS scores are normalized between 0 and 1, where 1 indicates the highest proximity to human MASLD. The 'improved and statistically significant agreement' for DEGs and DRPs is a qualitative statement without a specific numerical value provided beyond the overall 50% alignment rate for the whole transcriptome.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rat</w:t>
            </w:r>
          </w:p>
          <w:p>
            <w:pPr>
              <w:spacing w:after="20"/>
            </w:pPr>
            <w:r>
              <w:rPr>
                <w:rFonts w:ascii="Calibri" w:cs="Calibri" w:eastAsia="Calibri" w:hAnsi="Calibri"/>
                <w:color w:val="666666"/>
                <w:sz w:val="17"/>
                <w:szCs w:val="17"/>
              </w:rPr>
              <w:t xml:space="preserve">8 studies</w:t>
            </w:r>
          </w:p>
          <w:p>
            <w:pPr>
              <w:spacing w:after="0"/>
            </w:pPr>
            <w:r>
              <w:rPr>
                <w:rFonts w:ascii="Calibri" w:cs="Calibri" w:eastAsia="Calibri" w:hAnsi="Calibri"/>
                <w:color w:val="666666"/>
                <w:sz w:val="16"/>
                <w:szCs w:val="16"/>
              </w:rPr>
              <w:t xml:space="preserve">6 partly supports</w:t>
            </w:r>
          </w:p>
          <w:p>
            <w:pPr>
              <w:spacing w:after="0"/>
            </w:pPr>
            <w:r>
              <w:rPr>
                <w:rFonts w:ascii="Calibri" w:cs="Calibri" w:eastAsia="Calibri" w:hAnsi="Calibri"/>
                <w:color w:val="666666"/>
                <w:sz w:val="16"/>
                <w:szCs w:val="16"/>
              </w:rPr>
              <w:t xml:space="preserve">1 does not support</w:t>
            </w:r>
          </w:p>
          <w:p>
            <w:pPr>
              <w:spacing w:after="0"/>
            </w:pPr>
            <w:r>
              <w:rPr>
                <w:rFonts w:ascii="Calibri" w:cs="Calibri" w:eastAsia="Calibri" w:hAnsi="Calibri"/>
                <w:color w:val="666666"/>
                <w:sz w:val="16"/>
                <w:szCs w:val="16"/>
              </w:rPr>
              <w:t xml:space="preserve">1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rats recapitulate many systemic and behavioral disease features — e.g., 26/30 blood biochemistry changes post‑exercise matched humans (magnitude 7.9% vs 7.3%; Goutianos et al. 2015) and cognitive/EEG markers paralleled human patterns (Der‑Avakian et al. 2025). However, transcriptomic concordance in Parkinson's models was negative (average concordance −0.04) and animal meta‑analysis recovered 10% vs 36% PD‑associated genes in humans (Oerton et al. 2017).</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Alignment varies strongly by domain (transcriptomics vs systemic biochemistry vs behavior vs coagulation), model type and measured endpoints.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-0.04–0.15</w:t>
            </w:r>
            <w:r>
              <w:rPr>
                <w:rFonts w:ascii="Calibri" w:cs="Calibri" w:eastAsia="Calibri" w:hAnsi="Calibri"/>
                <w:sz w:val="18"/>
                <w:szCs w:val="18"/>
              </w:rPr>
              <w:t xml:space="preserve">  average concordance, n=9 mouse studies — Average concordance of differential gene expression signatures (</w:t>
            </w:r>
            <w:hyperlink w:history="1" r:id="rIdz92d6ztvyxjuzga1kht9-">
              <w:r>
                <w:rPr>
                  <w:rFonts w:ascii="Calibri" w:cs="Calibri" w:eastAsia="Calibri" w:hAnsi="Calibri"/>
                  <w:color w:val="1155CC"/>
                  <w:sz w:val="18"/>
                  <w:szCs w:val="18"/>
                  <w:u w:val="single"/>
                </w:rPr>
                <w:t xml:space="preserve">Oerton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0.275–0.71</w:t>
            </w:r>
            <w:r>
              <w:rPr>
                <w:rFonts w:ascii="Calibri" w:cs="Calibri" w:eastAsia="Calibri" w:hAnsi="Calibri"/>
                <w:sz w:val="18"/>
                <w:szCs w:val="18"/>
              </w:rPr>
              <w:t xml:space="preserve">  mean, n=11 n = 11 — Q-values for target stimuli (</w:t>
            </w:r>
            <w:hyperlink w:history="1" r:id="rIdrg6vdjyxb8cgsblqclaru">
              <w:r>
                <w:rPr>
                  <w:rFonts w:ascii="Calibri" w:cs="Calibri" w:eastAsia="Calibri" w:hAnsi="Calibri"/>
                  <w:color w:val="1155CC"/>
                  <w:sz w:val="18"/>
                  <w:szCs w:val="18"/>
                  <w:u w:val="single"/>
                </w:rPr>
                <w:t xml:space="preserve">Der-Avakian et al. 2025</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0.941</w:t>
            </w:r>
            <w:r>
              <w:rPr>
                <w:rFonts w:ascii="Calibri" w:cs="Calibri" w:eastAsia="Calibri" w:hAnsi="Calibri"/>
                <w:sz w:val="18"/>
                <w:szCs w:val="18"/>
              </w:rPr>
              <w:t xml:space="preserve">  mhps score — MHPS metabolic relevance score for WD0.2% diet (</w:t>
            </w:r>
            <w:hyperlink w:history="1" r:id="rIdjeburhiexecyhyrgiasaf">
              <w:r>
                <w:rPr>
                  <w:rFonts w:ascii="Calibri" w:cs="Calibri" w:eastAsia="Calibri" w:hAnsi="Calibri"/>
                  <w:color w:val="1155CC"/>
                  <w:sz w:val="18"/>
                  <w:szCs w:val="18"/>
                  <w:u w:val="single"/>
                </w:rPr>
                <w:t xml:space="preserve">Vacca et al. 2024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186.32–270.28</w:t>
            </w:r>
            <w:r>
              <w:rPr>
                <w:rFonts w:ascii="Calibri" w:cs="Calibri" w:eastAsia="Calibri" w:hAnsi="Calibri"/>
                <w:sz w:val="18"/>
                <w:szCs w:val="18"/>
              </w:rPr>
              <w:t xml:space="preserve">  mean, n=20 — Thrombin Concentration Peak (Mean, nM) (</w:t>
            </w:r>
            <w:hyperlink w:history="1" r:id="rIdjq5_ewoafxzo9lfc-gn5t">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6.45–75.19</w:t>
            </w:r>
            <w:r>
              <w:rPr>
                <w:rFonts w:ascii="Calibri" w:cs="Calibri" w:eastAsia="Calibri" w:hAnsi="Calibri"/>
                <w:sz w:val="18"/>
                <w:szCs w:val="18"/>
              </w:rPr>
              <w:t xml:space="preserve">  mean, n=20 — Thrombin Production Rate (Mean, nM/min) (</w:t>
            </w:r>
            <w:hyperlink w:history="1" r:id="rIdznjglthp52udhzroaw054">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-0.0038–0.0933</w:t>
            </w:r>
            <w:r>
              <w:rPr>
                <w:rFonts w:ascii="Calibri" w:cs="Calibri" w:eastAsia="Calibri" w:hAnsi="Calibri"/>
                <w:sz w:val="18"/>
                <w:szCs w:val="18"/>
              </w:rPr>
              <w:t xml:space="preserve">  slope — Proliferation capacity (slope difference to human) under healthy conditions (</w:t>
            </w:r>
            <w:hyperlink w:history="1" r:id="rId6m7km6wd9x3uhinzfx97s">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MHPS scores are normalized between 0 and 1, where 1 indicates the highest proximity to human MASLD. The 'improved and statistically significant agreement' for DEGs and DRPs is a qualitative statement without a specific numerical value provided beyond the overall 50% alignment rate for the whole transcriptome.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non-human primate</w:t>
            </w:r>
          </w:p>
          <w:p>
            <w:pPr>
              <w:spacing w:after="20"/>
            </w:pPr>
            <w:r>
              <w:rPr>
                <w:rFonts w:ascii="Calibri" w:cs="Calibri" w:eastAsia="Calibri" w:hAnsi="Calibri"/>
                <w:color w:val="666666"/>
                <w:sz w:val="17"/>
                <w:szCs w:val="17"/>
              </w:rPr>
              <w:t xml:space="preserve">4 studies</w:t>
            </w:r>
          </w:p>
          <w:p>
            <w:pPr>
              <w:spacing w:after="0"/>
            </w:pPr>
            <w:r>
              <w:rPr>
                <w:rFonts w:ascii="Calibri" w:cs="Calibri" w:eastAsia="Calibri" w:hAnsi="Calibri"/>
                <w:color w:val="666666"/>
                <w:sz w:val="16"/>
                <w:szCs w:val="16"/>
              </w:rPr>
              <w:t xml:space="preserve">2 does not support</w:t>
            </w:r>
          </w:p>
          <w:p>
            <w:pPr>
              <w:spacing w:after="0"/>
            </w:pPr>
            <w:r>
              <w:rPr>
                <w:rFonts w:ascii="Calibri" w:cs="Calibri" w:eastAsia="Calibri" w:hAnsi="Calibri"/>
                <w:color w:val="666666"/>
                <w:sz w:val="16"/>
                <w:szCs w:val="16"/>
              </w:rPr>
              <w:t xml:space="preserve">2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NHPs mirror some human physiology (baboon thrombin peak 434 nM vs human 484 nM; plasmin peak 546–566 nM vs human 457 nM). However, across disease studies animals overpredicted benefit (67–80% NHP trials improved vs 32% human) and animal PD models found 10% vs 36% human PD genes.</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Ranges reflect different NHP species, assays and trial subsets (e.g., 67–80% across NHP trial subsets; 546–566 nM plasmin across baboon vs rhesus).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-0.04–0.15</w:t>
            </w:r>
            <w:r>
              <w:rPr>
                <w:rFonts w:ascii="Calibri" w:cs="Calibri" w:eastAsia="Calibri" w:hAnsi="Calibri"/>
                <w:sz w:val="18"/>
                <w:szCs w:val="18"/>
              </w:rPr>
              <w:t xml:space="preserve">  average concordance, n=9 mouse studies — Average concordance of differential gene expression signatures (</w:t>
            </w:r>
            <w:hyperlink w:history="1" r:id="rIdnsbduahgbytd1x6cfuria">
              <w:r>
                <w:rPr>
                  <w:rFonts w:ascii="Calibri" w:cs="Calibri" w:eastAsia="Calibri" w:hAnsi="Calibri"/>
                  <w:color w:val="1155CC"/>
                  <w:sz w:val="18"/>
                  <w:szCs w:val="18"/>
                  <w:u w:val="single"/>
                </w:rPr>
                <w:t xml:space="preserve">Oerton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398.95–565.84</w:t>
            </w:r>
            <w:r>
              <w:rPr>
                <w:rFonts w:ascii="Calibri" w:cs="Calibri" w:eastAsia="Calibri" w:hAnsi="Calibri"/>
                <w:sz w:val="18"/>
                <w:szCs w:val="18"/>
              </w:rPr>
              <w:t xml:space="preserve">  mean, n=10 — Thrombin Concentration Peak (Mean, nM) (</w:t>
            </w:r>
            <w:hyperlink w:history="1" r:id="rIdzefmgdmwjusqqychajh4d">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49.78–124.22</w:t>
            </w:r>
            <w:r>
              <w:rPr>
                <w:rFonts w:ascii="Calibri" w:cs="Calibri" w:eastAsia="Calibri" w:hAnsi="Calibri"/>
                <w:sz w:val="18"/>
                <w:szCs w:val="18"/>
              </w:rPr>
              <w:t xml:space="preserve">  mean, n=10 — Thrombin Production Rate (Mean, nM/min) (</w:t>
            </w:r>
            <w:hyperlink w:history="1" r:id="rIdlsovt_luzbpg66tu7h2jj">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25–45%</w:t>
            </w:r>
            <w:r>
              <w:rPr>
                <w:rFonts w:ascii="Calibri" w:cs="Calibri" w:eastAsia="Calibri" w:hAnsi="Calibri"/>
                <w:sz w:val="18"/>
                <w:szCs w:val="18"/>
              </w:rPr>
              <w:t xml:space="preserve">  proportion — Proportion of simplex families with coding DNVs explained by CNVs (boys) (</w:t>
            </w:r>
            <w:hyperlink w:history="1" r:id="rIdyzhubayxvi5ruqazizce5">
              <w:r>
                <w:rPr>
                  <w:rFonts w:ascii="Calibri" w:cs="Calibri" w:eastAsia="Calibri" w:hAnsi="Calibri"/>
                  <w:color w:val="1155CC"/>
                  <w:sz w:val="18"/>
                  <w:szCs w:val="18"/>
                  <w:u w:val="single"/>
                </w:rPr>
                <w:t xml:space="preserve">Ranjan et al. 2025</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546.26–565.84</w:t>
            </w:r>
            <w:r>
              <w:rPr>
                <w:rFonts w:ascii="Calibri" w:cs="Calibri" w:eastAsia="Calibri" w:hAnsi="Calibri"/>
                <w:sz w:val="18"/>
                <w:szCs w:val="18"/>
              </w:rPr>
              <w:t xml:space="preserve">  mean, n=10 — Plasmin Concentration Peak (Mean, nM) (</w:t>
            </w:r>
            <w:hyperlink w:history="1" r:id="rIdfirf6qpldnrd7pagyjkpx">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49.78–90.81</w:t>
            </w:r>
            <w:r>
              <w:rPr>
                <w:rFonts w:ascii="Calibri" w:cs="Calibri" w:eastAsia="Calibri" w:hAnsi="Calibri"/>
                <w:sz w:val="18"/>
                <w:szCs w:val="18"/>
              </w:rPr>
              <w:t xml:space="preserve">  mean, n=10 — Plasmin Production Rate (Mean, nM/min) (</w:t>
            </w:r>
            <w:hyperlink w:history="1" r:id="rIdqbizs-l48etvzg4cpincf">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pig</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2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Mixed evidence: Tarandovskiy et al. 2020 found swine thrombin peak 242.35 nM (≈50% of human 484.25; n=20) and thrombin production rate 93.6 nM/min (≈84% of human 111.51), but plasmin was not detected in swine while human plasmin peak is 457.2 nM. Ranjan et al. 2025 cautions animal models vary in recapitulating human disease and highlights primates as more translatable, limiting pig applicability for human neurodevelopmental disease.</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9.86–242.35</w:t>
            </w:r>
            <w:r>
              <w:rPr>
                <w:rFonts w:ascii="Calibri" w:cs="Calibri" w:eastAsia="Calibri" w:hAnsi="Calibri"/>
                <w:sz w:val="18"/>
                <w:szCs w:val="18"/>
              </w:rPr>
              <w:t xml:space="preserve">  mean, n=20 — Thrombin Concentration Peak (Mean, nM) (</w:t>
            </w:r>
            <w:hyperlink w:history="1" r:id="rIdbypkvvbr1laam76e3drn5">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1.48–93.6</w:t>
            </w:r>
            <w:r>
              <w:rPr>
                <w:rFonts w:ascii="Calibri" w:cs="Calibri" w:eastAsia="Calibri" w:hAnsi="Calibri"/>
                <w:sz w:val="18"/>
                <w:szCs w:val="18"/>
              </w:rPr>
              <w:t xml:space="preserve">  mean, n=20 — Thrombin Production Rate (Mean, nM/min) (</w:t>
            </w:r>
            <w:hyperlink w:history="1" r:id="rIdov-sn2uoviljh5jfr5p9q">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25–45%</w:t>
            </w:r>
            <w:r>
              <w:rPr>
                <w:rFonts w:ascii="Calibri" w:cs="Calibri" w:eastAsia="Calibri" w:hAnsi="Calibri"/>
                <w:sz w:val="18"/>
                <w:szCs w:val="18"/>
              </w:rPr>
              <w:t xml:space="preserve">  proportion — Proportion of simplex families with coding DNVs explained by CNVs (boys) (</w:t>
            </w:r>
            <w:hyperlink w:history="1" r:id="rIds_zibgz2xl82dw47g6_ew">
              <w:r>
                <w:rPr>
                  <w:rFonts w:ascii="Calibri" w:cs="Calibri" w:eastAsia="Calibri" w:hAnsi="Calibri"/>
                  <w:color w:val="1155CC"/>
                  <w:sz w:val="18"/>
                  <w:szCs w:val="18"/>
                  <w:u w:val="single"/>
                </w:rPr>
                <w:t xml:space="preserve">Ranjan et al. 2025</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81.98</w:t>
            </w:r>
            <w:r>
              <w:rPr>
                <w:rFonts w:ascii="Calibri" w:cs="Calibri" w:eastAsia="Calibri" w:hAnsi="Calibri"/>
                <w:sz w:val="18"/>
                <w:szCs w:val="18"/>
              </w:rPr>
              <w:t xml:space="preserve">  mean, n=14 — Plasmin Concentration Peak (Mean, nM) (</w:t>
            </w:r>
            <w:hyperlink w:history="1" r:id="rId-krf9cpjqdh4kwudmouwi">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1.48</w:t>
            </w:r>
            <w:r>
              <w:rPr>
                <w:rFonts w:ascii="Calibri" w:cs="Calibri" w:eastAsia="Calibri" w:hAnsi="Calibri"/>
                <w:sz w:val="18"/>
                <w:szCs w:val="18"/>
              </w:rPr>
              <w:t xml:space="preserve">  mean, n=14 — Plasmin Production Rate (Mean, nM/min) (</w:t>
            </w:r>
            <w:hyperlink w:history="1" r:id="rIdll7lixizdinwpnwg08die">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w:t>
            </w:r>
            <w:r>
              <w:rPr>
                <w:rFonts w:ascii="Calibri" w:cs="Calibri" w:eastAsia="Calibri" w:hAnsi="Calibri"/>
                <w:sz w:val="18"/>
                <w:szCs w:val="18"/>
              </w:rPr>
              <w:t xml:space="preserve">  ratio — ASD prevalence in males vs. females (</w:t>
            </w:r>
            <w:hyperlink w:history="1" r:id="rIdsemt_0agrn_mhvq7uci4r">
              <w:r>
                <w:rPr>
                  <w:rFonts w:ascii="Calibri" w:cs="Calibri" w:eastAsia="Calibri" w:hAnsi="Calibri"/>
                  <w:color w:val="1155CC"/>
                  <w:sz w:val="18"/>
                  <w:szCs w:val="18"/>
                  <w:u w:val="single"/>
                </w:rPr>
                <w:t xml:space="preserve">Ranjan et al. 2025</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rodent</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2 does not support</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8A2727"/>
                <w:sz w:val="16"/>
                <w:szCs w:val="16"/>
              </w:rPr>
              <w:t xml:space="preserve">EVIDENCE DOES NOT FAVOUR THE MODEL</w:t>
            </w:r>
          </w:p>
          <w:p>
            <w:pPr>
              <w:spacing w:after="60"/>
            </w:pPr>
            <w:r>
              <w:rPr>
                <w:rFonts w:ascii="Calibri" w:cs="Calibri" w:eastAsia="Calibri" w:hAnsi="Calibri"/>
                <w:sz w:val="18"/>
                <w:szCs w:val="18"/>
              </w:rPr>
              <w:t xml:space="preserve">Evidence shows rodent disease models often report preclinical benefit that does not mirror human outcomes: 90% of mouse and 95% of rat preclinical trials reported apparent improvement versus 32% of human trials (Marshall et al. 2023). A large analysis found only 43% predictivity of rodents for humans and poor-to-absent mouse–human correlation across inflammation, sepsis, burns, trauma and infection (Leist et al. 2013).</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43%</w:t>
            </w:r>
            <w:r>
              <w:rPr>
                <w:rFonts w:ascii="Calibri" w:cs="Calibri" w:eastAsia="Calibri" w:hAnsi="Calibri"/>
                <w:sz w:val="18"/>
                <w:szCs w:val="18"/>
              </w:rPr>
              <w:t xml:space="preserve">  predictivity — predictivity of rodents for man in toxicology (</w:t>
            </w:r>
            <w:hyperlink w:history="1" r:id="rIdmwpfcbioz-jscpdwqtvx-">
              <w:r>
                <w:rPr>
                  <w:rFonts w:ascii="Calibri" w:cs="Calibri" w:eastAsia="Calibri" w:hAnsi="Calibri"/>
                  <w:color w:val="1155CC"/>
                  <w:sz w:val="18"/>
                  <w:szCs w:val="18"/>
                  <w:u w:val="single"/>
                </w:rPr>
                <w:t xml:space="preserve">Leist et al. 2013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67%</w:t>
            </w:r>
            <w:r>
              <w:rPr>
                <w:rFonts w:ascii="Calibri" w:cs="Calibri" w:eastAsia="Calibri" w:hAnsi="Calibri"/>
                <w:sz w:val="18"/>
                <w:szCs w:val="18"/>
              </w:rPr>
              <w:t xml:space="preserve">  apparent improvement — improvement with disease-modifying interventions (</w:t>
            </w:r>
            <w:hyperlink w:history="1" r:id="rId0y9fatrmukbuftm9zo1ym">
              <w:r>
                <w:rPr>
                  <w:rFonts w:ascii="Calibri" w:cs="Calibri" w:eastAsia="Calibri" w:hAnsi="Calibri"/>
                  <w:color w:val="1155CC"/>
                  <w:sz w:val="18"/>
                  <w:szCs w:val="18"/>
                  <w:u w:val="single"/>
                </w:rPr>
                <w:t xml:space="preserve">Marshall et al. 2023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32%</w:t>
            </w:r>
            <w:r>
              <w:rPr>
                <w:rFonts w:ascii="Calibri" w:cs="Calibri" w:eastAsia="Calibri" w:hAnsi="Calibri"/>
                <w:sz w:val="18"/>
                <w:szCs w:val="18"/>
              </w:rPr>
              <w:t xml:space="preserve">  clinical improvement — clinical improvement with disease-modifying interventions (</w:t>
            </w:r>
            <w:hyperlink w:history="1" r:id="rIdrscouj_z617inwpmolbvp">
              <w:r>
                <w:rPr>
                  <w:rFonts w:ascii="Calibri" w:cs="Calibri" w:eastAsia="Calibri" w:hAnsi="Calibri"/>
                  <w:color w:val="1155CC"/>
                  <w:sz w:val="18"/>
                  <w:szCs w:val="18"/>
                  <w:u w:val="single"/>
                </w:rPr>
                <w:t xml:space="preserve">Marshall et al. 2023</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c. elegans</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Zong et al. 2023: C. elegans shows modest transcriptomic resemblance to human inflammatory disease—most within-stage cross‑species genome‑wide c-scores &gt;0.1, though some pairs were lower (ce.lar–dm.lar c=0.087). Human–human c-scores reached up to 0.52 and some human pairs were ≈0, so similarity varies by comparison.</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Scores vary by which stage pairs, which specific pathway, and which human inflammatory studies are compared.</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0–0.52</w:t>
            </w:r>
            <w:r>
              <w:rPr>
                <w:rFonts w:ascii="Calibri" w:cs="Calibri" w:eastAsia="Calibri" w:hAnsi="Calibri"/>
                <w:sz w:val="18"/>
                <w:szCs w:val="18"/>
              </w:rPr>
              <w:t xml:space="preserve">  c-score — genome-wide c-scores between human inflammatory studies (HB, HI, HT, HS) (</w:t>
            </w:r>
            <w:hyperlink w:history="1" r:id="rIdn6wlqrfu6lv00dqbggg-7">
              <w:r>
                <w:rPr>
                  <w:rFonts w:ascii="Calibri" w:cs="Calibri" w:eastAsia="Calibri" w:hAnsi="Calibri"/>
                  <w:color w:val="1155CC"/>
                  <w:sz w:val="18"/>
                  <w:szCs w:val="18"/>
                  <w:u w:val="single"/>
                </w:rPr>
                <w:t xml:space="preserve">Zong et al. 2023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0.31</w:t>
            </w:r>
            <w:r>
              <w:rPr>
                <w:rFonts w:ascii="Calibri" w:cs="Calibri" w:eastAsia="Calibri" w:hAnsi="Calibri"/>
                <w:sz w:val="18"/>
                <w:szCs w:val="18"/>
              </w:rPr>
              <w:t xml:space="preserve">  median c-score — median c-score for HI1 vs. HI2 in hsa04662 (</w:t>
            </w:r>
            <w:hyperlink w:history="1" r:id="rId_lkbnc99u9sogdctj8cxj">
              <w:r>
                <w:rPr>
                  <w:rFonts w:ascii="Calibri" w:cs="Calibri" w:eastAsia="Calibri" w:hAnsi="Calibri"/>
                  <w:color w:val="1155CC"/>
                  <w:sz w:val="18"/>
                  <w:szCs w:val="18"/>
                  <w:u w:val="single"/>
                </w:rPr>
                <w:t xml:space="preserve">Zong et al. 2023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0.1</w:t>
            </w:r>
            <w:r>
              <w:rPr>
                <w:rFonts w:ascii="Calibri" w:cs="Calibri" w:eastAsia="Calibri" w:hAnsi="Calibri"/>
                <w:sz w:val="18"/>
                <w:szCs w:val="18"/>
              </w:rPr>
              <w:t xml:space="preserve">  c-score — genome-wide c-scores between Drosophila and C. elegans stages (</w:t>
            </w:r>
            <w:hyperlink w:history="1" r:id="rIdyprvoilcompx1nx1ir4zv">
              <w:r>
                <w:rPr>
                  <w:rFonts w:ascii="Calibri" w:cs="Calibri" w:eastAsia="Calibri" w:hAnsi="Calibri"/>
                  <w:color w:val="1155CC"/>
                  <w:sz w:val="18"/>
                  <w:szCs w:val="18"/>
                  <w:u w:val="single"/>
                </w:rPr>
                <w:t xml:space="preserve">Zong et al. 2023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0.087</w:t>
            </w:r>
            <w:r>
              <w:rPr>
                <w:rFonts w:ascii="Calibri" w:cs="Calibri" w:eastAsia="Calibri" w:hAnsi="Calibri"/>
                <w:sz w:val="18"/>
                <w:szCs w:val="18"/>
              </w:rPr>
              <w:t xml:space="preserve">  c-score — c-score for ce.lar-dm.lar (</w:t>
            </w:r>
            <w:hyperlink w:history="1" r:id="rIdt_qb-3d5lmb8jrbck32wz">
              <w:r>
                <w:rPr>
                  <w:rFonts w:ascii="Calibri" w:cs="Calibri" w:eastAsia="Calibri" w:hAnsi="Calibri"/>
                  <w:color w:val="1155CC"/>
                  <w:sz w:val="18"/>
                  <w:szCs w:val="18"/>
                  <w:u w:val="single"/>
                </w:rPr>
                <w:t xml:space="preserve">Zong et al. 2023</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d. melanogaster</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TOO LITTLE EVIDENCE</w:t>
            </w:r>
          </w:p>
          <w:p>
            <w:pPr>
              <w:spacing w:after="60"/>
            </w:pPr>
            <w:r>
              <w:rPr>
                <w:rFonts w:ascii="Calibri" w:cs="Calibri" w:eastAsia="Calibri" w:hAnsi="Calibri"/>
                <w:sz w:val="18"/>
                <w:szCs w:val="18"/>
              </w:rPr>
              <w:t xml:space="preserve">Evidence shows D. melanogaster has low cross-species transcriptome resemblance in disease-related comparisons (Zong et al. 2023): most within-stage Drosophila–C. elegans genome-wide c-scores were &gt;0.1, but one ce.lar–dm.lar pairing was 0.087. The study reports mainly invertebrate cross-species comparisons, not direct Drosophila–human matches.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0–0.52</w:t>
            </w:r>
            <w:r>
              <w:rPr>
                <w:rFonts w:ascii="Calibri" w:cs="Calibri" w:eastAsia="Calibri" w:hAnsi="Calibri"/>
                <w:sz w:val="18"/>
                <w:szCs w:val="18"/>
              </w:rPr>
              <w:t xml:space="preserve">  c-score — genome-wide c-scores between human inflammatory studies (HB, HI, HT, HS) (</w:t>
            </w:r>
            <w:hyperlink w:history="1" r:id="rIds3oqprhqlxtlulvtxrdog">
              <w:r>
                <w:rPr>
                  <w:rFonts w:ascii="Calibri" w:cs="Calibri" w:eastAsia="Calibri" w:hAnsi="Calibri"/>
                  <w:color w:val="1155CC"/>
                  <w:sz w:val="18"/>
                  <w:szCs w:val="18"/>
                  <w:u w:val="single"/>
                </w:rPr>
                <w:t xml:space="preserve">Zong et al. 2023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0.31</w:t>
            </w:r>
            <w:r>
              <w:rPr>
                <w:rFonts w:ascii="Calibri" w:cs="Calibri" w:eastAsia="Calibri" w:hAnsi="Calibri"/>
                <w:sz w:val="18"/>
                <w:szCs w:val="18"/>
              </w:rPr>
              <w:t xml:space="preserve">  median c-score — median c-score for HI1 vs. HI2 in hsa04662 (</w:t>
            </w:r>
            <w:hyperlink w:history="1" r:id="rIdenyed-jp_sf6rvppachlk">
              <w:r>
                <w:rPr>
                  <w:rFonts w:ascii="Calibri" w:cs="Calibri" w:eastAsia="Calibri" w:hAnsi="Calibri"/>
                  <w:color w:val="1155CC"/>
                  <w:sz w:val="18"/>
                  <w:szCs w:val="18"/>
                  <w:u w:val="single"/>
                </w:rPr>
                <w:t xml:space="preserve">Zong et al. 2023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0.1</w:t>
            </w:r>
            <w:r>
              <w:rPr>
                <w:rFonts w:ascii="Calibri" w:cs="Calibri" w:eastAsia="Calibri" w:hAnsi="Calibri"/>
                <w:sz w:val="18"/>
                <w:szCs w:val="18"/>
              </w:rPr>
              <w:t xml:space="preserve">  c-score — genome-wide c-scores between Drosophila and C. elegans stages (</w:t>
            </w:r>
            <w:hyperlink w:history="1" r:id="rId4qqh5zq9te4o_3tr7skyg">
              <w:r>
                <w:rPr>
                  <w:rFonts w:ascii="Calibri" w:cs="Calibri" w:eastAsia="Calibri" w:hAnsi="Calibri"/>
                  <w:color w:val="1155CC"/>
                  <w:sz w:val="18"/>
                  <w:szCs w:val="18"/>
                  <w:u w:val="single"/>
                </w:rPr>
                <w:t xml:space="preserve">Zong et al. 2023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0.087</w:t>
            </w:r>
            <w:r>
              <w:rPr>
                <w:rFonts w:ascii="Calibri" w:cs="Calibri" w:eastAsia="Calibri" w:hAnsi="Calibri"/>
                <w:sz w:val="18"/>
                <w:szCs w:val="18"/>
              </w:rPr>
              <w:t xml:space="preserve">  c-score — c-score for ce.lar-dm.lar (</w:t>
            </w:r>
            <w:hyperlink w:history="1" r:id="rIdo5hljjvvswwat46dk3awg">
              <w:r>
                <w:rPr>
                  <w:rFonts w:ascii="Calibri" w:cs="Calibri" w:eastAsia="Calibri" w:hAnsi="Calibri"/>
                  <w:color w:val="1155CC"/>
                  <w:sz w:val="18"/>
                  <w:szCs w:val="18"/>
                  <w:u w:val="single"/>
                </w:rPr>
                <w:t xml:space="preserve">Zong et al. 2023</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horse</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Oreff et al. 2021: horse tenocytes match human gene-expression under transient inflammation (Mahalanobis 9.59) and approximate human wound-closure kinetics (migration slope diff 0.0133 vs human, healthy). However they diverge in proliferation under healthy conditions (slope diff 0.3000, p&lt;2e-16).</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Similarity depends on inflammatory state (closer under transient inflammation: Mahalanobis 9.59 vs 23.05 in healthy).</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-0.064–0.3</w:t>
            </w:r>
            <w:r>
              <w:rPr>
                <w:rFonts w:ascii="Calibri" w:cs="Calibri" w:eastAsia="Calibri" w:hAnsi="Calibri"/>
                <w:sz w:val="18"/>
                <w:szCs w:val="18"/>
              </w:rPr>
              <w:t xml:space="preserve">  slope — Proliferation capacity (slope difference to human) under healthy conditions (</w:t>
            </w:r>
            <w:hyperlink w:history="1" r:id="rIdhvueeaiyiwizdscjf745g">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9.59–23.05</w:t>
            </w:r>
            <w:r>
              <w:rPr>
                <w:rFonts w:ascii="Calibri" w:cs="Calibri" w:eastAsia="Calibri" w:hAnsi="Calibri"/>
                <w:sz w:val="18"/>
                <w:szCs w:val="18"/>
              </w:rPr>
              <w:t xml:space="preserve">  mahalanobis distance — Mahalanobis distance to human for all genes combined under healthy conditions (</w:t>
            </w:r>
            <w:hyperlink w:history="1" r:id="rIdyk59zkcjljikjyuzfrxx8">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-0.014–-0.0123</w:t>
            </w:r>
            <w:r>
              <w:rPr>
                <w:rFonts w:ascii="Calibri" w:cs="Calibri" w:eastAsia="Calibri" w:hAnsi="Calibri"/>
                <w:sz w:val="18"/>
                <w:szCs w:val="18"/>
              </w:rPr>
              <w:t xml:space="preserve">  slope — Migration slope (difference to human) under transient inflammation (</w:t>
            </w:r>
            <w:hyperlink w:history="1" r:id="rIdo2bl3onyvmpklk40kc2nv">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0.0132563</w:t>
            </w:r>
            <w:r>
              <w:rPr>
                <w:rFonts w:ascii="Calibri" w:cs="Calibri" w:eastAsia="Calibri" w:hAnsi="Calibri"/>
                <w:sz w:val="18"/>
                <w:szCs w:val="18"/>
              </w:rPr>
              <w:t xml:space="preserve">  slope — Migration slope (difference to human) under healthy conditions (</w:t>
            </w:r>
            <w:hyperlink w:history="1" r:id="rId8ao3zuszboe8ohswhspbx">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6.88</w:t>
            </w:r>
            <w:r>
              <w:rPr>
                <w:rFonts w:ascii="Calibri" w:cs="Calibri" w:eastAsia="Calibri" w:hAnsi="Calibri"/>
                <w:sz w:val="18"/>
                <w:szCs w:val="18"/>
              </w:rPr>
              <w:t xml:space="preserve">  mahalanobis distance — Mahalanobis distance to human for tenogenic markers (SCX, TNC, TNMD) (</w:t>
            </w:r>
            <w:hyperlink w:history="1" r:id="rId81ov8uxdmxioiujkhnyh-">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8.45</w:t>
            </w:r>
            <w:r>
              <w:rPr>
                <w:rFonts w:ascii="Calibri" w:cs="Calibri" w:eastAsia="Calibri" w:hAnsi="Calibri"/>
                <w:sz w:val="18"/>
                <w:szCs w:val="18"/>
              </w:rPr>
              <w:t xml:space="preserve">  mahalanobis distance — Mahalanobis distance to human for collagens (COL1, COL3, COL5) (</w:t>
            </w:r>
            <w:hyperlink w:history="1" r:id="rIdbfbb4pmsd67mn5shws9kc">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rabbit</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8A2727"/>
                <w:sz w:val="16"/>
                <w:szCs w:val="16"/>
              </w:rPr>
              <w:t xml:space="preserve">EVIDENCE DOES NOT FAVOUR THE MODEL</w:t>
            </w:r>
          </w:p>
          <w:p>
            <w:pPr>
              <w:spacing w:after="60"/>
            </w:pPr>
            <w:r>
              <w:rPr>
                <w:rFonts w:ascii="Calibri" w:cs="Calibri" w:eastAsia="Calibri" w:hAnsi="Calibri"/>
                <w:sz w:val="18"/>
                <w:szCs w:val="18"/>
              </w:rPr>
              <w:t xml:space="preserve">Tarandovskiy et al. 2020: Rabbit thrombin and plasmin generation were substantially lower than humans — thrombin peak 71.6 nM (15% of human 484.3), thrombin production 14.93 nM/min (13% of human 111.5); plasmin peak 197.7 nM (43% of human 457.2), plasmin production 17.63 nM/min (51% of human 34.8). Authors note high variability in rabbit plasmin-generation (PG) curves.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71.6–197.71</w:t>
            </w:r>
            <w:r>
              <w:rPr>
                <w:rFonts w:ascii="Calibri" w:cs="Calibri" w:eastAsia="Calibri" w:hAnsi="Calibri"/>
                <w:sz w:val="18"/>
                <w:szCs w:val="18"/>
              </w:rPr>
              <w:t xml:space="preserve">  mean, n=10 — Thrombin Concentration Peak (Mean, nM) (</w:t>
            </w:r>
            <w:hyperlink w:history="1" r:id="rId5k1utmplfqobjpj9a1q72">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14.93–17.63</w:t>
            </w:r>
            <w:r>
              <w:rPr>
                <w:rFonts w:ascii="Calibri" w:cs="Calibri" w:eastAsia="Calibri" w:hAnsi="Calibri"/>
                <w:sz w:val="18"/>
                <w:szCs w:val="18"/>
              </w:rPr>
              <w:t xml:space="preserve">  mean, n=10 — Thrombin Production Rate (Mean, nM/min) (</w:t>
            </w:r>
            <w:hyperlink w:history="1" r:id="rId-nxeezydvrwqat-eqedvn">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197.71</w:t>
            </w:r>
            <w:r>
              <w:rPr>
                <w:rFonts w:ascii="Calibri" w:cs="Calibri" w:eastAsia="Calibri" w:hAnsi="Calibri"/>
                <w:sz w:val="18"/>
                <w:szCs w:val="18"/>
              </w:rPr>
              <w:t xml:space="preserve">  mean, n=10 — Plasmin Concentration Peak (Mean, nM) (</w:t>
            </w:r>
            <w:hyperlink w:history="1" r:id="rIda8r4bh3dll-sp9bkpzkzn">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17.63</w:t>
            </w:r>
            <w:r>
              <w:rPr>
                <w:rFonts w:ascii="Calibri" w:cs="Calibri" w:eastAsia="Calibri" w:hAnsi="Calibri"/>
                <w:sz w:val="18"/>
                <w:szCs w:val="18"/>
              </w:rPr>
              <w:t xml:space="preserve">  mean, n=10 — Plasmin Production Rate (Mean, nM/min) (</w:t>
            </w:r>
            <w:hyperlink w:history="1" r:id="rIdwjfmb4brve_8jy3szoksh">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sheep</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Oreff et al. 2021: Sheep tenocyte gene-expression and proliferation match human responses mainly under constant inflammation (Mahalanobis 8.94; proliferation slope diff -0.0878, p=0.009) but are less similar when healthy (Mahalanobis 24.78) and only borderline under transient inflammation. Data are from three biological replicates per species.</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Similarity varies by inflammatory condition: sheep are least similar when healthy and most similar under constant inflammation.</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-0.0878–0.1169</w:t>
            </w:r>
            <w:r>
              <w:rPr>
                <w:rFonts w:ascii="Calibri" w:cs="Calibri" w:eastAsia="Calibri" w:hAnsi="Calibri"/>
                <w:sz w:val="18"/>
                <w:szCs w:val="18"/>
              </w:rPr>
              <w:t xml:space="preserve">  slope — Proliferation capacity (slope difference to human) under healthy conditions (</w:t>
            </w:r>
            <w:hyperlink w:history="1" r:id="rId7ke84mycar0m3j90bdco9">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8.94–24.78</w:t>
            </w:r>
            <w:r>
              <w:rPr>
                <w:rFonts w:ascii="Calibri" w:cs="Calibri" w:eastAsia="Calibri" w:hAnsi="Calibri"/>
                <w:sz w:val="18"/>
                <w:szCs w:val="18"/>
              </w:rPr>
              <w:t xml:space="preserve">  mahalanobis distance — Mahalanobis distance to human for all genes combined under healthy conditions (</w:t>
            </w:r>
            <w:hyperlink w:history="1" r:id="rId6vkhjeowsb9whjy-itnlc">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-0.0188–-0.0112</w:t>
            </w:r>
            <w:r>
              <w:rPr>
                <w:rFonts w:ascii="Calibri" w:cs="Calibri" w:eastAsia="Calibri" w:hAnsi="Calibri"/>
                <w:sz w:val="18"/>
                <w:szCs w:val="18"/>
              </w:rPr>
              <w:t xml:space="preserve">  slope — Migration slope (difference to human) under transient inflammation (</w:t>
            </w:r>
            <w:hyperlink w:history="1" r:id="rIdqg74zesevpw8p9v6hj7cb">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0.018555</w:t>
            </w:r>
            <w:r>
              <w:rPr>
                <w:rFonts w:ascii="Calibri" w:cs="Calibri" w:eastAsia="Calibri" w:hAnsi="Calibri"/>
                <w:sz w:val="18"/>
                <w:szCs w:val="18"/>
              </w:rPr>
              <w:t xml:space="preserve">  slope — Migration slope (difference to human) under healthy conditions (</w:t>
            </w:r>
            <w:hyperlink w:history="1" r:id="rIduc4hcfjgs4e46lcupjopv">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10.54</w:t>
            </w:r>
            <w:r>
              <w:rPr>
                <w:rFonts w:ascii="Calibri" w:cs="Calibri" w:eastAsia="Calibri" w:hAnsi="Calibri"/>
                <w:sz w:val="18"/>
                <w:szCs w:val="18"/>
              </w:rPr>
              <w:t xml:space="preserve">  mahalanobis distance — Mahalanobis distance to human for tenogenic markers (SCX, TNC, TNMD) (</w:t>
            </w:r>
            <w:hyperlink w:history="1" r:id="rIdytd0y29qumlhkl3mx_t1p">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12.88</w:t>
            </w:r>
            <w:r>
              <w:rPr>
                <w:rFonts w:ascii="Calibri" w:cs="Calibri" w:eastAsia="Calibri" w:hAnsi="Calibri"/>
                <w:sz w:val="18"/>
                <w:szCs w:val="18"/>
              </w:rPr>
              <w:t xml:space="preserve">  mahalanobis distance — Mahalanobis distance to human for collagens (COL1, COL3, COL5) (</w:t>
            </w:r>
            <w:hyperlink w:history="1" r:id="rIdxtzsqjzjkiqjk7kxaj_hb">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Veterinary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dog</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1 partly supports</w:t>
            </w:r>
          </w:p>
          <w:p>
            <w:pPr>
              <w:spacing w:after="0"/>
            </w:pPr>
            <w:r>
              <w:rPr>
                <w:rFonts w:ascii="Calibri" w:cs="Calibri" w:eastAsia="Calibri" w:hAnsi="Calibri"/>
                <w:color w:val="666666"/>
                <w:sz w:val="16"/>
                <w:szCs w:val="16"/>
              </w:rPr>
              <w:t xml:space="preserve">1 does not support</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Daluwatumulle et al. 2026 found model robustness scores 31–85% across cancers (e.g. bladder 85.05%, pediatric glioma 79.88%), but Petersen‑Jones et al. 2015 reported dogs regained ERG/function close to normal while human patients showed no ERG change.</w:t>
            </w:r>
          </w:p>
          <w:p>
            <w:pPr>
              <w:spacing w:after="50"/>
            </w:pPr>
            <w:r>
              <w:rPr>
                <w:rFonts w:ascii="Calibri" w:cs="Calibri" w:eastAsia="Calibri" w:hAnsi="Calibri"/>
                <w:b/>
                <w:bCs/>
                <w:color w:val="8A6D00"/>
                <w:sz w:val="17"/>
                <w:szCs w:val="17"/>
              </w:rPr>
              <w:t xml:space="preserve">Negative controls. </w:t>
            </w:r>
            <w:r>
              <w:rPr>
                <w:rFonts w:ascii="Calibri" w:cs="Calibri" w:eastAsia="Calibri" w:hAnsi="Calibri"/>
                <w:i/>
                <w:iCs/>
                <w:color w:val="8A6D00"/>
                <w:sz w:val="17"/>
                <w:szCs w:val="17"/>
              </w:rPr>
              <w:t xml:space="preserve">Negative controls ACC and LAML had low scores (adult ACC 31.1%; adult leukemia/LAML 40.31%). These are designed to score low and are excluded from the reading above.</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Range reflects large variation across cancer types, pediatric vs adult cohorts and inclusion of negative-control cancers.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0.0215–0.1007</w:t>
            </w:r>
            <w:r>
              <w:rPr>
                <w:rFonts w:ascii="Calibri" w:cs="Calibri" w:eastAsia="Calibri" w:hAnsi="Calibri"/>
                <w:sz w:val="18"/>
                <w:szCs w:val="18"/>
              </w:rPr>
              <w:t xml:space="preserve">  mean difference — mean difference in sample-sample correlation between diff cancer-same species group and same cancer-diff species group (</w:t>
            </w:r>
            <w:hyperlink w:history="1" r:id="rIdglglgto-ih970l2zeos0g">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78.2–85.05%</w:t>
            </w:r>
            <w:r>
              <w:rPr>
                <w:rFonts w:ascii="Calibri" w:cs="Calibri" w:eastAsia="Calibri" w:hAnsi="Calibri"/>
                <w:sz w:val="18"/>
                <w:szCs w:val="18"/>
              </w:rPr>
              <w:t xml:space="preserve">  score — model robustness score for adult bladder cancer (</w:t>
            </w:r>
            <w:hyperlink w:history="1" r:id="rId6oyjae19qjzbl44jwwe4t">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72.95–79.88%</w:t>
            </w:r>
            <w:r>
              <w:rPr>
                <w:rFonts w:ascii="Calibri" w:cs="Calibri" w:eastAsia="Calibri" w:hAnsi="Calibri"/>
                <w:sz w:val="18"/>
                <w:szCs w:val="18"/>
              </w:rPr>
              <w:t xml:space="preserve">  score — model robustness score for pediatric glioma (</w:t>
            </w:r>
            <w:hyperlink w:history="1" r:id="rIdgkozwj8t_ht8szsorjmvn">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72.1–76.85%</w:t>
            </w:r>
            <w:r>
              <w:rPr>
                <w:rFonts w:ascii="Calibri" w:cs="Calibri" w:eastAsia="Calibri" w:hAnsi="Calibri"/>
                <w:sz w:val="18"/>
                <w:szCs w:val="18"/>
              </w:rPr>
              <w:t xml:space="preserve">  score — model robustness score for adult melanoma (</w:t>
            </w:r>
            <w:hyperlink w:history="1" r:id="rIddpgadczmmey4obw1jle5t">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62.33–69.78%</w:t>
            </w:r>
            <w:r>
              <w:rPr>
                <w:rFonts w:ascii="Calibri" w:cs="Calibri" w:eastAsia="Calibri" w:hAnsi="Calibri"/>
                <w:sz w:val="18"/>
                <w:szCs w:val="18"/>
              </w:rPr>
              <w:t xml:space="preserve">  score — model robustness score for adult breast cancer (</w:t>
            </w:r>
            <w:hyperlink w:history="1" r:id="rId760_h7t8ox41egp6ucw-w">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48.33–64.13%</w:t>
            </w:r>
            <w:r>
              <w:rPr>
                <w:rFonts w:ascii="Calibri" w:cs="Calibri" w:eastAsia="Calibri" w:hAnsi="Calibri"/>
                <w:sz w:val="18"/>
                <w:szCs w:val="18"/>
              </w:rPr>
              <w:t xml:space="preserve">  score — model robustness score for adult sarcoma (</w:t>
            </w:r>
            <w:hyperlink w:history="1" r:id="rIddlhbez0ctlxnzhr_xsvhw">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tc>
      </w:tr>
    </w:tbl>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fzd2ob122h9_2vp28mpj" Type="http://schemas.openxmlformats.org/officeDocument/2006/relationships/hyperlink" Target="https://rohitium.github.io/animal-model-concordance/" TargetMode="External"/><Relationship Id="rIdqjchtumcfprwjxzu1dkde" Type="http://schemas.openxmlformats.org/officeDocument/2006/relationships/hyperlink" Target="https://pubmed.ncbi.nlm.nih.gov/16453316/" TargetMode="External"/><Relationship Id="rId1ge7vrvz1uuyox2jts2as" Type="http://schemas.openxmlformats.org/officeDocument/2006/relationships/hyperlink" Target="https://pubmed.ncbi.nlm.nih.gov/16453316/" TargetMode="External"/><Relationship Id="rIduy1rslwsbm9etdagq4-q3" Type="http://schemas.openxmlformats.org/officeDocument/2006/relationships/hyperlink" Target="https://pubmed.ncbi.nlm.nih.gov/36859342/" TargetMode="External"/><Relationship Id="rIdamyjp4wyddocii08_ve8k" Type="http://schemas.openxmlformats.org/officeDocument/2006/relationships/hyperlink" Target="https://pubmed.ncbi.nlm.nih.gov/36859342/" TargetMode="External"/><Relationship Id="rIdfnnmyofxitqcmj24s7fdp" Type="http://schemas.openxmlformats.org/officeDocument/2006/relationships/hyperlink" Target="https://pubmed.ncbi.nlm.nih.gov/36859342/" TargetMode="External"/><Relationship Id="rIdavr6rzudtrbymet7s352f" Type="http://schemas.openxmlformats.org/officeDocument/2006/relationships/hyperlink" Target="https://pubmed.ncbi.nlm.nih.gov/36859342/" TargetMode="External"/><Relationship Id="rId6rdkwopyshhhoaknuptf5" Type="http://schemas.openxmlformats.org/officeDocument/2006/relationships/hyperlink" Target="https://pubmed.ncbi.nlm.nih.gov/36859342/" TargetMode="External"/><Relationship Id="rIdj3zmirotlgykvmqn8bw8i" Type="http://schemas.openxmlformats.org/officeDocument/2006/relationships/hyperlink" Target="https://pubmed.ncbi.nlm.nih.gov/36859342/" TargetMode="External"/><Relationship Id="rIdscw4daruyvqriubqswyqy" Type="http://schemas.openxmlformats.org/officeDocument/2006/relationships/hyperlink" Target="https://pubmed.ncbi.nlm.nih.gov/36859342/" TargetMode="External"/><Relationship Id="rIdst4mi6oqxuaxj9iztos0b" Type="http://schemas.openxmlformats.org/officeDocument/2006/relationships/hyperlink" Target="https://pubmed.ncbi.nlm.nih.gov/36859342/" TargetMode="External"/><Relationship Id="rIdsyvcttywdkamicwfj01as" Type="http://schemas.openxmlformats.org/officeDocument/2006/relationships/hyperlink" Target="https://pubmed.ncbi.nlm.nih.gov/36859342/" TargetMode="External"/><Relationship Id="rId69w4vcjudmfh8kpmt_n15" Type="http://schemas.openxmlformats.org/officeDocument/2006/relationships/hyperlink" Target="https://pubmed.ncbi.nlm.nih.gov/17175568/" TargetMode="External"/><Relationship Id="rIdqzrwqk-7nazjeydvwgdyp" Type="http://schemas.openxmlformats.org/officeDocument/2006/relationships/hyperlink" Target="https://pubmed.ncbi.nlm.nih.gov/24678540/" TargetMode="External"/><Relationship Id="rIdnztq0cgvp5i14agchrngf" Type="http://schemas.openxmlformats.org/officeDocument/2006/relationships/hyperlink" Target="https://pubmed.ncbi.nlm.nih.gov/24678540/" TargetMode="External"/><Relationship Id="rId630aui1wdioa6ml8nfnpi" Type="http://schemas.openxmlformats.org/officeDocument/2006/relationships/hyperlink" Target="https://pubmed.ncbi.nlm.nih.gov/24678540/" TargetMode="External"/><Relationship Id="rIdaviwh6maokhrluapgw6xf" Type="http://schemas.openxmlformats.org/officeDocument/2006/relationships/hyperlink" Target="https://pubmed.ncbi.nlm.nih.gov/24678540/" TargetMode="External"/><Relationship Id="rIdv5isxlmbjv1sdm7qv9oxq" Type="http://schemas.openxmlformats.org/officeDocument/2006/relationships/hyperlink" Target="https://pubmed.ncbi.nlm.nih.gov/24678540/" TargetMode="External"/><Relationship Id="rId9zynqoc2jmhjxdkzijaiw" Type="http://schemas.openxmlformats.org/officeDocument/2006/relationships/hyperlink" Target="https://pubmed.ncbi.nlm.nih.gov/32391273/" TargetMode="External"/><Relationship Id="rId7tu3tffhzvvcoramasuot" Type="http://schemas.openxmlformats.org/officeDocument/2006/relationships/hyperlink" Target="https://pubmed.ncbi.nlm.nih.gov/17175568/" TargetMode="External"/><Relationship Id="rId_h9-i110zgjre_4zbdcbg" Type="http://schemas.openxmlformats.org/officeDocument/2006/relationships/hyperlink" Target="https://pubmed.ncbi.nlm.nih.gov/17175568/" TargetMode="External"/><Relationship Id="rIdkdw5vmwzyqceg8nbzsljr" Type="http://schemas.openxmlformats.org/officeDocument/2006/relationships/hyperlink" Target="https://pubmed.ncbi.nlm.nih.gov/17175568/" TargetMode="External"/><Relationship Id="rIds3r1g7_fvihekmffzdfly" Type="http://schemas.openxmlformats.org/officeDocument/2006/relationships/hyperlink" Target="https://pubmed.ncbi.nlm.nih.gov/17175568/" TargetMode="External"/><Relationship Id="rId66q-bnqpzhuquwzrk8q8l" Type="http://schemas.openxmlformats.org/officeDocument/2006/relationships/hyperlink" Target="https://pubmed.ncbi.nlm.nih.gov/17175568/" TargetMode="External"/><Relationship Id="rIdeewqwxbuynzyk8wf1tw1n" Type="http://schemas.openxmlformats.org/officeDocument/2006/relationships/hyperlink" Target="https://pubmed.ncbi.nlm.nih.gov/17175568/" TargetMode="External"/><Relationship Id="rIdqh1shx3pf1y_zp1ifvw5p" Type="http://schemas.openxmlformats.org/officeDocument/2006/relationships/hyperlink" Target="https://pubmed.ncbi.nlm.nih.gov/17175568/" TargetMode="External"/><Relationship Id="rIdgm8szpvzyflsxj1rbcbsh" Type="http://schemas.openxmlformats.org/officeDocument/2006/relationships/hyperlink" Target="https://pubmed.ncbi.nlm.nih.gov/17175568/" TargetMode="External"/><Relationship Id="rIdwgklwyfkxqzzhtios3bma" Type="http://schemas.openxmlformats.org/officeDocument/2006/relationships/hyperlink" Target="https://pubmed.ncbi.nlm.nih.gov/17175568/" TargetMode="External"/><Relationship Id="rIdtmcejt-h1oyvieh29ajuj" Type="http://schemas.openxmlformats.org/officeDocument/2006/relationships/hyperlink" Target="https://pubmed.ncbi.nlm.nih.gov/17175568/" TargetMode="External"/><Relationship Id="rIdon7fifehmdfmris1nimp3" Type="http://schemas.openxmlformats.org/officeDocument/2006/relationships/hyperlink" Target="https://pubmed.ncbi.nlm.nih.gov/17175568/" TargetMode="External"/><Relationship Id="rIdn0wn6_clalbcbu5tgyc2a" Type="http://schemas.openxmlformats.org/officeDocument/2006/relationships/hyperlink" Target="https://pubmed.ncbi.nlm.nih.gov/17175568/" TargetMode="External"/><Relationship Id="rId-luc-s_keirwc0ewwg_cj" Type="http://schemas.openxmlformats.org/officeDocument/2006/relationships/hyperlink" Target="https://pubmed.ncbi.nlm.nih.gov/17175568/" TargetMode="External"/><Relationship Id="rId_me-uz5v8mf-mm0apemcu" Type="http://schemas.openxmlformats.org/officeDocument/2006/relationships/hyperlink" Target="https://pubmed.ncbi.nlm.nih.gov/17175568/" TargetMode="External"/><Relationship Id="rIdx7cc9oiwwboncrtjbkqfx" Type="http://schemas.openxmlformats.org/officeDocument/2006/relationships/hyperlink" Target="https://pubmed.ncbi.nlm.nih.gov/17175568/" TargetMode="External"/><Relationship Id="rIdhzals4ojwxrlfc3bfdrvs" Type="http://schemas.openxmlformats.org/officeDocument/2006/relationships/hyperlink" Target="https://pubmed.ncbi.nlm.nih.gov/17175568/" TargetMode="External"/><Relationship Id="rIdoi2gslkge1qglprgxoykl" Type="http://schemas.openxmlformats.org/officeDocument/2006/relationships/hyperlink" Target="https://pubmed.ncbi.nlm.nih.gov/17175568/" TargetMode="External"/><Relationship Id="rIdaub6xn5vyh1s0sl2edxes" Type="http://schemas.openxmlformats.org/officeDocument/2006/relationships/hyperlink" Target="https://pubmed.ncbi.nlm.nih.gov/17175568/" TargetMode="External"/><Relationship Id="rIdmi0b9fx7u0ojy6fzfl9v6" Type="http://schemas.openxmlformats.org/officeDocument/2006/relationships/hyperlink" Target="https://pubmed.ncbi.nlm.nih.gov/17175568/" TargetMode="External"/><Relationship Id="rIdvpo8fcr1hnfkpazfmrt8x" Type="http://schemas.openxmlformats.org/officeDocument/2006/relationships/hyperlink" Target="https://pubmed.ncbi.nlm.nih.gov/17175568/" TargetMode="External"/><Relationship Id="rIdw8q4fdmk-4p65qdqnjicm" Type="http://schemas.openxmlformats.org/officeDocument/2006/relationships/hyperlink" Target="https://pubmed.ncbi.nlm.nih.gov/17175568/" TargetMode="External"/><Relationship Id="rId3e3yq-gimdhltuu5_clcp" Type="http://schemas.openxmlformats.org/officeDocument/2006/relationships/hyperlink" Target="https://pubmed.ncbi.nlm.nih.gov/17175568/" TargetMode="External"/><Relationship Id="rIdpgpcqp1nvukm5zu3o6xvk" Type="http://schemas.openxmlformats.org/officeDocument/2006/relationships/hyperlink" Target="https://pubmed.ncbi.nlm.nih.gov/17175568/" TargetMode="External"/><Relationship Id="rId_q98d_sqwtw2-ckkfkgdf" Type="http://schemas.openxmlformats.org/officeDocument/2006/relationships/hyperlink" Target="https://pubmed.ncbi.nlm.nih.gov/17175568/" TargetMode="External"/><Relationship Id="rIdnz28flty8d4o-ymfoaidv" Type="http://schemas.openxmlformats.org/officeDocument/2006/relationships/hyperlink" Target="https://pubmed.ncbi.nlm.nih.gov/29590200/" TargetMode="External"/><Relationship Id="rIdna3mcyguorhmomrnryikk" Type="http://schemas.openxmlformats.org/officeDocument/2006/relationships/hyperlink" Target="https://pubmed.ncbi.nlm.nih.gov/22790876/" TargetMode="External"/><Relationship Id="rIdr7qr-m8rbbwys48h9dxgc" Type="http://schemas.openxmlformats.org/officeDocument/2006/relationships/hyperlink" Target="https://pubmed.ncbi.nlm.nih.gov/22790876/" TargetMode="External"/><Relationship Id="rIdtwexdoh7l5byw5n2fncxp" Type="http://schemas.openxmlformats.org/officeDocument/2006/relationships/hyperlink" Target="https://pubmed.ncbi.nlm.nih.gov/31307492/" TargetMode="External"/><Relationship Id="rIdld9gulihcmtgi5xmxaekq" Type="http://schemas.openxmlformats.org/officeDocument/2006/relationships/hyperlink" Target="https://pubmed.ncbi.nlm.nih.gov/31307492/" TargetMode="External"/><Relationship Id="rIdkimt1etvpckgshcjqy9c5" Type="http://schemas.openxmlformats.org/officeDocument/2006/relationships/hyperlink" Target="https://pubmed.ncbi.nlm.nih.gov/31307492/" TargetMode="External"/><Relationship Id="rIdecnabna9uys4ykn3lyhky" Type="http://schemas.openxmlformats.org/officeDocument/2006/relationships/hyperlink" Target="https://pubmed.ncbi.nlm.nih.gov/29590200/" TargetMode="External"/><Relationship Id="rIdz2yj1vkled18-csbov2tr" Type="http://schemas.openxmlformats.org/officeDocument/2006/relationships/hyperlink" Target="https://pubmed.ncbi.nlm.nih.gov/29730448/" TargetMode="External"/><Relationship Id="rIdl4quo6ykg9rmneljsp7lo" Type="http://schemas.openxmlformats.org/officeDocument/2006/relationships/hyperlink" Target="https://pubmed.ncbi.nlm.nih.gov/29730448/" TargetMode="External"/><Relationship Id="rIdg-hytv48eevsnthoxbrso" Type="http://schemas.openxmlformats.org/officeDocument/2006/relationships/hyperlink" Target="https://pubmed.ncbi.nlm.nih.gov/31694927/" TargetMode="External"/><Relationship Id="rIdj9c2sjg5r6gdshir-t7wi" Type="http://schemas.openxmlformats.org/officeDocument/2006/relationships/hyperlink" Target="https://pubmed.ncbi.nlm.nih.gov/31694927/" TargetMode="External"/><Relationship Id="rIdib0ihsavtzvtwgsdws5eq" Type="http://schemas.openxmlformats.org/officeDocument/2006/relationships/hyperlink" Target="https://pubmed.ncbi.nlm.nih.gov/31694927/" TargetMode="External"/><Relationship Id="rIdn9xl_lj3nk8drvobydfj3" Type="http://schemas.openxmlformats.org/officeDocument/2006/relationships/hyperlink" Target="https://pubmed.ncbi.nlm.nih.gov/31694927/" TargetMode="External"/><Relationship Id="rIddcqwlxlleurrpu9j26jmf" Type="http://schemas.openxmlformats.org/officeDocument/2006/relationships/hyperlink" Target="https://pubmed.ncbi.nlm.nih.gov/28893587/" TargetMode="External"/><Relationship Id="rId40vc_a0axdqdhazc81lth" Type="http://schemas.openxmlformats.org/officeDocument/2006/relationships/hyperlink" Target="https://pubmed.ncbi.nlm.nih.gov/28893587/" TargetMode="External"/><Relationship Id="rIdxw-sswk0dau1dbrrsbkrj" Type="http://schemas.openxmlformats.org/officeDocument/2006/relationships/hyperlink" Target="https://pubmed.ncbi.nlm.nih.gov/29730448/" TargetMode="External"/><Relationship Id="rIdvt_sxlmv28xxakzb1tq-x" Type="http://schemas.openxmlformats.org/officeDocument/2006/relationships/hyperlink" Target="https://pubmed.ncbi.nlm.nih.gov/29730448/" TargetMode="External"/><Relationship Id="rIdinllrlgk5nquhlycjekaq" Type="http://schemas.openxmlformats.org/officeDocument/2006/relationships/hyperlink" Target="https://pubmed.ncbi.nlm.nih.gov/28893587/" TargetMode="External"/><Relationship Id="rIdhmk3x3xw01pt4tipdfzph" Type="http://schemas.openxmlformats.org/officeDocument/2006/relationships/hyperlink" Target="https://pubmed.ncbi.nlm.nih.gov/29730448/" TargetMode="External"/><Relationship Id="rIdxepvyf98osylcpj9cgtx9" Type="http://schemas.openxmlformats.org/officeDocument/2006/relationships/hyperlink" Target="https://pubmed.ncbi.nlm.nih.gov/28893587/" TargetMode="External"/><Relationship Id="rIdh4u2yut9dk3eyww61tmhm" Type="http://schemas.openxmlformats.org/officeDocument/2006/relationships/hyperlink" Target="https://pubmed.ncbi.nlm.nih.gov/28893587/" TargetMode="External"/><Relationship Id="rIdpzyqyd6ai00pvumewngzs" Type="http://schemas.openxmlformats.org/officeDocument/2006/relationships/hyperlink" Target="https://pubmed.ncbi.nlm.nih.gov/11029269/" TargetMode="External"/><Relationship Id="rIdabz15w6s9iqaintktw_8i" Type="http://schemas.openxmlformats.org/officeDocument/2006/relationships/hyperlink" Target="https://pubmed.ncbi.nlm.nih.gov/11029269/" TargetMode="External"/><Relationship Id="rId_bnasnnjudj8pcknl9eph" Type="http://schemas.openxmlformats.org/officeDocument/2006/relationships/hyperlink" Target="https://pubmed.ncbi.nlm.nih.gov/11029269/" TargetMode="External"/><Relationship Id="rIdfwjdzmsufhudqboye61yv" Type="http://schemas.openxmlformats.org/officeDocument/2006/relationships/hyperlink" Target="https://pubmed.ncbi.nlm.nih.gov/11029269/" TargetMode="External"/><Relationship Id="rIdlyiynlilj5jslzxtsxzou" Type="http://schemas.openxmlformats.org/officeDocument/2006/relationships/hyperlink" Target="https://pubmed.ncbi.nlm.nih.gov/29730448/" TargetMode="External"/><Relationship Id="rIdwe7379jvfnik7borjcslo" Type="http://schemas.openxmlformats.org/officeDocument/2006/relationships/hyperlink" Target="https://pubmed.ncbi.nlm.nih.gov/29730448/" TargetMode="External"/><Relationship Id="rIdouaimryms7ecl-lzclgx6" Type="http://schemas.openxmlformats.org/officeDocument/2006/relationships/hyperlink" Target="https://pubmed.ncbi.nlm.nih.gov/31694927/" TargetMode="External"/><Relationship Id="rIdowecttauwsp5d7cpe00rt" Type="http://schemas.openxmlformats.org/officeDocument/2006/relationships/hyperlink" Target="https://pubmed.ncbi.nlm.nih.gov/31694927/" TargetMode="External"/><Relationship Id="rIdvmhg3qxhljpqfexcnlkwg" Type="http://schemas.openxmlformats.org/officeDocument/2006/relationships/hyperlink" Target="https://pubmed.ncbi.nlm.nih.gov/31694927/" TargetMode="External"/><Relationship Id="rIdqpigdb_2d0ywyfdlxpmqd" Type="http://schemas.openxmlformats.org/officeDocument/2006/relationships/hyperlink" Target="https://pubmed.ncbi.nlm.nih.gov/29730448/" TargetMode="External"/><Relationship Id="rId9qv9bx65q7uhawviynx57" Type="http://schemas.openxmlformats.org/officeDocument/2006/relationships/hyperlink" Target="https://pubmed.ncbi.nlm.nih.gov/29730448/" TargetMode="External"/><Relationship Id="rId701pyepdhqfehmwtwvxmi" Type="http://schemas.openxmlformats.org/officeDocument/2006/relationships/hyperlink" Target="https://pubmed.ncbi.nlm.nih.gov/29730448/" TargetMode="External"/><Relationship Id="rIdl1xkfgo1yin7agr-du1kh" Type="http://schemas.openxmlformats.org/officeDocument/2006/relationships/hyperlink" Target="https://pubmed.ncbi.nlm.nih.gov/29730448/" TargetMode="External"/><Relationship Id="rIdtvr17rd2khor_ytjyt1iv" Type="http://schemas.openxmlformats.org/officeDocument/2006/relationships/hyperlink" Target="https://pubmed.ncbi.nlm.nih.gov/32868897/" TargetMode="External"/><Relationship Id="rId1kravfepdtcnecqr9kx3b" Type="http://schemas.openxmlformats.org/officeDocument/2006/relationships/hyperlink" Target="https://pubmed.ncbi.nlm.nih.gov/32868897/" TargetMode="External"/><Relationship Id="rIdnw1iidsgfzs-0lvk5ul4c" Type="http://schemas.openxmlformats.org/officeDocument/2006/relationships/hyperlink" Target="https://pubmed.ncbi.nlm.nih.gov/32868897/" TargetMode="External"/><Relationship Id="rIdpoauh7gx2yeipgrhyysu_" Type="http://schemas.openxmlformats.org/officeDocument/2006/relationships/hyperlink" Target="https://pubmed.ncbi.nlm.nih.gov/11029269/" TargetMode="External"/><Relationship Id="rId-7ife9ec5ufebmxkgthgm" Type="http://schemas.openxmlformats.org/officeDocument/2006/relationships/hyperlink" Target="https://pubmed.ncbi.nlm.nih.gov/11029269/" TargetMode="External"/><Relationship Id="rIdc0bmv4gva9zs1iq5fpe3j" Type="http://schemas.openxmlformats.org/officeDocument/2006/relationships/hyperlink" Target="https://pubmed.ncbi.nlm.nih.gov/11029269/" TargetMode="External"/><Relationship Id="rIdtm953bunp1nrwn7s7n8ks" Type="http://schemas.openxmlformats.org/officeDocument/2006/relationships/hyperlink" Target="https://pubmed.ncbi.nlm.nih.gov/11029269/" TargetMode="External"/><Relationship Id="rIdvxf1rivyboujcyicrcyks" Type="http://schemas.openxmlformats.org/officeDocument/2006/relationships/hyperlink" Target="https://pubmed.ncbi.nlm.nih.gov/11029269/" TargetMode="External"/><Relationship Id="rIdlnsa_f_yj9dr8orqscc80" Type="http://schemas.openxmlformats.org/officeDocument/2006/relationships/hyperlink" Target="https://pubmed.ncbi.nlm.nih.gov/11029269/" TargetMode="External"/><Relationship Id="rIdogqcyutbyd9h-2u8j32ho" Type="http://schemas.openxmlformats.org/officeDocument/2006/relationships/hyperlink" Target="https://pubmed.ncbi.nlm.nih.gov/33666192/" TargetMode="External"/><Relationship Id="rIdqvjxyu8pws3bvqkbbc2al" Type="http://schemas.openxmlformats.org/officeDocument/2006/relationships/hyperlink" Target="https://pubmed.ncbi.nlm.nih.gov/18468556/" TargetMode="External"/><Relationship Id="rIdljhhnwnxz3jmxli2k7edy" Type="http://schemas.openxmlformats.org/officeDocument/2006/relationships/hyperlink" Target="https://pubmed.ncbi.nlm.nih.gov/18468556/" TargetMode="External"/><Relationship Id="rId8_k0ueimahdqsl71n1hx3" Type="http://schemas.openxmlformats.org/officeDocument/2006/relationships/hyperlink" Target="https://pubmed.ncbi.nlm.nih.gov/18468556/" TargetMode="External"/><Relationship Id="rIdktkzfugg5xraqej09tsdi" Type="http://schemas.openxmlformats.org/officeDocument/2006/relationships/hyperlink" Target="https://pubmed.ncbi.nlm.nih.gov/18468556/" TargetMode="External"/><Relationship Id="rIdqns0qhu8wi32mhar0azph" Type="http://schemas.openxmlformats.org/officeDocument/2006/relationships/hyperlink" Target="https://pubmed.ncbi.nlm.nih.gov/28422076/" TargetMode="External"/><Relationship Id="rIdsfzegcybl6jqnltkcrqqk" Type="http://schemas.openxmlformats.org/officeDocument/2006/relationships/hyperlink" Target="https://pubmed.ncbi.nlm.nih.gov/29730448/" TargetMode="External"/><Relationship Id="rIdpcqdl-quz46_rteo7gwgg" Type="http://schemas.openxmlformats.org/officeDocument/2006/relationships/hyperlink" Target="https://pubmed.ncbi.nlm.nih.gov/29730448/" TargetMode="External"/><Relationship Id="rIdoauouqhvqnw8dtfsjcrmx" Type="http://schemas.openxmlformats.org/officeDocument/2006/relationships/hyperlink" Target="https://pubmed.ncbi.nlm.nih.gov/29730448/" TargetMode="External"/><Relationship Id="rId0ji8kjkcdfyxnqi1b9twb" Type="http://schemas.openxmlformats.org/officeDocument/2006/relationships/hyperlink" Target="https://pubmed.ncbi.nlm.nih.gov/29730448/" TargetMode="External"/><Relationship Id="rIdtdgth551huyo-pnqnwshj" Type="http://schemas.openxmlformats.org/officeDocument/2006/relationships/hyperlink" Target="https://pubmed.ncbi.nlm.nih.gov/29730448/" TargetMode="External"/><Relationship Id="rIdvugbvmsmldngzfvftkv4h" Type="http://schemas.openxmlformats.org/officeDocument/2006/relationships/hyperlink" Target="https://pubmed.ncbi.nlm.nih.gov/29730448/" TargetMode="External"/><Relationship Id="rIdow1wfqvtpbbgwpshy9cdr" Type="http://schemas.openxmlformats.org/officeDocument/2006/relationships/hyperlink" Target="https://pubmed.ncbi.nlm.nih.gov/28893587/" TargetMode="External"/><Relationship Id="rIdgw4tyvwnuogswy0pt6qjy" Type="http://schemas.openxmlformats.org/officeDocument/2006/relationships/hyperlink" Target="https://pubmed.ncbi.nlm.nih.gov/28893587/" TargetMode="External"/><Relationship Id="rId5y7urlwtk9ejugtgndj3h" Type="http://schemas.openxmlformats.org/officeDocument/2006/relationships/hyperlink" Target="https://pubmed.ncbi.nlm.nih.gov/28893587/" TargetMode="External"/><Relationship Id="rId4ljaaaxx7vnpqy3th_d2p" Type="http://schemas.openxmlformats.org/officeDocument/2006/relationships/hyperlink" Target="https://pubmed.ncbi.nlm.nih.gov/28893587/" TargetMode="External"/><Relationship Id="rIdh8tgcbjfvwgmnahjiqxcj" Type="http://schemas.openxmlformats.org/officeDocument/2006/relationships/hyperlink" Target="https://pubmed.ncbi.nlm.nih.gov/28893587/" TargetMode="External"/><Relationship Id="rIdv2wkx_rlvvs0wqtcb11ra" Type="http://schemas.openxmlformats.org/officeDocument/2006/relationships/hyperlink" Target="https://pubmed.ncbi.nlm.nih.gov/28893587/" TargetMode="External"/><Relationship Id="rIdnddjucnbafycyyy79iav7" Type="http://schemas.openxmlformats.org/officeDocument/2006/relationships/hyperlink" Target="https://pubmed.ncbi.nlm.nih.gov/35148401/" TargetMode="External"/><Relationship Id="rId8rvwyfeydm-eziq-zyq2y" Type="http://schemas.openxmlformats.org/officeDocument/2006/relationships/hyperlink" Target="https://pubmed.ncbi.nlm.nih.gov/28903488/" TargetMode="External"/><Relationship Id="rIdxqfew6bkobmknb8wplefz" Type="http://schemas.openxmlformats.org/officeDocument/2006/relationships/hyperlink" Target="https://pubmed.ncbi.nlm.nih.gov/30726989/" TargetMode="External"/><Relationship Id="rIddnrwwytpupandynz_u4cx" Type="http://schemas.openxmlformats.org/officeDocument/2006/relationships/hyperlink" Target="https://pubmed.ncbi.nlm.nih.gov/30726989/" TargetMode="External"/><Relationship Id="rIdsluwoi-s2rh25jqv1gr6n" Type="http://schemas.openxmlformats.org/officeDocument/2006/relationships/hyperlink" Target="https://pubmed.ncbi.nlm.nih.gov/35148401/" TargetMode="External"/><Relationship Id="rIdtvv3tp_nac5wqzmwwrw2n" Type="http://schemas.openxmlformats.org/officeDocument/2006/relationships/hyperlink" Target="https://pubmed.ncbi.nlm.nih.gov/28903488/" TargetMode="External"/><Relationship Id="rIdxpyn3wbnrv1rzrlatjjbw" Type="http://schemas.openxmlformats.org/officeDocument/2006/relationships/hyperlink" Target="https://pubmed.ncbi.nlm.nih.gov/35148401/" TargetMode="External"/><Relationship Id="rIdzms9bbfzd505l9ytrpsuf" Type="http://schemas.openxmlformats.org/officeDocument/2006/relationships/hyperlink" Target="https://pubmed.ncbi.nlm.nih.gov/30726989/" TargetMode="External"/><Relationship Id="rId5ixjgq04sblkawvnblihl" Type="http://schemas.openxmlformats.org/officeDocument/2006/relationships/hyperlink" Target="https://pubmed.ncbi.nlm.nih.gov/30726989/" TargetMode="External"/><Relationship Id="rId4oemebmlhhlcg2syrqi_v" Type="http://schemas.openxmlformats.org/officeDocument/2006/relationships/hyperlink" Target="https://pubmed.ncbi.nlm.nih.gov/35148401/" TargetMode="External"/><Relationship Id="rIdo5m9ajrelukyu_bca-pzq" Type="http://schemas.openxmlformats.org/officeDocument/2006/relationships/hyperlink" Target="https://pubmed.ncbi.nlm.nih.gov/38852684/" TargetMode="External"/><Relationship Id="rIdz_j2gfh0dd6sz4vs0ka3e" Type="http://schemas.openxmlformats.org/officeDocument/2006/relationships/hyperlink" Target="https://pubmed.ncbi.nlm.nih.gov/35148401/" TargetMode="External"/><Relationship Id="rIdt2irgkvk7_sqmn5hwmd9j" Type="http://schemas.openxmlformats.org/officeDocument/2006/relationships/hyperlink" Target="https://pubmed.ncbi.nlm.nih.gov/35148401/" TargetMode="External"/><Relationship Id="rIda4jowv2ocf8otawt1ii2q" Type="http://schemas.openxmlformats.org/officeDocument/2006/relationships/hyperlink" Target="https://pubmed.ncbi.nlm.nih.gov/30726989/" TargetMode="External"/><Relationship Id="rIdqsrlg477xfx8hvadfq6pj" Type="http://schemas.openxmlformats.org/officeDocument/2006/relationships/hyperlink" Target="https://pubmed.ncbi.nlm.nih.gov/30726989/" TargetMode="External"/><Relationship Id="rIdcw-2hazerqwun5bl1utdc" Type="http://schemas.openxmlformats.org/officeDocument/2006/relationships/hyperlink" Target="https://pubmed.ncbi.nlm.nih.gov/35148401/" TargetMode="External"/><Relationship Id="rIdalvrmtqznd3hllofuq2br" Type="http://schemas.openxmlformats.org/officeDocument/2006/relationships/hyperlink" Target="https://pubmed.ncbi.nlm.nih.gov/30726989/" TargetMode="External"/><Relationship Id="rIdd5fl9gbrtwiwgalekz_x1" Type="http://schemas.openxmlformats.org/officeDocument/2006/relationships/hyperlink" Target="https://pubmed.ncbi.nlm.nih.gov/35148401/" TargetMode="External"/><Relationship Id="rIdo5hea1ce3r8sawqg-db3g" Type="http://schemas.openxmlformats.org/officeDocument/2006/relationships/hyperlink" Target="https://pubmed.ncbi.nlm.nih.gov/33813006/" TargetMode="External"/><Relationship Id="rIduwxwbqr6bik3aseb4txx1" Type="http://schemas.openxmlformats.org/officeDocument/2006/relationships/hyperlink" Target="https://pubmed.ncbi.nlm.nih.gov/33813006/" TargetMode="External"/><Relationship Id="rIdugz7fckjdirn1qmid4oj1" Type="http://schemas.openxmlformats.org/officeDocument/2006/relationships/hyperlink" Target="https://pubmed.ncbi.nlm.nih.gov/33813006/" TargetMode="External"/><Relationship Id="rIdwnddso3mosc_feeii24qn" Type="http://schemas.openxmlformats.org/officeDocument/2006/relationships/hyperlink" Target="https://pubmed.ncbi.nlm.nih.gov/33813006/" TargetMode="External"/><Relationship Id="rIdouudwhzl-qhoruuqufmto" Type="http://schemas.openxmlformats.org/officeDocument/2006/relationships/hyperlink" Target="https://pubmed.ncbi.nlm.nih.gov/35148401/" TargetMode="External"/><Relationship Id="rIdw3_d3p8zcyoxvz7-zexiu" Type="http://schemas.openxmlformats.org/officeDocument/2006/relationships/hyperlink" Target="https://pubmed.ncbi.nlm.nih.gov/35148401/" TargetMode="External"/><Relationship Id="rIdinndghvq3muuz-unx_qh_" Type="http://schemas.openxmlformats.org/officeDocument/2006/relationships/hyperlink" Target="https://pubmed.ncbi.nlm.nih.gov/35148401/" TargetMode="External"/><Relationship Id="rIdltwurw9ato7djbps9ym5x" Type="http://schemas.openxmlformats.org/officeDocument/2006/relationships/hyperlink" Target="https://pubmed.ncbi.nlm.nih.gov/35148401/" TargetMode="External"/><Relationship Id="rIdtv33fxd48-6d9ncoitaxl" Type="http://schemas.openxmlformats.org/officeDocument/2006/relationships/hyperlink" Target="https://pubmed.ncbi.nlm.nih.gov/35148401/" TargetMode="External"/><Relationship Id="rIdpay2kebexlfn4rb7gyotl" Type="http://schemas.openxmlformats.org/officeDocument/2006/relationships/hyperlink" Target="https://pubmed.ncbi.nlm.nih.gov/35148401/" TargetMode="External"/><Relationship Id="rId7sgwbkyhluscpzgdbhrpi" Type="http://schemas.openxmlformats.org/officeDocument/2006/relationships/hyperlink" Target="https://pubmed.ncbi.nlm.nih.gov/35148401/" TargetMode="External"/><Relationship Id="rIdh5-k7j1nwiuxuibsreeza" Type="http://schemas.openxmlformats.org/officeDocument/2006/relationships/hyperlink" Target="https://pubmed.ncbi.nlm.nih.gov/35148401/" TargetMode="External"/><Relationship Id="rIdcofgxvb4qly0ryfxfd-cs" Type="http://schemas.openxmlformats.org/officeDocument/2006/relationships/hyperlink" Target="https://pubmed.ncbi.nlm.nih.gov/35148401/" TargetMode="External"/><Relationship Id="rId80ttmtmfevg-saum8r7ch" Type="http://schemas.openxmlformats.org/officeDocument/2006/relationships/hyperlink" Target="https://pubmed.ncbi.nlm.nih.gov/35148401/" TargetMode="External"/><Relationship Id="rId5wb-kpi9cga-oahql2ujp" Type="http://schemas.openxmlformats.org/officeDocument/2006/relationships/hyperlink" Target="https://pubmed.ncbi.nlm.nih.gov/33813006/" TargetMode="External"/><Relationship Id="rIdfisdegducnfddnkr6qpsl" Type="http://schemas.openxmlformats.org/officeDocument/2006/relationships/hyperlink" Target="https://pubmed.ncbi.nlm.nih.gov/33813006/" TargetMode="External"/><Relationship Id="rId-4hz-z1hojcnjhrlhf1un" Type="http://schemas.openxmlformats.org/officeDocument/2006/relationships/hyperlink" Target="https://pubmed.ncbi.nlm.nih.gov/33813006/" TargetMode="External"/><Relationship Id="rIdaylkyibhe7p90skyihwrw" Type="http://schemas.openxmlformats.org/officeDocument/2006/relationships/hyperlink" Target="https://pubmed.ncbi.nlm.nih.gov/33813006/" TargetMode="External"/><Relationship Id="rId2dwfe9blloqbz9jyneane" Type="http://schemas.openxmlformats.org/officeDocument/2006/relationships/hyperlink" Target="https://pubmed.ncbi.nlm.nih.gov/23401516/" TargetMode="External"/><Relationship Id="rIdbci-fea01auxpgs6tk5nb" Type="http://schemas.openxmlformats.org/officeDocument/2006/relationships/hyperlink" Target="https://pubmed.ncbi.nlm.nih.gov/25092317/" TargetMode="External"/><Relationship Id="rIdqsq-9jvift-qm88cuxozs" Type="http://schemas.openxmlformats.org/officeDocument/2006/relationships/hyperlink" Target="https://pubmed.ncbi.nlm.nih.gov/28335819/" TargetMode="External"/><Relationship Id="rId_wkj_yoa8prc78dbsp2y3" Type="http://schemas.openxmlformats.org/officeDocument/2006/relationships/hyperlink" Target="https://pubmed.ncbi.nlm.nih.gov/23401516/" TargetMode="External"/><Relationship Id="rIdwm4rodxor6ka9xhvrovef" Type="http://schemas.openxmlformats.org/officeDocument/2006/relationships/hyperlink" Target="https://pubmed.ncbi.nlm.nih.gov/25092317/" TargetMode="External"/><Relationship Id="rIdgsmn-pxbyu3ggubravdgt" Type="http://schemas.openxmlformats.org/officeDocument/2006/relationships/hyperlink" Target="https://pubmed.ncbi.nlm.nih.gov/25092317/" TargetMode="External"/><Relationship Id="rIdivjtpzwvbppjln8mfdnms" Type="http://schemas.openxmlformats.org/officeDocument/2006/relationships/hyperlink" Target="https://pubmed.ncbi.nlm.nih.gov/25092317/" TargetMode="External"/><Relationship Id="rIdz92d6ztvyxjuzga1kht9-" Type="http://schemas.openxmlformats.org/officeDocument/2006/relationships/hyperlink" Target="https://pubmed.ncbi.nlm.nih.gov/28335819/" TargetMode="External"/><Relationship Id="rIdrg6vdjyxb8cgsblqclaru" Type="http://schemas.openxmlformats.org/officeDocument/2006/relationships/hyperlink" Target="https://pubmed.ncbi.nlm.nih.gov/40849367/" TargetMode="External"/><Relationship Id="rIdjeburhiexecyhyrgiasaf" Type="http://schemas.openxmlformats.org/officeDocument/2006/relationships/hyperlink" Target="https://pubmed.ncbi.nlm.nih.gov/38867022/" TargetMode="External"/><Relationship Id="rIdjq5_ewoafxzo9lfc-gn5t" Type="http://schemas.openxmlformats.org/officeDocument/2006/relationships/hyperlink" Target="https://pubmed.ncbi.nlm.nih.gov/32127577/" TargetMode="External"/><Relationship Id="rIdznjglthp52udhzroaw054" Type="http://schemas.openxmlformats.org/officeDocument/2006/relationships/hyperlink" Target="https://pubmed.ncbi.nlm.nih.gov/32127577/" TargetMode="External"/><Relationship Id="rId6m7km6wd9x3uhinzfx97s" Type="http://schemas.openxmlformats.org/officeDocument/2006/relationships/hyperlink" Target="https://pubmed.ncbi.nlm.nih.gov/34127759/" TargetMode="External"/><Relationship Id="rIdnsbduahgbytd1x6cfuria" Type="http://schemas.openxmlformats.org/officeDocument/2006/relationships/hyperlink" Target="https://pubmed.ncbi.nlm.nih.gov/28335819/" TargetMode="External"/><Relationship Id="rIdzefmgdmwjusqqychajh4d" Type="http://schemas.openxmlformats.org/officeDocument/2006/relationships/hyperlink" Target="https://pubmed.ncbi.nlm.nih.gov/32127577/" TargetMode="External"/><Relationship Id="rIdlsovt_luzbpg66tu7h2jj" Type="http://schemas.openxmlformats.org/officeDocument/2006/relationships/hyperlink" Target="https://pubmed.ncbi.nlm.nih.gov/32127577/" TargetMode="External"/><Relationship Id="rIdyzhubayxvi5ruqazizce5" Type="http://schemas.openxmlformats.org/officeDocument/2006/relationships/hyperlink" Target="https://pubmed.ncbi.nlm.nih.gov/40558535/" TargetMode="External"/><Relationship Id="rIdfirf6qpldnrd7pagyjkpx" Type="http://schemas.openxmlformats.org/officeDocument/2006/relationships/hyperlink" Target="https://pubmed.ncbi.nlm.nih.gov/32127577/" TargetMode="External"/><Relationship Id="rIdqbizs-l48etvzg4cpincf" Type="http://schemas.openxmlformats.org/officeDocument/2006/relationships/hyperlink" Target="https://pubmed.ncbi.nlm.nih.gov/32127577/" TargetMode="External"/><Relationship Id="rIdbypkvvbr1laam76e3drn5" Type="http://schemas.openxmlformats.org/officeDocument/2006/relationships/hyperlink" Target="https://pubmed.ncbi.nlm.nih.gov/32127577/" TargetMode="External"/><Relationship Id="rIdov-sn2uoviljh5jfr5p9q" Type="http://schemas.openxmlformats.org/officeDocument/2006/relationships/hyperlink" Target="https://pubmed.ncbi.nlm.nih.gov/32127577/" TargetMode="External"/><Relationship Id="rIds_zibgz2xl82dw47g6_ew" Type="http://schemas.openxmlformats.org/officeDocument/2006/relationships/hyperlink" Target="https://pubmed.ncbi.nlm.nih.gov/40558535/" TargetMode="External"/><Relationship Id="rId-krf9cpjqdh4kwudmouwi" Type="http://schemas.openxmlformats.org/officeDocument/2006/relationships/hyperlink" Target="https://pubmed.ncbi.nlm.nih.gov/32127577/" TargetMode="External"/><Relationship Id="rIdll7lixizdinwpnwg08die" Type="http://schemas.openxmlformats.org/officeDocument/2006/relationships/hyperlink" Target="https://pubmed.ncbi.nlm.nih.gov/32127577/" TargetMode="External"/><Relationship Id="rIdsemt_0agrn_mhvq7uci4r" Type="http://schemas.openxmlformats.org/officeDocument/2006/relationships/hyperlink" Target="https://pubmed.ncbi.nlm.nih.gov/40558535/" TargetMode="External"/><Relationship Id="rIdmwpfcbioz-jscpdwqtvx-" Type="http://schemas.openxmlformats.org/officeDocument/2006/relationships/hyperlink" Target="https://pubmed.ncbi.nlm.nih.gov/23503654/" TargetMode="External"/><Relationship Id="rId0y9fatrmukbuftm9zo1ym" Type="http://schemas.openxmlformats.org/officeDocument/2006/relationships/hyperlink" Target="https://pubmed.ncbi.nlm.nih.gov/36883244/" TargetMode="External"/><Relationship Id="rIdrscouj_z617inwpmolbvp" Type="http://schemas.openxmlformats.org/officeDocument/2006/relationships/hyperlink" Target="https://pubmed.ncbi.nlm.nih.gov/36883244/" TargetMode="External"/><Relationship Id="rIdn6wlqrfu6lv00dqbggg-7" Type="http://schemas.openxmlformats.org/officeDocument/2006/relationships/hyperlink" Target="https://pubmed.ncbi.nlm.nih.gov/36730203/" TargetMode="External"/><Relationship Id="rId_lkbnc99u9sogdctj8cxj" Type="http://schemas.openxmlformats.org/officeDocument/2006/relationships/hyperlink" Target="https://pubmed.ncbi.nlm.nih.gov/36730203/" TargetMode="External"/><Relationship Id="rIdyprvoilcompx1nx1ir4zv" Type="http://schemas.openxmlformats.org/officeDocument/2006/relationships/hyperlink" Target="https://pubmed.ncbi.nlm.nih.gov/36730203/" TargetMode="External"/><Relationship Id="rIdt_qb-3d5lmb8jrbck32wz" Type="http://schemas.openxmlformats.org/officeDocument/2006/relationships/hyperlink" Target="https://pubmed.ncbi.nlm.nih.gov/36730203/" TargetMode="External"/><Relationship Id="rIds3oqprhqlxtlulvtxrdog" Type="http://schemas.openxmlformats.org/officeDocument/2006/relationships/hyperlink" Target="https://pubmed.ncbi.nlm.nih.gov/36730203/" TargetMode="External"/><Relationship Id="rIdenyed-jp_sf6rvppachlk" Type="http://schemas.openxmlformats.org/officeDocument/2006/relationships/hyperlink" Target="https://pubmed.ncbi.nlm.nih.gov/36730203/" TargetMode="External"/><Relationship Id="rId4qqh5zq9te4o_3tr7skyg" Type="http://schemas.openxmlformats.org/officeDocument/2006/relationships/hyperlink" Target="https://pubmed.ncbi.nlm.nih.gov/36730203/" TargetMode="External"/><Relationship Id="rIdo5hljjvvswwat46dk3awg" Type="http://schemas.openxmlformats.org/officeDocument/2006/relationships/hyperlink" Target="https://pubmed.ncbi.nlm.nih.gov/36730203/" TargetMode="External"/><Relationship Id="rIdhvueeaiyiwizdscjf745g" Type="http://schemas.openxmlformats.org/officeDocument/2006/relationships/hyperlink" Target="https://pubmed.ncbi.nlm.nih.gov/34127759/" TargetMode="External"/><Relationship Id="rIdyk59zkcjljikjyuzfrxx8" Type="http://schemas.openxmlformats.org/officeDocument/2006/relationships/hyperlink" Target="https://pubmed.ncbi.nlm.nih.gov/34127759/" TargetMode="External"/><Relationship Id="rIdo2bl3onyvmpklk40kc2nv" Type="http://schemas.openxmlformats.org/officeDocument/2006/relationships/hyperlink" Target="https://pubmed.ncbi.nlm.nih.gov/34127759/" TargetMode="External"/><Relationship Id="rId8ao3zuszboe8ohswhspbx" Type="http://schemas.openxmlformats.org/officeDocument/2006/relationships/hyperlink" Target="https://pubmed.ncbi.nlm.nih.gov/34127759/" TargetMode="External"/><Relationship Id="rId81ov8uxdmxioiujkhnyh-" Type="http://schemas.openxmlformats.org/officeDocument/2006/relationships/hyperlink" Target="https://pubmed.ncbi.nlm.nih.gov/34127759/" TargetMode="External"/><Relationship Id="rIdbfbb4pmsd67mn5shws9kc" Type="http://schemas.openxmlformats.org/officeDocument/2006/relationships/hyperlink" Target="https://pubmed.ncbi.nlm.nih.gov/34127759/" TargetMode="External"/><Relationship Id="rId5k1utmplfqobjpj9a1q72" Type="http://schemas.openxmlformats.org/officeDocument/2006/relationships/hyperlink" Target="https://pubmed.ncbi.nlm.nih.gov/32127577/" TargetMode="External"/><Relationship Id="rId-nxeezydvrwqat-eqedvn" Type="http://schemas.openxmlformats.org/officeDocument/2006/relationships/hyperlink" Target="https://pubmed.ncbi.nlm.nih.gov/32127577/" TargetMode="External"/><Relationship Id="rIda8r4bh3dll-sp9bkpzkzn" Type="http://schemas.openxmlformats.org/officeDocument/2006/relationships/hyperlink" Target="https://pubmed.ncbi.nlm.nih.gov/32127577/" TargetMode="External"/><Relationship Id="rIdwjfmb4brve_8jy3szoksh" Type="http://schemas.openxmlformats.org/officeDocument/2006/relationships/hyperlink" Target="https://pubmed.ncbi.nlm.nih.gov/32127577/" TargetMode="External"/><Relationship Id="rId7ke84mycar0m3j90bdco9" Type="http://schemas.openxmlformats.org/officeDocument/2006/relationships/hyperlink" Target="https://pubmed.ncbi.nlm.nih.gov/34127759/" TargetMode="External"/><Relationship Id="rId6vkhjeowsb9whjy-itnlc" Type="http://schemas.openxmlformats.org/officeDocument/2006/relationships/hyperlink" Target="https://pubmed.ncbi.nlm.nih.gov/34127759/" TargetMode="External"/><Relationship Id="rIdqg74zesevpw8p9v6hj7cb" Type="http://schemas.openxmlformats.org/officeDocument/2006/relationships/hyperlink" Target="https://pubmed.ncbi.nlm.nih.gov/34127759/" TargetMode="External"/><Relationship Id="rIduc4hcfjgs4e46lcupjopv" Type="http://schemas.openxmlformats.org/officeDocument/2006/relationships/hyperlink" Target="https://pubmed.ncbi.nlm.nih.gov/34127759/" TargetMode="External"/><Relationship Id="rIdytd0y29qumlhkl3mx_t1p" Type="http://schemas.openxmlformats.org/officeDocument/2006/relationships/hyperlink" Target="https://pubmed.ncbi.nlm.nih.gov/34127759/" TargetMode="External"/><Relationship Id="rIdxtzsqjzjkiqjk7kxaj_hb" Type="http://schemas.openxmlformats.org/officeDocument/2006/relationships/hyperlink" Target="https://pubmed.ncbi.nlm.nih.gov/34127759/" TargetMode="External"/><Relationship Id="rIdglglgto-ih970l2zeos0g" Type="http://schemas.openxmlformats.org/officeDocument/2006/relationships/hyperlink" Target="https://pubmed.ncbi.nlm.nih.gov/42245789/" TargetMode="External"/><Relationship Id="rId6oyjae19qjzbl44jwwe4t" Type="http://schemas.openxmlformats.org/officeDocument/2006/relationships/hyperlink" Target="https://pubmed.ncbi.nlm.nih.gov/42245789/" TargetMode="External"/><Relationship Id="rIdgkozwj8t_ht8szsorjmvn" Type="http://schemas.openxmlformats.org/officeDocument/2006/relationships/hyperlink" Target="https://pubmed.ncbi.nlm.nih.gov/42245789/" TargetMode="External"/><Relationship Id="rIddpgadczmmey4obw1jle5t" Type="http://schemas.openxmlformats.org/officeDocument/2006/relationships/hyperlink" Target="https://pubmed.ncbi.nlm.nih.gov/42245789/" TargetMode="External"/><Relationship Id="rId760_h7t8ox41egp6ucw-w" Type="http://schemas.openxmlformats.org/officeDocument/2006/relationships/hyperlink" Target="https://pubmed.ncbi.nlm.nih.gov/42245789/" TargetMode="External"/><Relationship Id="rIddlhbez0ctlxnzhr_xsvhw" Type="http://schemas.openxmlformats.org/officeDocument/2006/relationships/hyperlink" Target="https://pubmed.ncbi.nlm.nih.gov/42245789/" TargetMode="External"/><Relationship Id="rId20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2026-08-23T04:55:07.793Z</dcterms:created>
  <dcterms:modified xsi:type="dcterms:W3CDTF">2026-08-23T04:55:07.795Z</dcterms:modified>
</cp:coreProperties>
</file>

<file path=docProps/custom.xml><?xml version="1.0" encoding="utf-8"?>
<Properties xmlns="http://schemas.openxmlformats.org/officeDocument/2006/custom-properties" xmlns:vt="http://schemas.openxmlformats.org/officeDocument/2006/docPropsVTypes"/>
</file>