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0_fl4g2tttuf06suckmyg">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8 studies</w:t>
            </w:r>
          </w:p>
          <w:p>
            <w:pPr>
              <w:spacing w:after="0"/>
            </w:pPr>
            <w:r>
              <w:rPr>
                <w:rFonts w:ascii="Calibri" w:cs="Calibri" w:eastAsia="Calibri" w:hAnsi="Calibri"/>
                <w:color w:val="666666"/>
                <w:sz w:val="16"/>
                <w:szCs w:val="16"/>
              </w:rPr>
              <w:t xml:space="preserve">4 partly supports</w:t>
            </w:r>
          </w:p>
          <w:p>
            <w:pPr>
              <w:spacing w:after="0"/>
            </w:pPr>
            <w:r>
              <w:rPr>
                <w:rFonts w:ascii="Calibri" w:cs="Calibri" w:eastAsia="Calibri" w:hAnsi="Calibri"/>
                <w:color w:val="666666"/>
                <w:sz w:val="16"/>
                <w:szCs w:val="16"/>
              </w:rPr>
              <w:t xml:space="preserve">4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efficacy studies frequently report positive effects in animals but these often fail to predict human benefit. O'Collins et al. 2006 found 62% of focal‑ischemia experimental results were superior to control and Ritskes‑Hoitinga et al. 2022 found 82% of preclinical studies in investigator brochures reported positive findings, yet Mak et al. 2014 estimated &lt;8% average translation from animal cancer models to successful clinical trials and Martić‑Kehl et al. 2012 identified only 3 of 494 animal‑positive stroke interventions with convincing patient benefit. Some areas show successful translation (e.g., three alcohol medications; concordant DKD effects for ACEi/ARB, SGLT2 inhibitors and GLP‑1RAs) and dose‑range overlap can be high (Ferreira et al. 2023 reported 84% HED overlap), but overall results are variable and context‑dependent.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translation rates vary widely across therapeutic areas, study quality and reporting practices; Ritskes‑Hoitinga et al. 2022 explicitly reported translation rates ranging 0–100%, reflecting heterogeneity in indication, design, and selective/publication bias.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3–70%</w:t>
            </w:r>
            <w:r>
              <w:rPr>
                <w:rFonts w:ascii="Calibri" w:cs="Calibri" w:eastAsia="Calibri" w:hAnsi="Calibri"/>
                <w:sz w:val="18"/>
                <w:szCs w:val="18"/>
              </w:rPr>
              <w:t xml:space="preserve">  proportion — neuroprotective efficacy in global ischemia models (superior to control) (</w:t>
            </w:r>
            <w:hyperlink w:history="1" r:id="rIdhvds-ge1ls6sp4m0trylb">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4–62%</w:t>
            </w:r>
            <w:r>
              <w:rPr>
                <w:rFonts w:ascii="Calibri" w:cs="Calibri" w:eastAsia="Calibri" w:hAnsi="Calibri"/>
                <w:sz w:val="18"/>
                <w:szCs w:val="18"/>
              </w:rPr>
              <w:t xml:space="preserve">  proportion — neuroprotective efficacy in focal ischemia experimental results (superior to control) (</w:t>
            </w:r>
            <w:hyperlink w:history="1" r:id="rId4uq5w7xf6i90yg1o74nyi">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average overlap — overlap between preclinical and clinical pharmacologically active dose ranges (HED) (</w:t>
            </w:r>
            <w:hyperlink w:history="1" r:id="rIdxoa3pekdhjbp_wbr3g4i3">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32–52%</w:t>
            </w:r>
            <w:r>
              <w:rPr>
                <w:rFonts w:ascii="Calibri" w:cs="Calibri" w:eastAsia="Calibri" w:hAnsi="Calibri"/>
                <w:sz w:val="18"/>
                <w:szCs w:val="18"/>
              </w:rPr>
              <w:t xml:space="preserve">  proportion, n=25 studies — clinical studies reporting well-tolerated doses above NOAEL (Cmax) (</w:t>
            </w:r>
            <w:hyperlink w:history="1" r:id="rIdqvvtew9vszsyf_xegiaxc">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16%</w:t>
            </w:r>
            <w:r>
              <w:rPr>
                <w:rFonts w:ascii="Calibri" w:cs="Calibri" w:eastAsia="Calibri" w:hAnsi="Calibri"/>
                <w:sz w:val="18"/>
                <w:szCs w:val="18"/>
              </w:rPr>
              <w:t xml:space="preserve">  proportion — clinical studies reporting unacceptable side effects at values below NOAEL (Cmax) (</w:t>
            </w:r>
            <w:hyperlink w:history="1" r:id="rIdoh00zo0wn0utpgtv8gzeh">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60–83%</w:t>
            </w:r>
            <w:r>
              <w:rPr>
                <w:rFonts w:ascii="Calibri" w:cs="Calibri" w:eastAsia="Calibri" w:hAnsi="Calibri"/>
                <w:sz w:val="18"/>
                <w:szCs w:val="18"/>
              </w:rPr>
              <w:t xml:space="preserve">  proportion, n=25 studies — overlap of preclinical and clinical pharmacologically active dose ranges (HED) &gt;= 80% (</w:t>
            </w:r>
            <w:hyperlink w:history="1" r:id="rIdamfunwbf1vwztieekndog">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included only 25 IBs, which were selected based on specific criteria (e.g., statistically significant CNS activity, reported dose ranges for tolerability and pharmacological activity). This selection process might introduce bias and limit the generalizability of the findings.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primate efficacy findings translated to humans (Perel et al. 2007 report thrombolysis reduced infarct volume in animal models by 24% and improved neurobehavioural scores by 23%; Banks et al. 2017 and Spanagel 2017 report concordant results for d‑amphetamine and three alcohol medications), while other primate-positive interventions failed in patients (Perel et al. 2007 and Pound et al. 2018 note corticosteroids and tirilazad showed animal benefit but no clinical benefit). Quantitatively, failures can be large: Martić‑Kehl et al. 2012 found only 3 of 494 animal‑positive stroke interventions produced convincing patient benefit and report 100% prediction failure for chimpanzee/macaque AIDS vaccine models. Pharmacokinetic/dose comparisons give a more positive picture for exposure prediction (Ferreira et al. 2023 found mean HED overlap 84% and 72% of studies had ≥80% HED overlap), but Ferreira also reports that 36% of clinical studies exceeded the animal NOAEL for HED and 16% had unacceptable side effects below the NOAEL, and Pound et al. 2018 found &lt;7% of studies met ethical permissibility criteria.</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performance varies by outcome type and intervention class (e.g., thrombolysis and some addiction treatments vs vaccines and corticosteroids/Tirilazad), by endpoint (pathology vs behaviour vs vaccine protection vs PK/exposure metrics), and by study selection: Ferreira et al. 2023 analysed a small, selected set of 25 IBs, which may inflate apparent dose‑overlap concordance.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average overlap — overlap between preclinical and clinical pharmacologically active dose ranges (HED) (</w:t>
            </w:r>
            <w:hyperlink w:history="1" r:id="rIdah-nchf8dzlyfvgdiubnj">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32–52%</w:t>
            </w:r>
            <w:r>
              <w:rPr>
                <w:rFonts w:ascii="Calibri" w:cs="Calibri" w:eastAsia="Calibri" w:hAnsi="Calibri"/>
                <w:sz w:val="18"/>
                <w:szCs w:val="18"/>
              </w:rPr>
              <w:t xml:space="preserve">  proportion, n=25 studies — clinical studies reporting well-tolerated doses above NOAEL (Cmax) (</w:t>
            </w:r>
            <w:hyperlink w:history="1" r:id="rIdscagsfyk95_o-31qjzqkp">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16%</w:t>
            </w:r>
            <w:r>
              <w:rPr>
                <w:rFonts w:ascii="Calibri" w:cs="Calibri" w:eastAsia="Calibri" w:hAnsi="Calibri"/>
                <w:sz w:val="18"/>
                <w:szCs w:val="18"/>
              </w:rPr>
              <w:t xml:space="preserve">  proportion — clinical studies reporting unacceptable side effects at values below NOAEL (Cmax) (</w:t>
            </w:r>
            <w:hyperlink w:history="1" r:id="rIdt-4we7a1vj59vqb1takxp">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60–83%</w:t>
            </w:r>
            <w:r>
              <w:rPr>
                <w:rFonts w:ascii="Calibri" w:cs="Calibri" w:eastAsia="Calibri" w:hAnsi="Calibri"/>
                <w:sz w:val="18"/>
                <w:szCs w:val="18"/>
              </w:rPr>
              <w:t xml:space="preserve">  proportion, n=25 studies — overlap of preclinical and clinical pharmacologically active dose ranges (HED) &gt;= 80% (</w:t>
            </w:r>
            <w:hyperlink w:history="1" r:id="rIdahnxnbhwm-sg3ecqvijmh">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8–28%</w:t>
            </w:r>
            <w:r>
              <w:rPr>
                <w:rFonts w:ascii="Calibri" w:cs="Calibri" w:eastAsia="Calibri" w:hAnsi="Calibri"/>
                <w:sz w:val="18"/>
                <w:szCs w:val="18"/>
              </w:rPr>
              <w:t xml:space="preserve">  proportion, n=25 studies — poor preclinical prediction of clinical active range (HED) &lt;= 20% overlap (</w:t>
            </w:r>
            <w:hyperlink w:history="1" r:id="rIdy2zizwbf5yyqdvjtltdz4">
              <w:r>
                <w:rPr>
                  <w:rFonts w:ascii="Calibri" w:cs="Calibri" w:eastAsia="Calibri" w:hAnsi="Calibri"/>
                  <w:color w:val="1155CC"/>
                  <w:sz w:val="18"/>
                  <w:szCs w:val="18"/>
                  <w:u w:val="single"/>
                </w:rPr>
                <w:t xml:space="preserve">Ferreira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1tm_evswvc4a866i1slte">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included only 25 IBs, which were selected based on specific criteria (e.g., statistically significant CNS activity, reported dose ranges for tolerability and pharmacological activity). This selection process might introduce bias and limit the generalizability of the findings.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shows mouse efficacy studies give inconsistent predictions of human efficacy: some pooled animal results tracked clinical findings (Perel et al. 2007 found thrombolysis reduced infarct volume by 24% and improved neurobehavioural scores by 23%, and bisphosphonates increased bone mineral density by ~11% in the hip and ~8.5% in the spine), and alcohol models contributed to three approved medications (Spanagel et al. 2017). However, other analyses found little or no predictive value — Perrin et al. 2014 reports that for nine ALS candidates published mouse studies showed 10–35% survival gains while rigorous ALS TDI mouse studies showed 0% and all compounds failed in humans, and Pan et al. 2020 found tumor growth inhibition (TGI) in mouse models had AUC = 0.45 (worse than chance) with medians 0.74 vs 0.77 (p=0.375). Pound et al. 2018 further noted that fewer than 7% of studies met permissibility criteria and documented both concordant and discordant intervention-specific outcomes, so predictive performance is highly context- and quality-dependent.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effect sizes vary by disease area, intervention and study quality: for example Perrin et al. 2014 contrasts 10–35% survival gains in published ALS mouse studies with 0% in ALS TDI’s more rigorous replications; Perel and Pan syntheses aggregate many different models and outcomes, so ranges reflect heterogeneity of interventions, endpoints, and methodological rigor.</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0–10%</w:t>
            </w:r>
            <w:r>
              <w:rPr>
                <w:rFonts w:ascii="Calibri" w:cs="Calibri" w:eastAsia="Calibri" w:hAnsi="Calibri"/>
                <w:sz w:val="18"/>
                <w:szCs w:val="18"/>
              </w:rPr>
              <w:t xml:space="preserve">  change in survival — survival benefit of riluzole in mouse study (published) (</w:t>
            </w:r>
            <w:hyperlink w:history="1" r:id="rIdgaxp54owd_yiwxg_cr4we">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change in survival — survival benefit of thalidomide in mouse study (ALS TDI) (</w:t>
            </w:r>
            <w:hyperlink w:history="1" r:id="rIdkld1pwyqkuh6xkk9f9vqq">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w:t>
            </w:r>
            <w:r>
              <w:rPr>
                <w:rFonts w:ascii="Calibri" w:cs="Calibri" w:eastAsia="Calibri" w:hAnsi="Calibri"/>
                <w:sz w:val="18"/>
                <w:szCs w:val="18"/>
              </w:rPr>
              <w:t xml:space="preserve">  change in survival — survival benefit of creatine in mouse study (published) (</w:t>
            </w:r>
            <w:hyperlink w:history="1" r:id="rIdq0xektg-s7c8i2dkti8rz">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10–30%</w:t>
            </w:r>
            <w:r>
              <w:rPr>
                <w:rFonts w:ascii="Calibri" w:cs="Calibri" w:eastAsia="Calibri" w:hAnsi="Calibri"/>
                <w:sz w:val="18"/>
                <w:szCs w:val="18"/>
              </w:rPr>
              <w:t xml:space="preserve">  change in survival — survival benefit of ceftriaxone in mouse study (published) (</w:t>
            </w:r>
            <w:hyperlink w:history="1" r:id="rIdjx2fetv8ebytp9p_j8nch">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0–10%</w:t>
            </w:r>
            <w:r>
              <w:rPr>
                <w:rFonts w:ascii="Calibri" w:cs="Calibri" w:eastAsia="Calibri" w:hAnsi="Calibri"/>
                <w:sz w:val="18"/>
                <w:szCs w:val="18"/>
              </w:rPr>
              <w:t xml:space="preserve">  change in survival — survival benefit of sodium phenylbutyrate in mouse study (published) (</w:t>
            </w:r>
            <w:hyperlink w:history="1" r:id="rIdivfhvbdjmfvwk3cdfitv5">
              <w:r>
                <w:rPr>
                  <w:rFonts w:ascii="Calibri" w:cs="Calibri" w:eastAsia="Calibri" w:hAnsi="Calibri"/>
                  <w:color w:val="1155CC"/>
                  <w:sz w:val="18"/>
                  <w:szCs w:val="18"/>
                  <w:u w:val="single"/>
                </w:rPr>
                <w:t xml:space="preserve">Perrin 2014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Odds Ratio for drug success (Q2 TGI vs Q1 TGI) (</w:t>
            </w:r>
            <w:hyperlink w:history="1" r:id="rIdrj6l8skee9l2nctcju74w">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4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from rat efficacy studies is mixed: some rat results tracked human outcomes (e.g., thrombolysis in rats reduced infarct volume by 24% and improved neurobehavioural scores by 23%, Perel et al. 2007; three alcohol medications developed using rat models later reached the clinic, Spanagel 2017; d-amphetamine effects in rat choice procedures matched human laboratory/clinical findings, Banks et al. 2017). Other rat findings did not translate (corticosteroids showed a pooled odds ratio of 0.58 for reduced adverse functional outcome in animal head‑injury models but showed no clinical benefit, Perel et al. 2007; tirilazad reduced infarct volume by 29% and improved neurobehavioural scores by 48% in animals yet was discordant with human outcomes, Perel et al. 2007; Pound et al. 2018 categorised corticosteroids, tirilazad and antifibrinolytics as discordant). Overall the data show selective concordance depending on intervention and outcome measure.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effects span different interventions and different outcome types (e.g., infarct volume vs neurobehavioural scores) and come from pooled meta-analyses that aggregate many experiments of varying design, so the magnitude varies by intervention, outcome metric, and study-level heterogeneity.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p7leznuf-ul_t56jrgqnw">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23–48%</w:t>
            </w:r>
            <w:r>
              <w:rPr>
                <w:rFonts w:ascii="Calibri" w:cs="Calibri" w:eastAsia="Calibri" w:hAnsi="Calibri"/>
                <w:sz w:val="18"/>
                <w:szCs w:val="18"/>
              </w:rPr>
              <w:t xml:space="preserve">  improvement — Thrombolysis in acute ischaemic stroke: neurobehavioural scores improvement (</w:t>
            </w:r>
            <w:hyperlink w:history="1" r:id="rIddadwzd6lzdjyjuglm6g3k">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8.5–11%</w:t>
            </w:r>
            <w:r>
              <w:rPr>
                <w:rFonts w:ascii="Calibri" w:cs="Calibri" w:eastAsia="Calibri" w:hAnsi="Calibri"/>
                <w:sz w:val="18"/>
                <w:szCs w:val="18"/>
              </w:rPr>
              <w:t xml:space="preserve">  increase — Bisphosphonates (alendronate): bone mineral density increase in hip region (</w:t>
            </w:r>
            <w:hyperlink w:history="1" r:id="rId-3602at8n9hak2h_y-83c">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0.58</w:t>
            </w:r>
            <w:r>
              <w:rPr>
                <w:rFonts w:ascii="Calibri" w:cs="Calibri" w:eastAsia="Calibri" w:hAnsi="Calibri"/>
                <w:sz w:val="18"/>
                <w:szCs w:val="18"/>
              </w:rPr>
              <w:t xml:space="preserve">  odds ratio — Corticosteroids for traumatic head injury: adverse functional outcome (pooled odds ratio) (</w:t>
            </w:r>
            <w:hyperlink w:history="1" r:id="rIdbd4amrgwcdlbvyicpcaxy">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1.96</w:t>
            </w:r>
            <w:r>
              <w:rPr>
                <w:rFonts w:ascii="Calibri" w:cs="Calibri" w:eastAsia="Calibri" w:hAnsi="Calibri"/>
                <w:sz w:val="18"/>
                <w:szCs w:val="18"/>
              </w:rPr>
              <w:t xml:space="preserve">  odds ratio — Thrombolysis in acute ischaemic stroke: probability of haemorrhage (</w:t>
            </w:r>
            <w:hyperlink w:history="1" r:id="rId27rfimk33c7mjo61fg8fk">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4.2</w:t>
            </w:r>
            <w:r>
              <w:rPr>
                <w:rFonts w:ascii="Calibri" w:cs="Calibri" w:eastAsia="Calibri" w:hAnsi="Calibri"/>
                <w:sz w:val="18"/>
                <w:szCs w:val="18"/>
              </w:rPr>
              <w:t xml:space="preserve">  odds ratio — Antenatal corticosteroids: neonatal mortality (pooled odds ratio) (</w:t>
            </w:r>
            <w:hyperlink w:history="1" r:id="rIdtqodj5qpbih4yr9fhx8h0">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shows mixed correspondence between animal efficacy data and human outcomes. Perel et al. 2007 found animal thrombolysis studies reduced infarct volume by 24% and improved neurobehavioural scores by 23%, and bisphosphonates increased bone mineral density in animals, which matched clinical findings; by contrast corticosteroids had a pooled animal odds ratio of 0.58 for worse/less adverse functional outcome in animals but showed no benefit in clinical trials, and tirilazad reduced infarct volume by 29% and improved neurobehaviour by 48% in animals yet was discordant with human trials. Pound et al. 2018 reported the same pattern of concordance for bisphosphonates and thrombolytics and discordance for corticosteroids, tirilazad and antifibrinolytics, and noted that under 7% of studies met permissibility criteria (Bateson’s Cube).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effect sizes come from different interventions and outcome measures pooled across multiple animal models and experiments (e.g. infarct volume vs neurobehaviour vs bone density) and some comparisons are animal-only while others are clinical, so magnitude varies by intervention and endpoint.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3txbzld-r8tebzmefiemk">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23–48%</w:t>
            </w:r>
            <w:r>
              <w:rPr>
                <w:rFonts w:ascii="Calibri" w:cs="Calibri" w:eastAsia="Calibri" w:hAnsi="Calibri"/>
                <w:sz w:val="18"/>
                <w:szCs w:val="18"/>
              </w:rPr>
              <w:t xml:space="preserve">  improvement — Thrombolysis in acute ischaemic stroke: neurobehavioural scores improvement (</w:t>
            </w:r>
            <w:hyperlink w:history="1" r:id="rId5uqgnvtr32j264tot2orc">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8.5–11%</w:t>
            </w:r>
            <w:r>
              <w:rPr>
                <w:rFonts w:ascii="Calibri" w:cs="Calibri" w:eastAsia="Calibri" w:hAnsi="Calibri"/>
                <w:sz w:val="18"/>
                <w:szCs w:val="18"/>
              </w:rPr>
              <w:t xml:space="preserve">  increase — Bisphosphonates (alendronate): bone mineral density increase in hip region (</w:t>
            </w:r>
            <w:hyperlink w:history="1" r:id="rIdakbeqjezb5ygb2rsvav1d">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0.58</w:t>
            </w:r>
            <w:r>
              <w:rPr>
                <w:rFonts w:ascii="Calibri" w:cs="Calibri" w:eastAsia="Calibri" w:hAnsi="Calibri"/>
                <w:sz w:val="18"/>
                <w:szCs w:val="18"/>
              </w:rPr>
              <w:t xml:space="preserve">  odds ratio — Corticosteroids for traumatic head injury: adverse functional outcome (pooled odds ratio) (</w:t>
            </w:r>
            <w:hyperlink w:history="1" r:id="rIdaf2jgoyyj3h5gyigfr7ec">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1.96</w:t>
            </w:r>
            <w:r>
              <w:rPr>
                <w:rFonts w:ascii="Calibri" w:cs="Calibri" w:eastAsia="Calibri" w:hAnsi="Calibri"/>
                <w:sz w:val="18"/>
                <w:szCs w:val="18"/>
              </w:rPr>
              <w:t xml:space="preserve">  odds ratio — Thrombolysis in acute ischaemic stroke: probability of haemorrhage (</w:t>
            </w:r>
            <w:hyperlink w:history="1" r:id="rIdv5qmbzjtn4wut9hta4_4i">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4.2</w:t>
            </w:r>
            <w:r>
              <w:rPr>
                <w:rFonts w:ascii="Calibri" w:cs="Calibri" w:eastAsia="Calibri" w:hAnsi="Calibri"/>
                <w:sz w:val="18"/>
                <w:szCs w:val="18"/>
              </w:rPr>
              <w:t xml:space="preserve">  odds ratio — Antenatal corticosteroids: neonatal mortality (pooled odds ratio) (</w:t>
            </w:r>
            <w:hyperlink w:history="1" r:id="rId4rallyy-uszqgu7evxabh">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Animal data were mixed: thrombolytic and bisphosphonate findings in animals tracked later clinical benefit, but corticosteroids, tirilazad and antifibrinolytics showed benefit in animals that did not translate to humans. In animals, thrombolysis reduced infarct volume by 24% and improved neurobehavioural scores by 23%; tirilazad reduced infarct volume by 29% and improved neurobehavioural scores by 48%; corticosteroids reduced odds of adverse functional outcome in animals (pooled OR 0.58) yet showed no clinical benefit. Pound et al. additionally reported that under 7% of studies met permissibility criteria and flagged high animal suffering for several interventions.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Numbers come from different interventions and different outcome measures (e.g. infarct volume, neurobehavioural scores, pooled odds for adverse outcome) and from separate pooled analyses vs concordance assessments, so effects vary by intervention and endpoint.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u0pqv7ulqcslyfmsb3630">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23–48%</w:t>
            </w:r>
            <w:r>
              <w:rPr>
                <w:rFonts w:ascii="Calibri" w:cs="Calibri" w:eastAsia="Calibri" w:hAnsi="Calibri"/>
                <w:sz w:val="18"/>
                <w:szCs w:val="18"/>
              </w:rPr>
              <w:t xml:space="preserve">  improvement — Thrombolysis in acute ischaemic stroke: neurobehavioural scores improvement (</w:t>
            </w:r>
            <w:hyperlink w:history="1" r:id="rIdrf1nmpunbzss7z-ezs72r">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8.5–11%</w:t>
            </w:r>
            <w:r>
              <w:rPr>
                <w:rFonts w:ascii="Calibri" w:cs="Calibri" w:eastAsia="Calibri" w:hAnsi="Calibri"/>
                <w:sz w:val="18"/>
                <w:szCs w:val="18"/>
              </w:rPr>
              <w:t xml:space="preserve">  increase — Bisphosphonates (alendronate): bone mineral density increase in hip region (</w:t>
            </w:r>
            <w:hyperlink w:history="1" r:id="rId4nl3ynwfqriill-as-y2h">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0.58</w:t>
            </w:r>
            <w:r>
              <w:rPr>
                <w:rFonts w:ascii="Calibri" w:cs="Calibri" w:eastAsia="Calibri" w:hAnsi="Calibri"/>
                <w:sz w:val="18"/>
                <w:szCs w:val="18"/>
              </w:rPr>
              <w:t xml:space="preserve">  odds ratio — Corticosteroids for traumatic head injury: adverse functional outcome (pooled odds ratio) (</w:t>
            </w:r>
            <w:hyperlink w:history="1" r:id="rId2w2ne2y5yvwhy-hvmdlbx">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1.96</w:t>
            </w:r>
            <w:r>
              <w:rPr>
                <w:rFonts w:ascii="Calibri" w:cs="Calibri" w:eastAsia="Calibri" w:hAnsi="Calibri"/>
                <w:sz w:val="18"/>
                <w:szCs w:val="18"/>
              </w:rPr>
              <w:t xml:space="preserve">  odds ratio — Thrombolysis in acute ischaemic stroke: probability of haemorrhage (</w:t>
            </w:r>
            <w:hyperlink w:history="1" r:id="rIdjnmzmpit9dx4t_byikndd">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4.2</w:t>
            </w:r>
            <w:r>
              <w:rPr>
                <w:rFonts w:ascii="Calibri" w:cs="Calibri" w:eastAsia="Calibri" w:hAnsi="Calibri"/>
                <w:sz w:val="18"/>
                <w:szCs w:val="18"/>
              </w:rPr>
              <w:t xml:space="preserve">  odds ratio — Antenatal corticosteroids: neonatal mortality (pooled odds ratio) (</w:t>
            </w:r>
            <w:hyperlink w:history="1" r:id="rIdwcdfev7jr8tgxze2ieuf3">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Sheep efficacy data are mixed. Animal thrombolysis studies showed reduced infarct volume (24% reduction) and improved neurobehavioural scores (23%) that aligned with clinical benefit, and alendronate increased bone mineral density in hip (11.0%) and lumbar spine (8.5%) — findings judged concordant (Perel et al. 2007; Pound et al. 2018). In contrast, several interventions diverged from human outcomes: corticosteroids reduced adverse functional outcome in animal head‑injury models (pooled odds ratio 0.58) but not clinically, tirilazad reduced infarct volume by 29% and improved neurobehavioural scores by 48% in animals yet failed in trials, and antenatal corticosteroids markedly increased neonatal mortality in ewes (odds ratio 12.5) (Perel et al. 2007; Pound et al. 2018). Pound et al. 2018 also reported that fewer than 7% of studies met permissibility criteria, which raises ethical and methodological concerns about study conduct and interpretability.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effects span different interventions and outcomes (e.g., infarct volume and neurobehavioural scores for stroke drugs, bone mineral density for bisphosphonates, and neonatal mortality for antenatal corticosteroids), and concordance with human results varies by intervention and by the outcome measured.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24–29%</w:t>
            </w:r>
            <w:r>
              <w:rPr>
                <w:rFonts w:ascii="Calibri" w:cs="Calibri" w:eastAsia="Calibri" w:hAnsi="Calibri"/>
                <w:sz w:val="18"/>
                <w:szCs w:val="18"/>
              </w:rPr>
              <w:t xml:space="preserve">  reduction — Thrombolysis in acute ischaemic stroke: infarct volume reduction (</w:t>
            </w:r>
            <w:hyperlink w:history="1" r:id="rIdzwtorz8v0c0pfyxgshaka">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23–48%</w:t>
            </w:r>
            <w:r>
              <w:rPr>
                <w:rFonts w:ascii="Calibri" w:cs="Calibri" w:eastAsia="Calibri" w:hAnsi="Calibri"/>
                <w:sz w:val="18"/>
                <w:szCs w:val="18"/>
              </w:rPr>
              <w:t xml:space="preserve">  improvement — Thrombolysis in acute ischaemic stroke: neurobehavioural scores improvement (</w:t>
            </w:r>
            <w:hyperlink w:history="1" r:id="rIdezhhl9xz_futc_xqoitkp">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4.2–12.5</w:t>
            </w:r>
            <w:r>
              <w:rPr>
                <w:rFonts w:ascii="Calibri" w:cs="Calibri" w:eastAsia="Calibri" w:hAnsi="Calibri"/>
                <w:sz w:val="18"/>
                <w:szCs w:val="18"/>
              </w:rPr>
              <w:t xml:space="preserve">  odds ratio — Antenatal corticosteroids: neonatal mortality (pooled odds ratio) (</w:t>
            </w:r>
            <w:hyperlink w:history="1" r:id="rIdtuoinqwktcw09ir2w-hgi">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8.5–11%</w:t>
            </w:r>
            <w:r>
              <w:rPr>
                <w:rFonts w:ascii="Calibri" w:cs="Calibri" w:eastAsia="Calibri" w:hAnsi="Calibri"/>
                <w:sz w:val="18"/>
                <w:szCs w:val="18"/>
              </w:rPr>
              <w:t xml:space="preserve">  increase — Bisphosphonates (alendronate): bone mineral density increase in hip region (</w:t>
            </w:r>
            <w:hyperlink w:history="1" r:id="rId0vhobv8h8jpsftshwvd_c">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0.58</w:t>
            </w:r>
            <w:r>
              <w:rPr>
                <w:rFonts w:ascii="Calibri" w:cs="Calibri" w:eastAsia="Calibri" w:hAnsi="Calibri"/>
                <w:sz w:val="18"/>
                <w:szCs w:val="18"/>
              </w:rPr>
              <w:t xml:space="preserve">  odds ratio — Corticosteroids for traumatic head injury: adverse functional outcome (pooled odds ratio) (</w:t>
            </w:r>
            <w:hyperlink w:history="1" r:id="rIdfqhmqfblakoiz6qetfzg_">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1.96</w:t>
            </w:r>
            <w:r>
              <w:rPr>
                <w:rFonts w:ascii="Calibri" w:cs="Calibri" w:eastAsia="Calibri" w:hAnsi="Calibri"/>
                <w:sz w:val="18"/>
                <w:szCs w:val="18"/>
              </w:rPr>
              <w:t xml:space="preserve">  odds ratio — Thrombolysis in acute ischaemic stroke: probability of haemorrhage (</w:t>
            </w:r>
            <w:hyperlink w:history="1" r:id="rIdnokiutby81ek4kejmcaff">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cattle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Pound et al. 2018 found that animal results sometimes tracked human outcomes for cattle: 2 interventions (bisphosphonates, thrombolytics) were concordant with human studies, 1 was partially concordant (antenatal corticosteroids) and 3 were discordant (corticosteroids, Tirilazad, antifibrinolytics). However, fewer than 7% of the cattle studies met Bateson’s Cube criteria for permissibility, and several concordant programs (e.g. thrombolytics) were judged unacceptable because they caused high animal suffering; bisphosphonate concordance held only when suffering was moderate. Overall the evidence is mixed: some cattle results matched human findings but many studies were either discordant or ethically non‑permissible.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w:t>
            </w:r>
            <w:r>
              <w:rPr>
                <w:rFonts w:ascii="Calibri" w:cs="Calibri" w:eastAsia="Calibri" w:hAnsi="Calibri"/>
                <w:sz w:val="18"/>
                <w:szCs w:val="18"/>
              </w:rPr>
              <w:t xml:space="preserve">  proportion — Studies permissible according to Bateson's Cube (</w:t>
            </w:r>
            <w:hyperlink w:history="1" r:id="rIdrf-0dkgzfnhtgggar_r5t">
              <w:r>
                <w:rPr>
                  <w:rFonts w:ascii="Calibri" w:cs="Calibri" w:eastAsia="Calibri" w:hAnsi="Calibri"/>
                  <w:color w:val="1155CC"/>
                  <w:sz w:val="18"/>
                  <w:szCs w:val="18"/>
                  <w:u w:val="single"/>
                </w:rPr>
                <w:t xml:space="preserve">Pound et al. 2018</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Evidence shows animal efficacy studies did not reliably track human outcomes: Martić-Kehl et al. 2012 found fewer than 50% of animal studies predicted human outcomes, only 3 of 494 animal-positive interventions for acute ischaemic stroke showed a convincing effect in patients (3/494 ≈ 0.6%), and AIDS-vaccine development in chimpanzee and macaque models failed completely (100% failure). Overall, these results indicate the animal efficacy data in this study did not generalize to human clinical benefit.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50%</w:t>
            </w:r>
            <w:r>
              <w:rPr>
                <w:rFonts w:ascii="Calibri" w:cs="Calibri" w:eastAsia="Calibri" w:hAnsi="Calibri"/>
                <w:sz w:val="18"/>
                <w:szCs w:val="18"/>
              </w:rPr>
              <w:t xml:space="preserve">  less than — prediction of human outcomes by animal studies (</w:t>
            </w:r>
            <w:hyperlink w:history="1" r:id="rIdirxs5-grfavyuzzm_jxl3">
              <w:r>
                <w:rPr>
                  <w:rFonts w:ascii="Calibri" w:cs="Calibri" w:eastAsia="Calibri" w:hAnsi="Calibri"/>
                  <w:color w:val="1155CC"/>
                  <w:sz w:val="18"/>
                  <w:szCs w:val="18"/>
                  <w:u w:val="single"/>
                </w:rPr>
                <w:t xml:space="preserve">Martić-Kehl et al. 2012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w:t>
            </w:r>
            <w:r>
              <w:rPr>
                <w:rFonts w:ascii="Calibri" w:cs="Calibri" w:eastAsia="Calibri" w:hAnsi="Calibri"/>
                <w:sz w:val="18"/>
                <w:szCs w:val="18"/>
              </w:rPr>
              <w:t xml:space="preserve">  number of interventions, n=494 out of 494 — interventions for acute ischaemic stroke treatment with convincing effect in patients out of interventions with positive effect in animal models (</w:t>
            </w:r>
            <w:hyperlink w:history="1" r:id="rIdrvwuseouzm4upcmcoqarp">
              <w:r>
                <w:rPr>
                  <w:rFonts w:ascii="Calibri" w:cs="Calibri" w:eastAsia="Calibri" w:hAnsi="Calibri"/>
                  <w:color w:val="1155CC"/>
                  <w:sz w:val="18"/>
                  <w:szCs w:val="18"/>
                  <w:u w:val="single"/>
                </w:rPr>
                <w:t xml:space="preserve">Martić-Kehl et al. 2012</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Leenaars et al. 2019 shows non-rodent data only partially tracked human outcomes: concordance of liver effects between non-rodent species and humans was 40% (n=951 compounds), and animal data predicted 48% of adverse drug reactions (n=1256 ADRs); by contrast, concordance across all species for human toxicity events was 71% (n=221 events). Together these results indicate non-rodent-only findings do not consistently match human outcomes and performance varies by endpoint and species included in the comparison.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Values vary because the comparisons mix different endpoints and species sets: 40% refers specifically to liver-effect concordance for non-rodents, 48% is predictivity for adverse drug reactions, and 71% is concordance when all species (rodents + non-rodents) are combined for human toxicity events.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48%</w:t>
            </w:r>
            <w:r>
              <w:rPr>
                <w:rFonts w:ascii="Calibri" w:cs="Calibri" w:eastAsia="Calibri" w:hAnsi="Calibri"/>
                <w:sz w:val="18"/>
                <w:szCs w:val="18"/>
              </w:rPr>
              <w:t xml:space="preserve">  predictive value, n=1,256 adverse drug reactions — prediction of adverse drug reactions (</w:t>
            </w:r>
            <w:hyperlink w:history="1" r:id="rIdalmondtzig_yg6xscasl7">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fskdkjtwl8csjqoiewy_5">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71%</w:t>
            </w:r>
            <w:r>
              <w:rPr>
                <w:rFonts w:ascii="Calibri" w:cs="Calibri" w:eastAsia="Calibri" w:hAnsi="Calibri"/>
                <w:sz w:val="18"/>
                <w:szCs w:val="18"/>
              </w:rPr>
              <w:t xml:space="preserve">  concordance rate, n=221 human toxicity events — concordance of human toxicity events (</w:t>
            </w:r>
            <w:hyperlink w:history="1" r:id="rIdn3xasv83exhaut5kmd7mn">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Pound et al. 2018 shows mixed tracking of human efficacy by pig studies: two interventions (bisphosphonates and thrombolytics) were concordant with human outcomes, one (antenatal corticosteroids) was partially concordant, and three (corticosteroids, Tirilazad, antifibrinolytics) were discordant. Fewer than 7% of pig studies met Bateson’s Cube permissibility criteria; several concordant findings (e.g. thrombolytics) were nonetheless judged unacceptable because of high animal suffering, and bisphosphonate studies were permissible only when suffering was moderate (not when severe).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w:t>
            </w:r>
            <w:r>
              <w:rPr>
                <w:rFonts w:ascii="Calibri" w:cs="Calibri" w:eastAsia="Calibri" w:hAnsi="Calibri"/>
                <w:sz w:val="18"/>
                <w:szCs w:val="18"/>
              </w:rPr>
              <w:t xml:space="preserve">  proportion — Studies permissible according to Bateson's Cube (</w:t>
            </w:r>
            <w:hyperlink w:history="1" r:id="rIdx1kbqyzg9lkopxyvs4e8h">
              <w:r>
                <w:rPr>
                  <w:rFonts w:ascii="Calibri" w:cs="Calibri" w:eastAsia="Calibri" w:hAnsi="Calibri"/>
                  <w:color w:val="1155CC"/>
                  <w:sz w:val="18"/>
                  <w:szCs w:val="18"/>
                  <w:u w:val="single"/>
                </w:rPr>
                <w:t xml:space="preserve">Pound et al. 2018</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3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The data show dog toxicology findings give modest, endpoint-dependent information about human toxicity: combined rat+dog regulatory tests matched human toxicities in 71% of cases (Jang et al. 2019), but dog-only performance is inconsistent. A negative dog test raises the estimated probability of no human toxicity to ~72% (Bailey et al. 2019), while dog median PPV was 0.67 and NPV 0.52 for all toxicity grades (Atkins et al. 2020) and the dog inverse NLR is near unity (1.10; Bailey et al. 2015), implying little evidential weight from absence. For some specific endpoints dog results track human outcomes better (dog LR+ for cardiac disorders 6.11; Clark et al. 2018), so predictive value depends strongly on endpoint and study method.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performance varies because studies mix endpoints (all grades vs grade 3–4), aggregate species (rats+dogs) versus dog-only analyses, and different metrics (PPV/NPV, LR, iNLR). Compound-specific effects and assay types (in vivo regulatory studies vs in vitro Liver-Chips) produce large, endpoint-specific differences (e.g., JNJ‑3 potency 3–10× dog versus human in Jang et al. 2019).</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zakwhiy1lwvfiafg8wqq3">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jxbiixrbhubuolqnaupye">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10–30</w:t>
            </w:r>
            <w:r>
              <w:rPr>
                <w:rFonts w:ascii="Calibri" w:cs="Calibri" w:eastAsia="Calibri" w:hAnsi="Calibri"/>
                <w:sz w:val="18"/>
                <w:szCs w:val="18"/>
              </w:rPr>
              <w:t xml:space="preserve">  ic50 (half-maximal inhibitory concentration) — IC50 for bosentan-induced albumin secretion decrease (</w:t>
            </w:r>
            <w:hyperlink w:history="1" r:id="rIdp3jxjxisbn4o1xot7rwmz">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20–70</w:t>
            </w:r>
            <w:r>
              <w:rPr>
                <w:rFonts w:ascii="Calibri" w:cs="Calibri" w:eastAsia="Calibri" w:hAnsi="Calibri"/>
                <w:sz w:val="18"/>
                <w:szCs w:val="18"/>
              </w:rPr>
              <w:t xml:space="preserve">  range — albumin secretion (µg day-1 per million cells) in Liver-Chip vs in vivo (</w:t>
            </w:r>
            <w:hyperlink w:history="1" r:id="rIdx__aowf1peb2spjklisat">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2.8–3.9</w:t>
            </w:r>
            <w:r>
              <w:rPr>
                <w:rFonts w:ascii="Calibri" w:cs="Calibri" w:eastAsia="Calibri" w:hAnsi="Calibri"/>
                <w:sz w:val="18"/>
                <w:szCs w:val="18"/>
              </w:rPr>
              <w:t xml:space="preserve">  lower — albumin secretion in conventional sandwich monoculture plates vs human Liver-Chip (</w:t>
            </w:r>
            <w:hyperlink w:history="1" r:id="rIdvssiw0kl-ta9d7cx0e7vu">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fg3r3vn0ddnvrj5aln12g">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Across five studies the evidence is mixed: non-human primate (NHP) toxicology sometimes tracked human outcomes for specific organs/endpoints (e.g. Monticello et al. 2017 reported an 83% PPV for nervous-system findings and Clark et al. 2018 reported LR+ up to 11 for hepatobiliary disorders in cynomolgus monkeys), but overall predictive value was limited (Monticello et al. 2017 overall PPV 43% and sensitivity 48%, and Bailey et al. 2019 found the probability of no human toxicity after a negative NHP test was only 70.4%). Atkins et al. 2020 and Bailey et al. 2015/2019 emphasise low-to-moderate median PPVs/NPVs and inverse likelihood ratios close to 1, indicating little overall evidential weight from NHPs for ruling in or ruling out human toxicity.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performance varies by metric, dataset and endpoint: some analyses use overall PPV/sensitivity (lower values), others report organ- or endpoint-specific measures (e.g. nervous-system PPV or LR+ for hepatobiliary/ cardiac) that are much higher. Differences also arise from toxicity grade (all grades vs grade 3–4), low clinical prevalence inflating NPVs, and selection bias in datasets (marketed drugs or compounds that progressed to NHP testing).</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27–62%</w:t>
            </w:r>
            <w:r>
              <w:rPr>
                <w:rFonts w:ascii="Calibri" w:cs="Calibri" w:eastAsia="Calibri" w:hAnsi="Calibri"/>
                <w:sz w:val="18"/>
                <w:szCs w:val="18"/>
              </w:rPr>
              <w:t xml:space="preserve">  ppv — PPV for Liver (</w:t>
            </w:r>
            <w:hyperlink w:history="1" r:id="rIdktvwki4rdiubxqkas9otu">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85–92%</w:t>
            </w:r>
            <w:r>
              <w:rPr>
                <w:rFonts w:ascii="Calibri" w:cs="Calibri" w:eastAsia="Calibri" w:hAnsi="Calibri"/>
                <w:sz w:val="18"/>
                <w:szCs w:val="18"/>
              </w:rPr>
              <w:t xml:space="preserve">  npv — NPV for Liver (</w:t>
            </w:r>
            <w:hyperlink w:history="1" r:id="rIdwsta2gysi5twktdcuscw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nvsfzkw9df4s0_fgav-4g">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epeehvznzeqzl6lcmwc6h">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Proportionate Reduction in Uncertainty (PRU) for GI (Monkey) (</w:t>
            </w:r>
            <w:hyperlink w:history="1" r:id="rIds3xacpuanhnvdjmdosts9">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n=84 — Likelihood Ratio for cynomolgus monkey, Cardiac disorders (</w:t>
            </w:r>
            <w:hyperlink w:history="1" r:id="rIdnlfofdyq2k4vfgh1hroal">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2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shows rodent toxicology findings tracked human organ toxicities inconsistently: rodent-only concordance/sensitivity clustered around 43–48% (Wall et al. 2008 found rodent models correctly predicted human organ toxicity in 43% of 150 compounds; Monticello et al. 2017 reported overall sensitivity 48%; Olson et al. 2000 reported rodents alone predicted 43% of human toxicities). The chance that an animal toxicity indicated a human adverse event was modest (mean PPV ~36% in Bailey et al. 2019; 43% PPV reported by Monticello et al. 2017), and a negative animal result did not guarantee absence of human toxicity (~74% probability of no human toxicity given no animal toxicity in Bailey et al. 2019). Performance varied by organ and by whether rodent data were combined with nonrodent data: Olson et al. 2000 reported 91% concordance for hematologic findings and a combined rodent+nonrodent true‑positive concordance of ~71%.</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because studies differ in scope and metrics (rodent-only versus combined rodent+nonrodent analyses), organ-specific performance (e.g., hematologic 91% vs much lower for cutaneous), clinical prevalence and trial phase (which affect PPV/NPV), and selection bias in some datasets (Olson et al. 2000 included only compounds with identified human toxicities).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26–62%</w:t>
            </w:r>
            <w:r>
              <w:rPr>
                <w:rFonts w:ascii="Calibri" w:cs="Calibri" w:eastAsia="Calibri" w:hAnsi="Calibri"/>
                <w:sz w:val="18"/>
                <w:szCs w:val="18"/>
              </w:rPr>
              <w:t xml:space="preserve">  ppv — PPV for Liver (</w:t>
            </w:r>
            <w:hyperlink w:history="1" r:id="rIdji-_y7rttiinwjmcxvl1l">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86–92%</w:t>
            </w:r>
            <w:r>
              <w:rPr>
                <w:rFonts w:ascii="Calibri" w:cs="Calibri" w:eastAsia="Calibri" w:hAnsi="Calibri"/>
                <w:sz w:val="18"/>
                <w:szCs w:val="18"/>
              </w:rPr>
              <w:t xml:space="preserve">  npv — NPV for Liver (</w:t>
            </w:r>
            <w:hyperlink w:history="1" r:id="rIdkkg-h2nt1rrp-olt-f7eg">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52–75%</w:t>
            </w:r>
            <w:r>
              <w:rPr>
                <w:rFonts w:ascii="Calibri" w:cs="Calibri" w:eastAsia="Calibri" w:hAnsi="Calibri"/>
                <w:sz w:val="18"/>
                <w:szCs w:val="18"/>
              </w:rPr>
              <w:t xml:space="preserve">  rate — concordance rate for Phase I onset HTs (</w:t>
            </w:r>
            <w:hyperlink w:history="1" r:id="rIdpqmhzated47nvr70yem0s">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70–71%</w:t>
            </w:r>
            <w:r>
              <w:rPr>
                <w:rFonts w:ascii="Calibri" w:cs="Calibri" w:eastAsia="Calibri" w:hAnsi="Calibri"/>
                <w:sz w:val="18"/>
                <w:szCs w:val="18"/>
              </w:rPr>
              <w:t xml:space="preserve">  rate — true positive HT concordance rate (sensitivity) (</w:t>
            </w:r>
            <w:hyperlink w:history="1" r:id="rIdchvqpheycgxcbfwtqsokw">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43–63%</w:t>
            </w:r>
            <w:r>
              <w:rPr>
                <w:rFonts w:ascii="Calibri" w:cs="Calibri" w:eastAsia="Calibri" w:hAnsi="Calibri"/>
                <w:sz w:val="18"/>
                <w:szCs w:val="18"/>
              </w:rPr>
              <w:t xml:space="preserve">  rate — predictive rate for HTs (</w:t>
            </w:r>
            <w:hyperlink w:history="1" r:id="rIddbzy7gjweng30xuxmpyxl">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43–63%</w:t>
            </w:r>
            <w:r>
              <w:rPr>
                <w:rFonts w:ascii="Calibri" w:cs="Calibri" w:eastAsia="Calibri" w:hAnsi="Calibri"/>
                <w:sz w:val="18"/>
                <w:szCs w:val="18"/>
              </w:rPr>
              <w:t xml:space="preserve">  rate — concordance rate (</w:t>
            </w:r>
            <w:hyperlink w:history="1" r:id="rIdilnhpvmpojbqlabedtbvx">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Negative Predictive Value (NPV) is largely based on the low clinical positive prevalence, meaning most findings are negative.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rat toxicity findings sometimes track human outcomes but only modestly and variably. Atkins et al. 2020 found a median positive predictive value (PPV) of 0.65 and median negative predictive value (NPV) of 0.50 for animal toxicity overall (rat values reported in those medians), while Clark et al. 2018 reports rat likelihood ratios that raise post-test odds modestly (LR+ 2.74 for hepatobiliary and LR+ 4.73 for cardiac disorders). Bailey et al. 2015 reports a rat iNLR of 1.82, meaning absence of a finding in rat studies only weakly decreases the odds of human toxicity, and Jang et al. 2019 notes that regulatory testing in rats and dogs together correctly predicted 71% of human toxicities but gives species-specific examples where rat assays missed human-relevant signals.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Numbers come from different metrics, endpoints and datasets: some are combined rat+dog summaries (71% from Jang et al.), some are medians across grades or species (Atkins), some are organ-specific likelihood ratios (Clark), and others measure evidential weight of negative results (Bailey). Predictive performance therefore varies by toxicity grade, organ system and whether results are pooled across species.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ajgsvzkg2zaalaaymunf2">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f3behpug9evbdw_dwxsv7">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10–100</w:t>
            </w:r>
            <w:r>
              <w:rPr>
                <w:rFonts w:ascii="Calibri" w:cs="Calibri" w:eastAsia="Calibri" w:hAnsi="Calibri"/>
                <w:sz w:val="18"/>
                <w:szCs w:val="18"/>
              </w:rPr>
              <w:t xml:space="preserve">  ic50 (half-maximal inhibitory concentration) — IC50 for bosentan-induced albumin secretion decrease (</w:t>
            </w:r>
            <w:hyperlink w:history="1" r:id="rIdscmiz9yauqhsryp4pbajr">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20–70</w:t>
            </w:r>
            <w:r>
              <w:rPr>
                <w:rFonts w:ascii="Calibri" w:cs="Calibri" w:eastAsia="Calibri" w:hAnsi="Calibri"/>
                <w:sz w:val="18"/>
                <w:szCs w:val="18"/>
              </w:rPr>
              <w:t xml:space="preserve">  range — albumin secretion (µg day-1 per million cells) in Liver-Chip vs in vivo (</w:t>
            </w:r>
            <w:hyperlink w:history="1" r:id="rIdcvgzam54kz5oeq6dfv_6t">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2.8–3.9</w:t>
            </w:r>
            <w:r>
              <w:rPr>
                <w:rFonts w:ascii="Calibri" w:cs="Calibri" w:eastAsia="Calibri" w:hAnsi="Calibri"/>
                <w:sz w:val="18"/>
                <w:szCs w:val="18"/>
              </w:rPr>
              <w:t xml:space="preserve">  lower — albumin secretion in conventional sandwich monoculture plates vs human Liver-Chip (</w:t>
            </w:r>
            <w:hyperlink w:history="1" r:id="rIdwf_euoinjvkxwiv-n8kzs">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2.74–4.73</w:t>
            </w:r>
            <w:r>
              <w:rPr>
                <w:rFonts w:ascii="Calibri" w:cs="Calibri" w:eastAsia="Calibri" w:hAnsi="Calibri"/>
                <w:sz w:val="18"/>
                <w:szCs w:val="18"/>
              </w:rPr>
              <w:t xml:space="preserve">  lr+, n=521 — Likelihood Ratio for rat, Cardiac disorders (</w:t>
            </w:r>
            <w:hyperlink w:history="1" r:id="rIdfudhgy_-pjhe0rqr7wrdf">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Overall, the evidence shows mouse toxicology findings do not reliably predict human toxicities: mouse positive findings only modestly match human events while absence of findings provides little reassurance. Atkins et al. 2020 reported a mouse median PPV of 0.57 for all toxicity grades (fraction of mouse-predicted toxicities observed in humans) and a PPV of 0.43 for grade 3–4 toxicities, though NPV for grade 3–4 was 0.81 (fraction of mouse-negative severe-toxicity results also negative in humans). Clark et al. 2018 found some endpoint-specific signal (mouse LR+ 5.29 for cardiac disorders, an increase in odds of a human cardiac event when mice show a finding), but overall selectivity across species/endpoints was low; Bailey et al. 2015 gave a mouse median iNLR of 1.39, indicating that animal absence of toxicity provides essentially no evidential weight for absence in humans.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Values vary widely by toxicity endpoint (e.g., cardiac vs hepatobiliary vs hematological), by severity (all grades vs grade 3–4), and by study dataset/selection (marketed drugs vs broader preclinical sets); some analyses report endpoint-specific high LR+ while overall PPV/NPV and iNLR are much lower, and selection bias (compounds dropping out earlier) affects pooled estimates.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ynse8qifskxpc0tmojtgr">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9r3iknqwq-kl9fwxaprpy">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3.73–5.29</w:t>
            </w:r>
            <w:r>
              <w:rPr>
                <w:rFonts w:ascii="Calibri" w:cs="Calibri" w:eastAsia="Calibri" w:hAnsi="Calibri"/>
                <w:sz w:val="18"/>
                <w:szCs w:val="18"/>
              </w:rPr>
              <w:t xml:space="preserve">  lr+, n=210 — Likelihood Ratio for mouse, Cardiac disorders (</w:t>
            </w:r>
            <w:hyperlink w:history="1" r:id="rIdhb0b97ff5c9ukr8rs2xio">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0.65</w:t>
            </w:r>
            <w:r>
              <w:rPr>
                <w:rFonts w:ascii="Calibri" w:cs="Calibri" w:eastAsia="Calibri" w:hAnsi="Calibri"/>
                <w:sz w:val="18"/>
                <w:szCs w:val="18"/>
              </w:rPr>
              <w:t xml:space="preserve">  median ppv — Overall animal toxicity correlation with human toxicity (</w:t>
            </w:r>
            <w:hyperlink w:history="1" r:id="rIdqlrnzmbrefuabj8tyn4nh">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w:t>
            </w:r>
            <w:r>
              <w:rPr>
                <w:rFonts w:ascii="Calibri" w:cs="Calibri" w:eastAsia="Calibri" w:hAnsi="Calibri"/>
                <w:sz w:val="18"/>
                <w:szCs w:val="18"/>
              </w:rPr>
              <w:t xml:space="preserve">  median npv — Overall animal toxicity correlation with human toxicity (</w:t>
            </w:r>
            <w:hyperlink w:history="1" r:id="rIdyiibfbkhj7m5grr6-t0m9">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w:t>
            </w:r>
            <w:r>
              <w:rPr>
                <w:rFonts w:ascii="Calibri" w:cs="Calibri" w:eastAsia="Calibri" w:hAnsi="Calibri"/>
                <w:sz w:val="18"/>
                <w:szCs w:val="18"/>
              </w:rPr>
              <w:t xml:space="preserve">  median ppv — PPV for all toxicity grades (</w:t>
            </w:r>
            <w:hyperlink w:history="1" r:id="rIdl-cgyszmibjtz99bebbab">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non-rodent toxicology findings generally tracked human organ toxicities, with non-rodent studies predicting human target-organ toxicities in ~63% of HTs (Olson et al. 2000) and correctly predicting human organ toxicity in 63% of studies (Wall et al. 2008). Concordance is higher for some systems: Olson et al. 2000 reported 91% concordance for hematologic toxicities, 85% for gastrointestinal and 80% for cardiovascular, and Peters et al. 2019 found 83% clinical concordance for gastrointestinal toxicity in nonrodents versus 46% in rodents. These results indicate non-rodent models often identify the same organ toxicities seen in humans, but the extent of agreement depends on organ system and study methods.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by organ system (e.g., hematologic 91% vs. lower/unspecified rates for cutaneous), by study inclusion criteria (Olson et al. analysed only compounds with identified human toxicities, i.e. true positives), and by trial phase and study duration (Olson reports higher concordance for Phase I onset and short-duration studies).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52–75%</w:t>
            </w:r>
            <w:r>
              <w:rPr>
                <w:rFonts w:ascii="Calibri" w:cs="Calibri" w:eastAsia="Calibri" w:hAnsi="Calibri"/>
                <w:sz w:val="18"/>
                <w:szCs w:val="18"/>
              </w:rPr>
              <w:t xml:space="preserve">  rate — concordance rate for Phase I onset HTs (</w:t>
            </w:r>
            <w:hyperlink w:history="1" r:id="rIdoad42t1b8b3-xs-audwry">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70–71%</w:t>
            </w:r>
            <w:r>
              <w:rPr>
                <w:rFonts w:ascii="Calibri" w:cs="Calibri" w:eastAsia="Calibri" w:hAnsi="Calibri"/>
                <w:sz w:val="18"/>
                <w:szCs w:val="18"/>
              </w:rPr>
              <w:t xml:space="preserve">  rate — true positive HT concordance rate (sensitivity) (</w:t>
            </w:r>
            <w:hyperlink w:history="1" r:id="rIdnp7c0os5wpkdao7smilv2">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43–63%</w:t>
            </w:r>
            <w:r>
              <w:rPr>
                <w:rFonts w:ascii="Calibri" w:cs="Calibri" w:eastAsia="Calibri" w:hAnsi="Calibri"/>
                <w:sz w:val="18"/>
                <w:szCs w:val="18"/>
              </w:rPr>
              <w:t xml:space="preserve">  rate — predictive rate for HTs (</w:t>
            </w:r>
            <w:hyperlink w:history="1" r:id="rIdogesr04ekslsajp4rquah">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43–63%</w:t>
            </w:r>
            <w:r>
              <w:rPr>
                <w:rFonts w:ascii="Calibri" w:cs="Calibri" w:eastAsia="Calibri" w:hAnsi="Calibri"/>
                <w:sz w:val="18"/>
                <w:szCs w:val="18"/>
              </w:rPr>
              <w:t xml:space="preserve">  rate — concordance rate (</w:t>
            </w:r>
            <w:hyperlink w:history="1" r:id="rId3khhcovjj4fbx0fugtucc">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7–27%</w:t>
            </w:r>
            <w:r>
              <w:rPr>
                <w:rFonts w:ascii="Calibri" w:cs="Calibri" w:eastAsia="Calibri" w:hAnsi="Calibri"/>
                <w:sz w:val="18"/>
                <w:szCs w:val="18"/>
              </w:rPr>
              <w:t xml:space="preserve">  rate — concordance by only one species occurring in the nonrodent (</w:t>
            </w:r>
            <w:hyperlink w:history="1" r:id="rIddd2ijzwhdmahc21nnigp7">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90–91%</w:t>
            </w:r>
            <w:r>
              <w:rPr>
                <w:rFonts w:ascii="Calibri" w:cs="Calibri" w:eastAsia="Calibri" w:hAnsi="Calibri"/>
                <w:sz w:val="18"/>
                <w:szCs w:val="18"/>
              </w:rPr>
              <w:t xml:space="preserve">  rate — rodent toxicology studies judged to have been performed at limiting doses for cases where HTs were not predicted (</w:t>
            </w:r>
            <w:hyperlink w:history="1" r:id="rIdap-nkmj7c-x4oxclbyaby">
              <w:r>
                <w:rPr>
                  <w:rFonts w:ascii="Calibri" w:cs="Calibri" w:eastAsia="Calibri" w:hAnsi="Calibri"/>
                  <w:color w:val="1155CC"/>
                  <w:sz w:val="18"/>
                  <w:szCs w:val="18"/>
                  <w:u w:val="single"/>
                </w:rPr>
                <w:t xml:space="preserve">Olson et al. 2000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only included compounds where human toxicities were identified, meaning it focused on true positives and false negatives, not true negatives or false positives. This limits the ability to assess overall predictivity.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supports</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Across three studies, zebrafish toxicology assays generally tracked mammalian toxicology outcomes. McGrath et al. 2008 identified all tested teratogens (100%) and correctly classified 75% of non‑teratogens; Nikam et al. 2020 reported 100% concordance with mammalian screening overall, 100% concordance for hepatotoxicity and 90% agreement for teratogenicity (59 compounds); Cornet et al. 2017 found the ZeGlobalTox platform had 78% overall accuracy with overall specificity 89% and sensitivity 68%. Together these results indicate concordance with mammalian/human toxicology but with endpoint-dependent variability in sensitivity and specificity.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wide ranges come from endpoint-specific performance and different metrics across studies: Cornet et al. report separate cardiotoxicity, neurotoxicity and hepatotoxicity results (sensitivities 54–80%, specificities 77–100%), while other papers report overall concordance or accuracy, so variability reflects which toxicity endpoint and which concordance/accuracy metric was used.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231–336</w:t>
            </w:r>
            <w:r>
              <w:rPr>
                <w:rFonts w:ascii="Calibri" w:cs="Calibri" w:eastAsia="Calibri" w:hAnsi="Calibri"/>
                <w:sz w:val="18"/>
                <w:szCs w:val="18"/>
              </w:rPr>
              <w:t xml:space="preserve">  qt interval — QT interval (</w:t>
            </w:r>
            <w:hyperlink w:history="1" r:id="rIdjvvdnefrqzg2q8vyg_tll">
              <w:r>
                <w:rPr>
                  <w:rFonts w:ascii="Calibri" w:cs="Calibri" w:eastAsia="Calibri" w:hAnsi="Calibri"/>
                  <w:color w:val="1155CC"/>
                  <w:sz w:val="18"/>
                  <w:szCs w:val="18"/>
                  <w:u w:val="single"/>
                </w:rPr>
                <w:t xml:space="preserve">Nikam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w:t>
            </w:r>
            <w:r>
              <w:rPr>
                <w:rFonts w:ascii="Calibri" w:cs="Calibri" w:eastAsia="Calibri" w:hAnsi="Calibri"/>
                <w:sz w:val="18"/>
                <w:szCs w:val="18"/>
              </w:rPr>
              <w:t xml:space="preserve">  success rate — success rate in identifying nonteratogenic compounds (</w:t>
            </w:r>
            <w:hyperlink w:history="1" r:id="rIdjmwrp2o87opbdmcigtiav">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success rate — success rate in identifying teratogens (</w:t>
            </w:r>
            <w:hyperlink w:history="1" r:id="rId0ct9l3wm3n89w6vwkvwjn">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rwvhpcavmdqdr46ytfkuk">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kafebscddqrtomp6ud6dp">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ZeGlobalTox predictive assessment (overall) (</w:t>
            </w:r>
            <w:hyperlink w:history="1" r:id="rId2stekn-esmle1_rpx9qsf">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Clark et al. 2018 reports low overall selectivity across species and organs (7%) but finds rabbit-specific signal for some endpoints — rabbit LR+ 3.54 for cardiac disorders and rabbit post-test odds for QT prolongation of 83% — indicating rabbit findings can track human cardiac outcomes for those endpoints. By contrast, Bailey et al. 2015 found a rabbit-human median iNLR of 1.12, implying that absence of toxicity in rabbits provides essentially no evidential weight for absence of toxicity in humans. Overall, rabbit data appear informative for certain cardiac endpoints but not reliably informative across organ classes or for ruling out human toxicity.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by endpoint and dataset: Clark et al. mixes marketed drugs and small endpoint-specific samples (e.g. QT analyses include small n) and reports much higher predictive metrics for some cardiac endpoints than for others; Bailey et al. used a different design and metrics (iNLR) and noted selection bias (toxic drugs drop out before nonrodent testing), producing lower apparent informativeness across organs.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16–90%</w:t>
            </w:r>
            <w:r>
              <w:rPr>
                <w:rFonts w:ascii="Calibri" w:cs="Calibri" w:eastAsia="Calibri" w:hAnsi="Calibri"/>
                <w:sz w:val="18"/>
                <w:szCs w:val="18"/>
              </w:rPr>
              <w:t xml:space="preserve">  sensitivity — Sensitivity for liver disorders (Olson study) (</w:t>
            </w:r>
            <w:hyperlink w:history="1" r:id="rId3qgd5rpjml51treguzdt6">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4.1–1000</w:t>
            </w:r>
            <w:r>
              <w:rPr>
                <w:rFonts w:ascii="Calibri" w:cs="Calibri" w:eastAsia="Calibri" w:hAnsi="Calibri"/>
                <w:sz w:val="18"/>
                <w:szCs w:val="18"/>
              </w:rPr>
              <w:t xml:space="preserve">  lr+ — Likelihood Ratio for Pain (all species combined) (</w:t>
            </w:r>
            <w:hyperlink w:history="1" r:id="rIdkt5vcm1zenuuzrg_jufab">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n=99 — Likelihood Ratio for rabbit, Cardiac disorders (</w:t>
            </w:r>
            <w:hyperlink w:history="1" r:id="rId1ja3gcq8jwo-pjpvqlwq9">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w:t>
            </w:r>
            <w:r>
              <w:rPr>
                <w:rFonts w:ascii="Calibri" w:cs="Calibri" w:eastAsia="Calibri" w:hAnsi="Calibri"/>
                <w:sz w:val="18"/>
                <w:szCs w:val="18"/>
              </w:rPr>
              <w:t xml:space="preserve">  selectivity — Overall true positive rate for all species and organ classes (</w:t>
            </w:r>
            <w:hyperlink w:history="1" r:id="rIdjr00g04tdw5dig5rekwrz">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chance, n=23 small set of compounds (n = 23) — QT prolongation prediction chance (Vargas et al. study) (</w:t>
            </w:r>
            <w:hyperlink w:history="1" r:id="rIduk0hjnbuwbrw2k-ulkbvw">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mzo7jlgtugoetydf1p_m1">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Evidence specific to pigs is not reported: Monticello et al. 2017 gives only cross‑species results. Across the database they report sensitivity 48% (percent of human clinical adverse effects that were detected in the animal tests), positive predictive value 43% (percent of animal-positive findings that were clinical in humans), specificity 84% (percent of human clinical negatives correctly predicted by animal tests), and negative predictive value 86% (percent of animal-negative findings that were not associated with human clinical adverse effects). Because these are aggregate numbers, whether pig results track human toxicology cannot be determined from this study.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metrics change when the subjective 'other' organ‑system category is excluded (sensitivity 48%→52%, specificity 84%→86%, PPV 43%→36%, NPV 86%→92%, prevalence 21%→14%), so variation reflects inclusion vs exclusion of that low‑signal category rather than uncertainty about a single estimate.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48%</w:t>
            </w:r>
            <w:r>
              <w:rPr>
                <w:rFonts w:ascii="Calibri" w:cs="Calibri" w:eastAsia="Calibri" w:hAnsi="Calibri"/>
                <w:sz w:val="18"/>
                <w:szCs w:val="18"/>
              </w:rPr>
              <w:t xml:space="preserve">  sensitivity — Sensitivity (</w:t>
            </w:r>
            <w:hyperlink w:history="1" r:id="rIdo_hzyl6alcopho8-948y7">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43%</w:t>
            </w:r>
            <w:r>
              <w:rPr>
                <w:rFonts w:ascii="Calibri" w:cs="Calibri" w:eastAsia="Calibri" w:hAnsi="Calibri"/>
                <w:sz w:val="18"/>
                <w:szCs w:val="18"/>
              </w:rPr>
              <w:t xml:space="preserve">  ppv — Positive Predictive Value (PPV) (</w:t>
            </w:r>
            <w:hyperlink w:history="1" r:id="rIddt_9xixt0inembo9-p_zi">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84%</w:t>
            </w:r>
            <w:r>
              <w:rPr>
                <w:rFonts w:ascii="Calibri" w:cs="Calibri" w:eastAsia="Calibri" w:hAnsi="Calibri"/>
                <w:sz w:val="18"/>
                <w:szCs w:val="18"/>
              </w:rPr>
              <w:t xml:space="preserve">  specificity — Specificity (</w:t>
            </w:r>
            <w:hyperlink w:history="1" r:id="rIdkxzekiw59ugl08etuuvt6">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86%</w:t>
            </w:r>
            <w:r>
              <w:rPr>
                <w:rFonts w:ascii="Calibri" w:cs="Calibri" w:eastAsia="Calibri" w:hAnsi="Calibri"/>
                <w:sz w:val="18"/>
                <w:szCs w:val="18"/>
              </w:rPr>
              <w:t xml:space="preserve">  npv — Negative Predictive Value (NPV) (</w:t>
            </w:r>
            <w:hyperlink w:history="1" r:id="rIdrwkfwrvdd8yta9hx8tli-">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48%</w:t>
            </w:r>
            <w:r>
              <w:rPr>
                <w:rFonts w:ascii="Calibri" w:cs="Calibri" w:eastAsia="Calibri" w:hAnsi="Calibri"/>
                <w:sz w:val="18"/>
                <w:szCs w:val="18"/>
              </w:rPr>
              <w:t xml:space="preserve">  sensitivity — Overall Sensitivity (</w:t>
            </w:r>
            <w:hyperlink w:history="1" r:id="rIdqa2eaglbloxldoknfbi8d">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84%</w:t>
            </w:r>
            <w:r>
              <w:rPr>
                <w:rFonts w:ascii="Calibri" w:cs="Calibri" w:eastAsia="Calibri" w:hAnsi="Calibri"/>
                <w:sz w:val="18"/>
                <w:szCs w:val="18"/>
              </w:rPr>
              <w:t xml:space="preserve">  specificity — Overall Specificity (</w:t>
            </w:r>
            <w:hyperlink w:history="1" r:id="rIdoq_futcg7zztkbinjmluz">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Overall, dog (large-animal) cardiovascular findings generally track human QTc and combined BP/HR results but not perfectly: 91% of drugs that prolonged QT in humans also prolonged QT in nonrodent animals, and large-animal to human concordance for combined BP/HR showed sensitivity ~78% and specificity ~79% (Valentin et al. 2022; Bhatt et al. 2019). Dog-specific discrimination for clinical QT outcome was good by ROC (AUC 0.81 overall, 0.91 when two β2-agonists were excluded; Pollard et al. 2017), and a PK–PD example (moxifloxacin) gave a canine QTc increase of 16.6 ms versus ~10 ms in humans with similar C‑QTc slopes (Sadko et al. 2024). However, substantial discordance appears in some datasets (31% discordant of 150 drugs and 65% nonclinical false negatives among TQT‑positive drugs in Valentin et al. 2022), so negative and false‑negative results can occur depending on assay and exposure conditions.</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Sadko et al. 2024 included a vehicle/mock negative control that produced no QTc increase in canines (reported ~0.04 ms), which validated assay specificity.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because studies pool different endpoints (QTc vs BP vs HR), use different assays and exposure multiples (sensitivity rose with higher exposure), and sometimes exclude specific drug classes (e.g., β2‑agonists); predictive values also depend on the prevalence of positives in each dataset.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z5oqt1dias15nq5-dudxg">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n=24 — concordance between hERG potency and clinical QTc outcome (</w:t>
            </w:r>
            <w:hyperlink w:history="1" r:id="rIdpspo2cx5t5dnu8wrhwg8c">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large animal to human (combined BP and HR) (</w:t>
            </w:r>
            <w:hyperlink w:history="1" r:id="rIdde1zpojvr_do0esdyhddf">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large animal to human (combined BP and HR) (</w:t>
            </w:r>
            <w:hyperlink w:history="1" r:id="rIdiwsrl9a3b1pia5j5a0uic">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toio7x38flag5lvqquvbb">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0.81–0.91</w:t>
            </w:r>
            <w:r>
              <w:rPr>
                <w:rFonts w:ascii="Calibri" w:cs="Calibri" w:eastAsia="Calibri" w:hAnsi="Calibri"/>
                <w:sz w:val="18"/>
                <w:szCs w:val="18"/>
              </w:rPr>
              <w:t xml:space="preserve">  auc — concordance between dog QTc data and clinical QTc outcome (</w:t>
            </w:r>
            <w:hyperlink w:history="1" r:id="rId7djijo4bln9f9an-uxryj">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Non‑human primate / large‑animal data often tracked human cardiac safety findings but with important exceptions. Valentin et al. 2022 reported that 91% of drugs that prolonged QT in humans also prolonged QT in nonrodent animals and 88% of drugs that did not prolong QT in humans had no animal effect (database n=150; 47/150 drugs, 31% overall discordant), and Bhatt et al. 2019 found 78% sensitivity and 79% specificity for large‑animal to human concordance on combined blood‑pressure/heart‑rate changes. However, Valentin et al. also reported a high incidence of nonclinical false negatives among TQT‑positive drugs (65%); by contrast Sadko et al. 2024 showed a close quantitative match for moxifloxacin in NHPs (10.9 ms QTc change in NHPs vs ~10 ms in humans; AQTc slope 0.0043 ms/ng/mL vs human 0.0031).</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Sadko et al. 2024 included a mock/vehicle negative control that produced no QTc increase at up to 3× clinical concentration (used to validate detection limits). These are designed to score low and are excluded from the reading above.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ba-8g0xsd9jtzx3nxuyv9">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large animal to human (combined BP and HR) (</w:t>
            </w:r>
            <w:hyperlink w:history="1" r:id="rIdrx-nzrapuioexqiker2nt">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large animal to human (combined BP and HR) (</w:t>
            </w:r>
            <w:hyperlink w:history="1" r:id="rIdbxkr58zhi99vhqa8mg8lx">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m0pgzryiuduucpu205mef">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n=48 n=48 — Critical concentration multiple for 10ms QTc increase (moxifloxacin) (</w:t>
            </w:r>
            <w:hyperlink w:history="1" r:id="rIdlereqdewznsx-kiep82o2">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specificity of all nonclinical assays for clinical QTc prolongation (</w:t>
            </w:r>
            <w:hyperlink w:history="1" r:id="rIdl2nyjr125v35d-rtbkjeh">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Bhatt et al. 2019 found rats predicted combined blood-pressure/heart-rate effects seen in larger species (84% sensitivity, 71% specificity for combined BP/HR) but 23–26% of drugs produced the opposite direction for HR or BP. Valentin et al. 2022 found 91% of drugs that prolonged QT in humans also prolonged QT in animals, yet reported 47/150 (31%) overall discordant drugs and a 65% rate of nonclinical false negatives among TQT-positive drugs, with assay sensitivity varying by assay and exposure multiple.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endpoint and by assay: QT concordance was reported across multiple nonclinical assays (hERG, in vivo QTc, APD) and exposure multiples (sensitivity reported 19–57% by assay at 30x), whereas Bhatt reports functional cardiovascular end points (combined vs individual BP/HR) and directionality separately; these different sub-analyses produce the apparent spread in performance metrics.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ny4j1w5cpfueolfrgfhjt">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rat to large animal (combined BP and HR) (</w:t>
            </w:r>
            <w:hyperlink w:history="1" r:id="rIdczsxksclsjih5cocygqoa">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rat to large animal (combined BP and HR) (</w:t>
            </w:r>
            <w:hyperlink w:history="1" r:id="rIdtcjpup-lq06ylbgeldqcv">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yeni0liztwasc9cuzrsh2">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rat to large animal (directionality of HR change) (</w:t>
            </w:r>
            <w:hyperlink w:history="1" r:id="rIdlkgjr3adxc6emg-vkunca">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specificity of all nonclinical assays for clinical QTc prolongation (</w:t>
            </w:r>
            <w:hyperlink w:history="1" r:id="rIdmhhpx5u6a4r5dfbbrtdhh">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Baldrick et al. 2021 shows that non-rodent conscious telemetry identified drug-induced QTc interval changes in about 10% of telemetry studies (10% of studies) and that in vivo cardiovascular (conscious telemetry) testing was the primary non-rodent modality that provided utility for supporting safe clinical entry. At the same time the authors report that a stand-alone hERG assay was not "particularly sensitive" for predicting proarrhythmic risk and that low hERG IC50 values (e.g., ≤1 µM) showed little correlation with animal cardiovascular data. Taken together, non-rodent telemetry sometimes tracked electrophysiological signals relevant to safety (QTc in ~10% of studies) but in vitro hERG measurements did not reliably predict those animal cardiovascular findings.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proportion, n=92 studies — Rodent CNS (neurobehavioural) evaluations with findings identified as of obvious concern to moving affected drugs into clinic (</w:t>
            </w:r>
            <w:hyperlink w:history="1" r:id="rIdnxnas4evdgd-yx2qxnl8o">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21%</w:t>
            </w:r>
            <w:r>
              <w:rPr>
                <w:rFonts w:ascii="Calibri" w:cs="Calibri" w:eastAsia="Calibri" w:hAnsi="Calibri"/>
                <w:sz w:val="18"/>
                <w:szCs w:val="18"/>
              </w:rPr>
              <w:t xml:space="preserve">  proportion, n=92 studies — Rodent CNS studies (modified Irwin's or FOB test) with findings (</w:t>
            </w:r>
            <w:hyperlink w:history="1" r:id="rIdgmam-cumaykajncus1l0d">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w:t>
            </w:r>
            <w:r>
              <w:rPr>
                <w:rFonts w:ascii="Calibri" w:cs="Calibri" w:eastAsia="Calibri" w:hAnsi="Calibri"/>
                <w:sz w:val="18"/>
                <w:szCs w:val="18"/>
              </w:rPr>
              <w:t xml:space="preserve">  proportion — Rodent respiratory function (plethysmography) studies with findings (</w:t>
            </w:r>
            <w:hyperlink w:history="1" r:id="rIdgobxadnepax6smkxpnspq">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w:t>
            </w:r>
            <w:r>
              <w:rPr>
                <w:rFonts w:ascii="Calibri" w:cs="Calibri" w:eastAsia="Calibri" w:hAnsi="Calibri"/>
                <w:sz w:val="18"/>
                <w:szCs w:val="18"/>
              </w:rPr>
              <w:t xml:space="preserve">  proportion — Non-rodent telemetry studies identifying effects on QTc interval (</w:t>
            </w:r>
            <w:hyperlink w:history="1" r:id="rIdrjqzgxkgiasz_lxdwbyug">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Valentin et al. 2022 reports that nonclinical (nonrodent/pig) QT results often matched human QT findings: 91% of drugs that prolonged QT in humans also prolonged QT in animals, and 88% of drugs that did not prolong QT in humans showed no effect in animals. However overall agreement was only moderate — 47 of 150 drugs (31%) were discordant — and among 43 TQT-positive drugs, 28 (65%) were negative in the nonclinical assays (nonclinical false negatives). Sensitivity depended on assay and exposure (in vivo QTc 57% and hERG 50% at 30x exposure; APD 19%), while specificity was high (reported 89–100%).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performance varies by assay type and exposure multiple: sensitivity increases at higher exposure multiples and differs between assays (hERG ~50% and in vivo QTc ~57% at 30x, APD ~19%), while specificity is reported across exposure multiples as 89–100%.</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ha7jcy4w0jatpyxpxcx1f">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ugt-88dysycst1ui_0hdx">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specificity of all nonclinical assays for clinical QTc prolongation (</w:t>
            </w:r>
            <w:hyperlink w:history="1" r:id="rIdg1vmgxjpsrbfs-virzprb">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w:t>
            </w:r>
            <w:r>
              <w:rPr>
                <w:rFonts w:ascii="Calibri" w:cs="Calibri" w:eastAsia="Calibri" w:hAnsi="Calibri"/>
                <w:sz w:val="18"/>
                <w:szCs w:val="18"/>
              </w:rPr>
              <w:t xml:space="preserve">  proportion, n=43 TQT-positive drugs — discordant TQT-positive drugs (</w:t>
            </w:r>
            <w:hyperlink w:history="1" r:id="rId4jhp-zu4h4mldqu5goj0i">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w:t>
            </w:r>
            <w:r>
              <w:rPr>
                <w:rFonts w:ascii="Calibri" w:cs="Calibri" w:eastAsia="Calibri" w:hAnsi="Calibri"/>
                <w:sz w:val="18"/>
                <w:szCs w:val="18"/>
              </w:rPr>
              <w:t xml:space="preserve">  proportion — nonclinical false negatives among TQT-positive drugs (</w:t>
            </w:r>
            <w:hyperlink w:history="1" r:id="rIds__5qldyp9swwr8gpdlko">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Valentin et al. 2022 reports that nonrodent animal QT findings (including rabbits) often matched clinical outcomes: 91% of drugs that prolonged QT in humans also prolonged QT in animals and 88% of drugs that did not prolong QT in humans showed no effect in animals. However overall agreement was only moderate (47 of 150 drugs, 31% discordant), driven by many nonclinical false negatives among TQT‑positive drugs (28 of 43, 65%); in vivo QTc assays had only ~57% sensitivity at 30x exposure despite high specificity (~89–100%).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assay type and exposure multiple: sensitivity increased with higher exposure (to ~50–57% at 30x for hERG and in vivo QTc) but was low for APD assays (~19% at 30x); specificity ranged across assays and exposure multiples (~89–100%).</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19–57%</w:t>
            </w:r>
            <w:r>
              <w:rPr>
                <w:rFonts w:ascii="Calibri" w:cs="Calibri" w:eastAsia="Calibri" w:hAnsi="Calibri"/>
                <w:sz w:val="18"/>
                <w:szCs w:val="18"/>
              </w:rPr>
              <w:t xml:space="preserve">  sensitivity — sensitivity of hERG assay for clinical QTc prolongation at 30x exposure multiples (</w:t>
            </w:r>
            <w:hyperlink w:history="1" r:id="rIdl7wv6rndfaxle7cb-gb85">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88–91%</w:t>
            </w:r>
            <w:r>
              <w:rPr>
                <w:rFonts w:ascii="Calibri" w:cs="Calibri" w:eastAsia="Calibri" w:hAnsi="Calibri"/>
                <w:sz w:val="18"/>
                <w:szCs w:val="18"/>
              </w:rPr>
              <w:t xml:space="preserve">  proportion — concordance between QT results in humans and nonrodent animals (</w:t>
            </w:r>
            <w:hyperlink w:history="1" r:id="rId7r4spr9p7l3piy9q7aww6">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specificity of all nonclinical assays for clinical QTc prolongation (</w:t>
            </w:r>
            <w:hyperlink w:history="1" r:id="rIdwg9dfkxfmxln1to4xpwes">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w:t>
            </w:r>
            <w:r>
              <w:rPr>
                <w:rFonts w:ascii="Calibri" w:cs="Calibri" w:eastAsia="Calibri" w:hAnsi="Calibri"/>
                <w:sz w:val="18"/>
                <w:szCs w:val="18"/>
              </w:rPr>
              <w:t xml:space="preserve">  proportion, n=43 TQT-positive drugs — discordant TQT-positive drugs (</w:t>
            </w:r>
            <w:hyperlink w:history="1" r:id="rIdpwaarvvvhzqn_frxzuoyw">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w:t>
            </w:r>
            <w:r>
              <w:rPr>
                <w:rFonts w:ascii="Calibri" w:cs="Calibri" w:eastAsia="Calibri" w:hAnsi="Calibri"/>
                <w:sz w:val="18"/>
                <w:szCs w:val="18"/>
              </w:rPr>
              <w:t xml:space="preserve">  proportion — nonclinical false negatives among TQT-positive drugs (</w:t>
            </w:r>
            <w:hyperlink w:history="1" r:id="rIdy2gkmta2nzch0k4mqx0ne">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Baldrick et al. 2021 shows rodent safety‑pharmacology detected some abnormalities but these did not predict clinical concern: 21% of rodent CNS studies (n=92) and 28% of rodent respiratory studies (n=87) reported any findings, yet 0% of those findings were judged “of obvious concern” for moving drugs into the clinic. The authors report the stand‑alone hERG assay — including cases with low IC50 (≤1 µM) — had little correlation with animal cardiovascular data and was not particularly sensitive for predicting proarrhythmic risk. Overall, these results do not support rodent safety‑pharmacology (or hERG alone) as predictive of clinical safety concerns.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proportion, n=92 studies — Rodent CNS (neurobehavioural) evaluations with findings identified as of obvious concern to moving affected drugs into clinic (</w:t>
            </w:r>
            <w:hyperlink w:history="1" r:id="rIdav8fmlntpqygis0bwdira">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21%</w:t>
            </w:r>
            <w:r>
              <w:rPr>
                <w:rFonts w:ascii="Calibri" w:cs="Calibri" w:eastAsia="Calibri" w:hAnsi="Calibri"/>
                <w:sz w:val="18"/>
                <w:szCs w:val="18"/>
              </w:rPr>
              <w:t xml:space="preserve">  proportion, n=92 studies — Rodent CNS studies (modified Irwin's or FOB test) with findings (</w:t>
            </w:r>
            <w:hyperlink w:history="1" r:id="rIdb0j1eteqitegrr_3v6k7e">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28%</w:t>
            </w:r>
            <w:r>
              <w:rPr>
                <w:rFonts w:ascii="Calibri" w:cs="Calibri" w:eastAsia="Calibri" w:hAnsi="Calibri"/>
                <w:sz w:val="18"/>
                <w:szCs w:val="18"/>
              </w:rPr>
              <w:t xml:space="preserve">  proportion — Rodent respiratory function (plethysmography) studies with findings (</w:t>
            </w:r>
            <w:hyperlink w:history="1" r:id="rIdezvhqcl0mlvfwqs23jcoi">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w:t>
            </w:r>
            <w:r>
              <w:rPr>
                <w:rFonts w:ascii="Calibri" w:cs="Calibri" w:eastAsia="Calibri" w:hAnsi="Calibri"/>
                <w:sz w:val="18"/>
                <w:szCs w:val="18"/>
              </w:rPr>
              <w:t xml:space="preserve">  proportion — Non-rodent telemetry studies identifying effects on QTc interval (</w:t>
            </w:r>
            <w:hyperlink w:history="1" r:id="rIdwqoifagvyjyjcikdu22h1">
              <w:r>
                <w:rPr>
                  <w:rFonts w:ascii="Calibri" w:cs="Calibri" w:eastAsia="Calibri" w:hAnsi="Calibri"/>
                  <w:color w:val="1155CC"/>
                  <w:sz w:val="18"/>
                  <w:szCs w:val="18"/>
                  <w:u w:val="single"/>
                </w:rPr>
                <w:t xml:space="preserve">Baldrick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14 studies</w:t>
            </w:r>
          </w:p>
          <w:p>
            <w:pPr>
              <w:spacing w:after="0"/>
            </w:pPr>
            <w:r>
              <w:rPr>
                <w:rFonts w:ascii="Calibri" w:cs="Calibri" w:eastAsia="Calibri" w:hAnsi="Calibri"/>
                <w:color w:val="666666"/>
                <w:sz w:val="16"/>
                <w:szCs w:val="16"/>
              </w:rPr>
              <w:t xml:space="preserve">7 partly supports</w:t>
            </w:r>
          </w:p>
          <w:p>
            <w:pPr>
              <w:spacing w:after="0"/>
            </w:pPr>
            <w:r>
              <w:rPr>
                <w:rFonts w:ascii="Calibri" w:cs="Calibri" w:eastAsia="Calibri" w:hAnsi="Calibri"/>
                <w:color w:val="666666"/>
                <w:sz w:val="16"/>
                <w:szCs w:val="16"/>
              </w:rPr>
              <w:t xml:space="preserve">4 does not support</w:t>
            </w:r>
          </w:p>
          <w:p>
            <w:pPr>
              <w:spacing w:after="0"/>
            </w:pPr>
            <w:r>
              <w:rPr>
                <w:rFonts w:ascii="Calibri" w:cs="Calibri" w:eastAsia="Calibri" w:hAnsi="Calibri"/>
                <w:color w:val="666666"/>
                <w:sz w:val="16"/>
                <w:szCs w:val="16"/>
              </w:rPr>
              <w:t xml:space="preserve">3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several studies report clear transcriptomic agreement between specific mouse models and the corresponding human disease (e.g. Takao et al. 2015 found Spearman r = 0.43–0.68 and 77–93% of genes changing in the same direction), and disease‑focused models show large overlapping DEG sets (Hansen et al. 2020 found 4,418 overlapping DEGs between GAN DIO‑NASH mice and human NASH). However, other analyses find little or near‑random correspondence — for example Seok et al. 2013 reported very low Pearson R^2 (≤0.09) with only ~47–63% of genes changing in the same direction, and Kodamullil et al. 2017 reported that mouse models mimicked only 12% of genes deregulated in human conditions. Overall, whether mouse results “track” human disease depends strongly on the model, analytic threshold and the metric used.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concordance varies by disease model, timepoint/duration, data thresholding and metric: some papers compare top/high‑magnitude genes or pathway enrichment (raising correlations), others use whole‑transcriptome Pearson/Spearman on all orthologs (lower correlations), and exposure duration or diet/model protocol substantially changes recall/overlap.</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47–93.2%</w:t>
            </w:r>
            <w:r>
              <w:rPr>
                <w:rFonts w:ascii="Calibri" w:cs="Calibri" w:eastAsia="Calibri" w:hAnsi="Calibri"/>
                <w:sz w:val="18"/>
                <w:szCs w:val="18"/>
              </w:rPr>
              <w:t xml:space="preserve">  percentage, n=4,918 human genes — percentage of genes changed in the same direction between human conditions and mouse orthologs in mouse models (</w:t>
            </w:r>
            <w:hyperlink w:history="1" r:id="rIdas-xy15s8ltnn22cyz11f">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pbvjv9t1r6oh3tyelanbg">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-0.04–0.15</w:t>
            </w:r>
            <w:r>
              <w:rPr>
                <w:rFonts w:ascii="Calibri" w:cs="Calibri" w:eastAsia="Calibri" w:hAnsi="Calibri"/>
                <w:sz w:val="18"/>
                <w:szCs w:val="18"/>
              </w:rPr>
              <w:t xml:space="preserve">  average concordance, n=9 mouse studies — Average concordance of differential gene expression signatures (</w:t>
            </w:r>
            <w:hyperlink w:history="1" r:id="rIdxbamtax99cunlavlntvat">
              <w:r>
                <w:rPr>
                  <w:rFonts w:ascii="Calibri" w:cs="Calibri" w:eastAsia="Calibri" w:hAnsi="Calibri"/>
                  <w:color w:val="1155CC"/>
                  <w:sz w:val="18"/>
                  <w:szCs w:val="18"/>
                  <w:u w:val="single"/>
                </w:rPr>
                <w:t xml:space="preserve">Oerton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-0.01–0.08</w:t>
            </w:r>
            <w:r>
              <w:rPr>
                <w:rFonts w:ascii="Calibri" w:cs="Calibri" w:eastAsia="Calibri" w:hAnsi="Calibri"/>
                <w:sz w:val="18"/>
                <w:szCs w:val="18"/>
              </w:rPr>
              <w:t xml:space="preserve">  pearson correlation (r^2) — correlation of gene response between human burn and mouse burn (</w:t>
            </w:r>
            <w:hyperlink w:history="1" r:id="rIdl2dt_ieqhxlonzjqsbtpy">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3.3e-30–2.2e-09</w:t>
            </w:r>
            <w:r>
              <w:rPr>
                <w:rFonts w:ascii="Calibri" w:cs="Calibri" w:eastAsia="Calibri" w:hAnsi="Calibri"/>
                <w:sz w:val="18"/>
                <w:szCs w:val="18"/>
              </w:rPr>
              <w:t xml:space="preserve">  p value — Overlap P value for 'lymphocyte differentiation' genes down-regulated in mouse burn (</w:t>
            </w:r>
            <w:hyperlink w:history="1" r:id="rIdzlx8keq43v_l1n_ydtxty">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8.7e-25–0.0003</w:t>
            </w:r>
            <w:r>
              <w:rPr>
                <w:rFonts w:ascii="Calibri" w:cs="Calibri" w:eastAsia="Calibri" w:hAnsi="Calibri"/>
                <w:sz w:val="18"/>
                <w:szCs w:val="18"/>
              </w:rPr>
              <w:t xml:space="preserve">  p value — Overlap P value for 'translocation of ZAP-70 to immunological synapse' genes down-regulated in human burn (</w:t>
            </w:r>
            <w:hyperlink w:history="1" r:id="rIdlkzxo-hqnrgq-ic2el214">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4.1e-90–1.3e-16</w:t>
            </w:r>
            <w:r>
              <w:rPr>
                <w:rFonts w:ascii="Calibri" w:cs="Calibri" w:eastAsia="Calibri" w:hAnsi="Calibri"/>
                <w:sz w:val="18"/>
                <w:szCs w:val="18"/>
              </w:rPr>
              <w:t xml:space="preserve">  p value — Overlap P value for 'innate immune response' genes up-regulated in mouse burn (</w:t>
            </w:r>
            <w:hyperlink w:history="1" r:id="rIdilcp-bs8loi9pveqx1men">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8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Rat data track human disease biology for many physiological and behavioural readouts but diverge for some transcriptomic and pharmacologic responses. For example, 26/30 blood biochemical variables changed in the same direction after exercise and the magnitude of uniform change was similar (7.9% in rats vs 7.3% in humans; Goutianos et al. 2015), and cognitive/electrophysiological task patterns were comparable (rats 2.6 vs humans 4.4 reversals/100 trials; Der-Avakian et al. 2025). By contrast, transcriptomic concordance in Parkinson’s disease models is poor (average concordance in rat PD studies = -0.04 and animal models recovered 10% of PD-associated genes vs 36% in human studies; Oerton et al. 2017), and rats showed divergence under some interventions (10/19 biomarkers had species×vitamin C interactions; Veskoukis et al. 2016).</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because studies measure different endpoints and models: acute physiological assays and behavioural/electrophysiological tasks (exercise biomarkers, cognitive tasks) show close rat–human agreement, whereas transcriptomic meta-analyses (Parkinson’s models) and certain pharmacologic manipulations (vitamin C) show poor concordance; disease model, assay type, and experimental manipulation drive the heterogeneity.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-0.04–0.15</w:t>
            </w:r>
            <w:r>
              <w:rPr>
                <w:rFonts w:ascii="Calibri" w:cs="Calibri" w:eastAsia="Calibri" w:hAnsi="Calibri"/>
                <w:sz w:val="18"/>
                <w:szCs w:val="18"/>
              </w:rPr>
              <w:t xml:space="preserve">  average concordance, n=9 mouse studies — Average concordance of differential gene expression signatures (</w:t>
            </w:r>
            <w:hyperlink w:history="1" r:id="rIdlk9qs6z_xt2kuodssjwmn">
              <w:r>
                <w:rPr>
                  <w:rFonts w:ascii="Calibri" w:cs="Calibri" w:eastAsia="Calibri" w:hAnsi="Calibri"/>
                  <w:color w:val="1155CC"/>
                  <w:sz w:val="18"/>
                  <w:szCs w:val="18"/>
                  <w:u w:val="single"/>
                </w:rPr>
                <w:t xml:space="preserve">Oerton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n=11 n = 11 — Q-values for target stimuli (</w:t>
            </w:r>
            <w:hyperlink w:history="1" r:id="rIdjspgbr7pkkp6zdvgkc5ba">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0.941</w:t>
            </w:r>
            <w:r>
              <w:rPr>
                <w:rFonts w:ascii="Calibri" w:cs="Calibri" w:eastAsia="Calibri" w:hAnsi="Calibri"/>
                <w:sz w:val="18"/>
                <w:szCs w:val="18"/>
              </w:rPr>
              <w:t xml:space="preserve">  mhps score — MHPS metabolic relevance score for WD0.2% diet (</w:t>
            </w:r>
            <w:hyperlink w:history="1" r:id="rIdmnpxuclrttdjsksxrmna_">
              <w:r>
                <w:rPr>
                  <w:rFonts w:ascii="Calibri" w:cs="Calibri" w:eastAsia="Calibri" w:hAnsi="Calibri"/>
                  <w:color w:val="1155CC"/>
                  <w:sz w:val="18"/>
                  <w:szCs w:val="18"/>
                  <w:u w:val="single"/>
                </w:rPr>
                <w:t xml:space="preserve">Vacca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186.32–270.28</w:t>
            </w:r>
            <w:r>
              <w:rPr>
                <w:rFonts w:ascii="Calibri" w:cs="Calibri" w:eastAsia="Calibri" w:hAnsi="Calibri"/>
                <w:sz w:val="18"/>
                <w:szCs w:val="18"/>
              </w:rPr>
              <w:t xml:space="preserve">  mean, n=20 — Thrombin Concentration Peak (Mean, nM) (</w:t>
            </w:r>
            <w:hyperlink w:history="1" r:id="rId2ylybim_yml9ttr0zlcjt">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6.45–75.19</w:t>
            </w:r>
            <w:r>
              <w:rPr>
                <w:rFonts w:ascii="Calibri" w:cs="Calibri" w:eastAsia="Calibri" w:hAnsi="Calibri"/>
                <w:sz w:val="18"/>
                <w:szCs w:val="18"/>
              </w:rPr>
              <w:t xml:space="preserve">  mean, n=20 — Thrombin Production Rate (Mean, nM/min) (</w:t>
            </w:r>
            <w:hyperlink w:history="1" r:id="rIdh54hrstpvw6nmskrwlha5">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-0.0038–0.0933</w:t>
            </w:r>
            <w:r>
              <w:rPr>
                <w:rFonts w:ascii="Calibri" w:cs="Calibri" w:eastAsia="Calibri" w:hAnsi="Calibri"/>
                <w:sz w:val="18"/>
                <w:szCs w:val="18"/>
              </w:rPr>
              <w:t xml:space="preserve">  slope — Proliferation capacity (slope difference to human) under healthy conditions (</w:t>
            </w:r>
            <w:hyperlink w:history="1" r:id="rIdiihmlkiw8omufb8pnvnnv">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Tarandovskiy et al. 2020 report coagulation parameters in baboon and rhesus that are close to human values (e.g., rhesus thrombin production 111.22 nM/min vs human 111.51 nM/min), and Ranjan et al. 2025 argue structural/neurodevelopmental features favour primates for some disease biology. However, Marshall et al. 2023 found 67–80% of non-human primate trials showed apparent improvement while only 32% of human trials showed clinical improvement, and Oerton et al. 2017 report that animal-model meta-analysis recovered 10% of PD-associated genes versus 36% from human studies—together indicating animal (including NHP) findings do not consistently track human disease biology.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67–80% range for non-human primate trials (Marshall et al. 2023) reflects different NHP trial subsets/definitions reported within that study (e.g., varying disease areas or inclusion criteria), not a single pooled estimate.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-0.04–0.15</w:t>
            </w:r>
            <w:r>
              <w:rPr>
                <w:rFonts w:ascii="Calibri" w:cs="Calibri" w:eastAsia="Calibri" w:hAnsi="Calibri"/>
                <w:sz w:val="18"/>
                <w:szCs w:val="18"/>
              </w:rPr>
              <w:t xml:space="preserve">  average concordance, n=9 mouse studies — Average concordance of differential gene expression signatures (</w:t>
            </w:r>
            <w:hyperlink w:history="1" r:id="rIduldj8klxzdk1xvg3h__on">
              <w:r>
                <w:rPr>
                  <w:rFonts w:ascii="Calibri" w:cs="Calibri" w:eastAsia="Calibri" w:hAnsi="Calibri"/>
                  <w:color w:val="1155CC"/>
                  <w:sz w:val="18"/>
                  <w:szCs w:val="18"/>
                  <w:u w:val="single"/>
                </w:rPr>
                <w:t xml:space="preserve">Oerton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398.95–565.84</w:t>
            </w:r>
            <w:r>
              <w:rPr>
                <w:rFonts w:ascii="Calibri" w:cs="Calibri" w:eastAsia="Calibri" w:hAnsi="Calibri"/>
                <w:sz w:val="18"/>
                <w:szCs w:val="18"/>
              </w:rPr>
              <w:t xml:space="preserve">  mean, n=10 — Thrombin Concentration Peak (Mean, nM) (</w:t>
            </w:r>
            <w:hyperlink w:history="1" r:id="rIdtrwwydfoscp8qw4iiqrza">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49.78–124.22</w:t>
            </w:r>
            <w:r>
              <w:rPr>
                <w:rFonts w:ascii="Calibri" w:cs="Calibri" w:eastAsia="Calibri" w:hAnsi="Calibri"/>
                <w:sz w:val="18"/>
                <w:szCs w:val="18"/>
              </w:rPr>
              <w:t xml:space="preserve">  mean, n=10 — Thrombin Production Rate (Mean, nM/min) (</w:t>
            </w:r>
            <w:hyperlink w:history="1" r:id="rIdcq7azvgfu3n9_k2a4yg5x">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25–45%</w:t>
            </w:r>
            <w:r>
              <w:rPr>
                <w:rFonts w:ascii="Calibri" w:cs="Calibri" w:eastAsia="Calibri" w:hAnsi="Calibri"/>
                <w:sz w:val="18"/>
                <w:szCs w:val="18"/>
              </w:rPr>
              <w:t xml:space="preserve">  proportion — Proportion of simplex families with coding DNVs explained by CNVs (boys) (</w:t>
            </w:r>
            <w:hyperlink w:history="1" r:id="rId-4-nes-6w5f9ippgcyrpd">
              <w:r>
                <w:rPr>
                  <w:rFonts w:ascii="Calibri" w:cs="Calibri" w:eastAsia="Calibri" w:hAnsi="Calibri"/>
                  <w:color w:val="1155CC"/>
                  <w:sz w:val="18"/>
                  <w:szCs w:val="18"/>
                  <w:u w:val="single"/>
                </w:rPr>
                <w:t xml:space="preserve">Ranjan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546.26–565.84</w:t>
            </w:r>
            <w:r>
              <w:rPr>
                <w:rFonts w:ascii="Calibri" w:cs="Calibri" w:eastAsia="Calibri" w:hAnsi="Calibri"/>
                <w:sz w:val="18"/>
                <w:szCs w:val="18"/>
              </w:rPr>
              <w:t xml:space="preserve">  mean, n=10 — Plasmin Concentration Peak (Mean, nM) (</w:t>
            </w:r>
            <w:hyperlink w:history="1" r:id="rIdqkl6ekugu-4frevrkaklc">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49.78–90.81</w:t>
            </w:r>
            <w:r>
              <w:rPr>
                <w:rFonts w:ascii="Calibri" w:cs="Calibri" w:eastAsia="Calibri" w:hAnsi="Calibri"/>
                <w:sz w:val="18"/>
                <w:szCs w:val="18"/>
              </w:rPr>
              <w:t xml:space="preserve">  mean, n=10 — Plasmin Production Rate (Mean, nM/min) (</w:t>
            </w:r>
            <w:hyperlink w:history="1" r:id="rIdt3-x8omhno1lfzf2aapqk">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shows pigs partially recapitulate human coagulation: Tarandovskiy et al. 2020 measured a swine thrombin concentration peak of 242.35 nM (≈50% of the human 484.25 nM) and a thrombin production rate of 93.6 nM/min (≈84% of the human 111.51 nM), but swine samples produced no detectable plasmin while human plasmin peak is 457.20 nM and production rate 34.80 nM/min. Ranjan et al. 2025 highlights general limitations of animal models for human disease biology and favors primate models for some neurodevelopmental traits, providing no evidence that pigs reproduce human-specific transcriptional or neurodevelopmental features. Overall, pig results partly track human thrombin metrics but fail to reproduce human fibrinolysis, so translatability for disease biology is mixed.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9.86–242.35</w:t>
            </w:r>
            <w:r>
              <w:rPr>
                <w:rFonts w:ascii="Calibri" w:cs="Calibri" w:eastAsia="Calibri" w:hAnsi="Calibri"/>
                <w:sz w:val="18"/>
                <w:szCs w:val="18"/>
              </w:rPr>
              <w:t xml:space="preserve">  mean, n=20 — Thrombin Concentration Peak (Mean, nM) (</w:t>
            </w:r>
            <w:hyperlink w:history="1" r:id="rId6mudkyejwk-i2upqbljly">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1.48–93.6</w:t>
            </w:r>
            <w:r>
              <w:rPr>
                <w:rFonts w:ascii="Calibri" w:cs="Calibri" w:eastAsia="Calibri" w:hAnsi="Calibri"/>
                <w:sz w:val="18"/>
                <w:szCs w:val="18"/>
              </w:rPr>
              <w:t xml:space="preserve">  mean, n=20 — Thrombin Production Rate (Mean, nM/min) (</w:t>
            </w:r>
            <w:hyperlink w:history="1" r:id="rIdsoaq4za5ovxb0cfuwh4bf">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25–45%</w:t>
            </w:r>
            <w:r>
              <w:rPr>
                <w:rFonts w:ascii="Calibri" w:cs="Calibri" w:eastAsia="Calibri" w:hAnsi="Calibri"/>
                <w:sz w:val="18"/>
                <w:szCs w:val="18"/>
              </w:rPr>
              <w:t xml:space="preserve">  proportion — Proportion of simplex families with coding DNVs explained by CNVs (boys) (</w:t>
            </w:r>
            <w:hyperlink w:history="1" r:id="rIdp29eogfkn3o3im1ebtgnz">
              <w:r>
                <w:rPr>
                  <w:rFonts w:ascii="Calibri" w:cs="Calibri" w:eastAsia="Calibri" w:hAnsi="Calibri"/>
                  <w:color w:val="1155CC"/>
                  <w:sz w:val="18"/>
                  <w:szCs w:val="18"/>
                  <w:u w:val="single"/>
                </w:rPr>
                <w:t xml:space="preserve">Ranjan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81.98</w:t>
            </w:r>
            <w:r>
              <w:rPr>
                <w:rFonts w:ascii="Calibri" w:cs="Calibri" w:eastAsia="Calibri" w:hAnsi="Calibri"/>
                <w:sz w:val="18"/>
                <w:szCs w:val="18"/>
              </w:rPr>
              <w:t xml:space="preserve">  mean, n=14 — Plasmin Concentration Peak (Mean, nM) (</w:t>
            </w:r>
            <w:hyperlink w:history="1" r:id="rIdylwtccnnp0xbemf4qjysz">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1.48</w:t>
            </w:r>
            <w:r>
              <w:rPr>
                <w:rFonts w:ascii="Calibri" w:cs="Calibri" w:eastAsia="Calibri" w:hAnsi="Calibri"/>
                <w:sz w:val="18"/>
                <w:szCs w:val="18"/>
              </w:rPr>
              <w:t xml:space="preserve">  mean, n=14 — Plasmin Production Rate (Mean, nM/min) (</w:t>
            </w:r>
            <w:hyperlink w:history="1" r:id="rId_n5aibscf6qvbn2z5dqbm">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w:t>
            </w:r>
            <w:r>
              <w:rPr>
                <w:rFonts w:ascii="Calibri" w:cs="Calibri" w:eastAsia="Calibri" w:hAnsi="Calibri"/>
                <w:sz w:val="18"/>
                <w:szCs w:val="18"/>
              </w:rPr>
              <w:t xml:space="preserve">  ratio — ASD prevalence in males vs. females (</w:t>
            </w:r>
            <w:hyperlink w:history="1" r:id="rIdjoj1xirzbwcetkneegwyq">
              <w:r>
                <w:rPr>
                  <w:rFonts w:ascii="Calibri" w:cs="Calibri" w:eastAsia="Calibri" w:hAnsi="Calibri"/>
                  <w:color w:val="1155CC"/>
                  <w:sz w:val="18"/>
                  <w:szCs w:val="18"/>
                  <w:u w:val="single"/>
                </w:rPr>
                <w:t xml:space="preserve">Ranjan et al. 2025</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The evidence shows rodent results do not reliably track human disease biology. Leist et al. 2013 reports a 43% predictivity of rodents for humans in toxicology and describes poor to virtually absent correlation between mouse and human responses across inflammation, burns, trauma, endotoxemia, sepsis and infection. Marshall et al. 2023 found apparent improvement in preclinical disease-modifying interventions in 90% of mouse studies, 95% of rat studies and 67–80% of non-human primate trials while only 32% of the corresponding human trials showed clinical improvement.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67–80% range comes from different non-human primate trial subsets/analyses reported within Marshall et al. 2023.</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43%</w:t>
            </w:r>
            <w:r>
              <w:rPr>
                <w:rFonts w:ascii="Calibri" w:cs="Calibri" w:eastAsia="Calibri" w:hAnsi="Calibri"/>
                <w:sz w:val="18"/>
                <w:szCs w:val="18"/>
              </w:rPr>
              <w:t xml:space="preserve">  predictivity — predictivity of rodents for man in toxicology (</w:t>
            </w:r>
            <w:hyperlink w:history="1" r:id="rIdadfa6ap1doogalqfit9ul">
              <w:r>
                <w:rPr>
                  <w:rFonts w:ascii="Calibri" w:cs="Calibri" w:eastAsia="Calibri" w:hAnsi="Calibri"/>
                  <w:color w:val="1155CC"/>
                  <w:sz w:val="18"/>
                  <w:szCs w:val="18"/>
                  <w:u w:val="single"/>
                </w:rPr>
                <w:t xml:space="preserve">Leist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67%</w:t>
            </w:r>
            <w:r>
              <w:rPr>
                <w:rFonts w:ascii="Calibri" w:cs="Calibri" w:eastAsia="Calibri" w:hAnsi="Calibri"/>
                <w:sz w:val="18"/>
                <w:szCs w:val="18"/>
              </w:rPr>
              <w:t xml:space="preserve">  apparent improvement — improvement with disease-modifying interventions (</w:t>
            </w:r>
            <w:hyperlink w:history="1" r:id="rIdtbaftjyuhoc02wy0ibh0r">
              <w:r>
                <w:rPr>
                  <w:rFonts w:ascii="Calibri" w:cs="Calibri" w:eastAsia="Calibri" w:hAnsi="Calibri"/>
                  <w:color w:val="1155CC"/>
                  <w:sz w:val="18"/>
                  <w:szCs w:val="18"/>
                  <w:u w:val="single"/>
                </w:rPr>
                <w:t xml:space="preserve">Marshall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32%</w:t>
            </w:r>
            <w:r>
              <w:rPr>
                <w:rFonts w:ascii="Calibri" w:cs="Calibri" w:eastAsia="Calibri" w:hAnsi="Calibri"/>
                <w:sz w:val="18"/>
                <w:szCs w:val="18"/>
              </w:rPr>
              <w:t xml:space="preserve">  clinical improvement — clinical improvement with disease-modifying interventions (</w:t>
            </w:r>
            <w:hyperlink w:history="1" r:id="rIdfjfy2itccf8kayi5bpjos">
              <w:r>
                <w:rPr>
                  <w:rFonts w:ascii="Calibri" w:cs="Calibri" w:eastAsia="Calibri" w:hAnsi="Calibri"/>
                  <w:color w:val="1155CC"/>
                  <w:sz w:val="18"/>
                  <w:szCs w:val="18"/>
                  <w:u w:val="single"/>
                </w:rPr>
                <w:t xml:space="preserve">Marshall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shows that C. elegans gene-expression patterns produce modest cross-species similarity: most within-stage C. elegans–Drosophila comparisons had genome-wide c-scores above 0.1 (on a 0–1 scale), but one reported pair (C. elegans larva vs D. melanogaster larva) was 0.087, below that cutoff. The paper does not provide strong evidence that C. elegans transcriptomes closely recapitulate human inflammatory-disease signatures, so C. elegans gives only limited support for human disease biology in this dataset.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Reported values vary by which stage pairs and comparisons were made (within-stage C. elegans–Drosophila pairs vs other pairings) and by whether the measure is genome-wide or pathway-specific, so some specific pairs fall below the 0.1 threshold while most within-stage pairs exceed it.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0–0.52</w:t>
            </w:r>
            <w:r>
              <w:rPr>
                <w:rFonts w:ascii="Calibri" w:cs="Calibri" w:eastAsia="Calibri" w:hAnsi="Calibri"/>
                <w:sz w:val="18"/>
                <w:szCs w:val="18"/>
              </w:rPr>
              <w:t xml:space="preserve">  c-score — genome-wide c-scores between human inflammatory studies (HB, HI, HT, HS) (</w:t>
            </w:r>
            <w:hyperlink w:history="1" r:id="rIdx6goajorhknkkx1h9jcog">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0.31</w:t>
            </w:r>
            <w:r>
              <w:rPr>
                <w:rFonts w:ascii="Calibri" w:cs="Calibri" w:eastAsia="Calibri" w:hAnsi="Calibri"/>
                <w:sz w:val="18"/>
                <w:szCs w:val="18"/>
              </w:rPr>
              <w:t xml:space="preserve">  median c-score — median c-score for HI1 vs. HI2 in hsa04662 (</w:t>
            </w:r>
            <w:hyperlink w:history="1" r:id="rIdj1zwhtkx91uivvszxhtsy">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0.1</w:t>
            </w:r>
            <w:r>
              <w:rPr>
                <w:rFonts w:ascii="Calibri" w:cs="Calibri" w:eastAsia="Calibri" w:hAnsi="Calibri"/>
                <w:sz w:val="18"/>
                <w:szCs w:val="18"/>
              </w:rPr>
              <w:t xml:space="preserve">  c-score — genome-wide c-scores between Drosophila and C. elegans stages (</w:t>
            </w:r>
            <w:hyperlink w:history="1" r:id="rIdqbakygjipt1lphev1bozb">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w:t>
            </w:r>
            <w:r>
              <w:rPr>
                <w:rFonts w:ascii="Calibri" w:cs="Calibri" w:eastAsia="Calibri" w:hAnsi="Calibri"/>
                <w:sz w:val="18"/>
                <w:szCs w:val="18"/>
              </w:rPr>
              <w:t xml:space="preserve">  c-score — c-score for ce.lar-dm.lar (</w:t>
            </w:r>
            <w:hyperlink w:history="1" r:id="rIdfp15a56ccbryhzsfgukmc">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shows D. melanogaster transcriptomes have small, inconsistent similarity to inflammatory signatures: most within‑stage cross‑species genome‑wide c‑scores involving Drosophila exceeded 0.1, but at least one stage pair (C. elegans larva vs D. melanogaster larva) was 0.087. The paper reports human–human genome‑wide c‑scores up to 0.25–0.52 for some comparisons and ≈0 for others, so Drosophila’s c‑scores are generally much lower than the highest human–human concordances. Overall the evidence is mixed: D. melanogaster tracks some stage‑matched transcriptomic signals but only with small overlaps to human inflammatory profiles.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Values come from different pairwise and sub‑analyses: (a) within‑stage cross‑species comparisons (Drosophila vs other species) cluster just above 0.1, (b) specific human–human pathway comparisons reach 0.25–0.52, and (c) other human pairs show c‑scores ≈0; the reported range therefore reflects different species pairs, stages, and pathway‑level versus genome‑wide tests.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0–0.52</w:t>
            </w:r>
            <w:r>
              <w:rPr>
                <w:rFonts w:ascii="Calibri" w:cs="Calibri" w:eastAsia="Calibri" w:hAnsi="Calibri"/>
                <w:sz w:val="18"/>
                <w:szCs w:val="18"/>
              </w:rPr>
              <w:t xml:space="preserve">  c-score — genome-wide c-scores between human inflammatory studies (HB, HI, HT, HS) (</w:t>
            </w:r>
            <w:hyperlink w:history="1" r:id="rIdqsiwzktwct9kngqqtdc--">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0.31</w:t>
            </w:r>
            <w:r>
              <w:rPr>
                <w:rFonts w:ascii="Calibri" w:cs="Calibri" w:eastAsia="Calibri" w:hAnsi="Calibri"/>
                <w:sz w:val="18"/>
                <w:szCs w:val="18"/>
              </w:rPr>
              <w:t xml:space="preserve">  median c-score — median c-score for HI1 vs. HI2 in hsa04662 (</w:t>
            </w:r>
            <w:hyperlink w:history="1" r:id="rIduidw3j-trtbpn32zcfhln">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0.1</w:t>
            </w:r>
            <w:r>
              <w:rPr>
                <w:rFonts w:ascii="Calibri" w:cs="Calibri" w:eastAsia="Calibri" w:hAnsi="Calibri"/>
                <w:sz w:val="18"/>
                <w:szCs w:val="18"/>
              </w:rPr>
              <w:t xml:space="preserve">  c-score — genome-wide c-scores between Drosophila and C. elegans stages (</w:t>
            </w:r>
            <w:hyperlink w:history="1" r:id="rIdrgg81ekue_erpzgrfouav">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w:t>
            </w:r>
            <w:r>
              <w:rPr>
                <w:rFonts w:ascii="Calibri" w:cs="Calibri" w:eastAsia="Calibri" w:hAnsi="Calibri"/>
                <w:sz w:val="18"/>
                <w:szCs w:val="18"/>
              </w:rPr>
              <w:t xml:space="preserve">  c-score — c-score for ce.lar-dm.lar (</w:t>
            </w:r>
            <w:hyperlink w:history="1" r:id="rIdyhylkg9b8ri7cmokmep2s">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shows that horse tenocyte responses match human tenocytes under transient inflammatory conditions (Mahalanobis distance for all genes = 9.59) and that horses approximate human wound-closure/migration, but horse baseline (healthy) proliferation differs markedly from human (slope difference to human = 0.3000, p&lt;2e-16). Proliferation difference under transient inflammation was small and not significant (slope = 0.0233, p=0.4868), while migration differences were small (migration slope difference under healthy = 0.0133, p=0.00375). Overall, similarity depends on the inflammatory context and on which gene sets are considered.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metrics vary by inflammatory condition (e.g., all-genes Mahalanobis distance 23.05 in healthy vs 9.59 in transient inflammation) and by gene subset (e.g., MMPs distance 4.65 vs inflammatory mediators 17.77), so different sub-analyses yield the wide range of values.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Proliferation capacity (slope difference to human) under healthy conditions (</w:t>
            </w:r>
            <w:hyperlink w:history="1" r:id="rIdzfavfw9hqfxxgqfwlux52">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9.59–23.05</w:t>
            </w:r>
            <w:r>
              <w:rPr>
                <w:rFonts w:ascii="Calibri" w:cs="Calibri" w:eastAsia="Calibri" w:hAnsi="Calibri"/>
                <w:sz w:val="18"/>
                <w:szCs w:val="18"/>
              </w:rPr>
              <w:t xml:space="preserve">  mahalanobis distance — Mahalanobis distance to human for all genes combined under healthy conditions (</w:t>
            </w:r>
            <w:hyperlink w:history="1" r:id="rIdp7dzsrsgqb975qzxtvzgf">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-0.014–-0.0123</w:t>
            </w:r>
            <w:r>
              <w:rPr>
                <w:rFonts w:ascii="Calibri" w:cs="Calibri" w:eastAsia="Calibri" w:hAnsi="Calibri"/>
                <w:sz w:val="18"/>
                <w:szCs w:val="18"/>
              </w:rPr>
              <w:t xml:space="preserve">  slope — Migration slope (difference to human) under transient inflammation (</w:t>
            </w:r>
            <w:hyperlink w:history="1" r:id="rIdphmdf74p1llt0a8vlewu6">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0.0132563</w:t>
            </w:r>
            <w:r>
              <w:rPr>
                <w:rFonts w:ascii="Calibri" w:cs="Calibri" w:eastAsia="Calibri" w:hAnsi="Calibri"/>
                <w:sz w:val="18"/>
                <w:szCs w:val="18"/>
              </w:rPr>
              <w:t xml:space="preserve">  slope — Migration slope (difference to human) under healthy conditions (</w:t>
            </w:r>
            <w:hyperlink w:history="1" r:id="rIdragk5kvbemmf2gvay6won">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6.88</w:t>
            </w:r>
            <w:r>
              <w:rPr>
                <w:rFonts w:ascii="Calibri" w:cs="Calibri" w:eastAsia="Calibri" w:hAnsi="Calibri"/>
                <w:sz w:val="18"/>
                <w:szCs w:val="18"/>
              </w:rPr>
              <w:t xml:space="preserve">  mahalanobis distance — Mahalanobis distance to human for tenogenic markers (SCX, TNC, TNMD) (</w:t>
            </w:r>
            <w:hyperlink w:history="1" r:id="rIdzytfvq0t5vt5tbv7bbruf">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8.45</w:t>
            </w:r>
            <w:r>
              <w:rPr>
                <w:rFonts w:ascii="Calibri" w:cs="Calibri" w:eastAsia="Calibri" w:hAnsi="Calibri"/>
                <w:sz w:val="18"/>
                <w:szCs w:val="18"/>
              </w:rPr>
              <w:t xml:space="preserve">  mahalanobis distance — Mahalanobis distance to human for collagens (COL1, COL3, COL5) (</w:t>
            </w:r>
            <w:hyperlink w:history="1" r:id="rIdj6szznyxd6xtkiapecjbv">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Tarandovskiy et al. 2020 shows rabbit thrombin and plasmin generation values were substantially lower than human: thrombin concentration peak 71.6 nM (≈14.8% of human 484.25 nM) and thrombin production rate 14.93 nM/min (≈13.4% of human 111.51 nM); plasmin concentration peak 197.71 nM (≈43.3% of human 457.20 nM) and plasmin production rate 17.63 nM/min (≈50.6% of human 34.80 nM). The paper also notes rabbit plasmin-generation (PG) curves showed high variability. Overall the rabbit TG/PG measures reported do not track human values.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71.6–197.71</w:t>
            </w:r>
            <w:r>
              <w:rPr>
                <w:rFonts w:ascii="Calibri" w:cs="Calibri" w:eastAsia="Calibri" w:hAnsi="Calibri"/>
                <w:sz w:val="18"/>
                <w:szCs w:val="18"/>
              </w:rPr>
              <w:t xml:space="preserve">  mean, n=10 — Thrombin Concentration Peak (Mean, nM) (</w:t>
            </w:r>
            <w:hyperlink w:history="1" r:id="rId-wbwszjimgp30b-rpw-nc">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14.93–17.63</w:t>
            </w:r>
            <w:r>
              <w:rPr>
                <w:rFonts w:ascii="Calibri" w:cs="Calibri" w:eastAsia="Calibri" w:hAnsi="Calibri"/>
                <w:sz w:val="18"/>
                <w:szCs w:val="18"/>
              </w:rPr>
              <w:t xml:space="preserve">  mean, n=10 — Thrombin Production Rate (Mean, nM/min) (</w:t>
            </w:r>
            <w:hyperlink w:history="1" r:id="rIdaghs-hgmzauxwgsmoskxf">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197.71</w:t>
            </w:r>
            <w:r>
              <w:rPr>
                <w:rFonts w:ascii="Calibri" w:cs="Calibri" w:eastAsia="Calibri" w:hAnsi="Calibri"/>
                <w:sz w:val="18"/>
                <w:szCs w:val="18"/>
              </w:rPr>
              <w:t xml:space="preserve">  mean, n=10 — Plasmin Concentration Peak (Mean, nM) (</w:t>
            </w:r>
            <w:hyperlink w:history="1" r:id="rIdmatr9c0al9hpx9spnoiv5">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17.63</w:t>
            </w:r>
            <w:r>
              <w:rPr>
                <w:rFonts w:ascii="Calibri" w:cs="Calibri" w:eastAsia="Calibri" w:hAnsi="Calibri"/>
                <w:sz w:val="18"/>
                <w:szCs w:val="18"/>
              </w:rPr>
              <w:t xml:space="preserve">  mean, n=10 — Plasmin Production Rate (Mean, nM/min) (</w:t>
            </w:r>
            <w:hyperlink w:history="1" r:id="rIdf7_fkbtbk3mudam9nj9ji">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shows sheep tenocyte gene-expression profiles best match human tenocytes under constant inflammation (Mahalanobis distance 8.94 for all genes) but are much less similar under healthy conditions (distance 24.78). Sheep also show condition-dependent differences in measured behaviors: proliferation slope differed from human under healthy (slope difference 0.1169, p=1.10e-06, n=3) and under constant inflammation (slope difference −0.0878, p=0.009, n=3); migration slope differences were smaller (e.g. −0.0188 vs human under transient inflammation, p=0.00374, n=3). Overall, gene-expression similarity favors sheep only in the constant-inflammation setting while functional readouts (proliferation/migration) show mixed concordance with human.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Values vary across inflammatory conditions (healthy vs transient vs constant) and across gene subsets (all genes, MMPs, collagens, tenogenic markers), so similarity spans ~8.9–24.8 depending on condition and gene set.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Proliferation capacity (slope difference to human) under healthy conditions (</w:t>
            </w:r>
            <w:hyperlink w:history="1" r:id="rIdbmme9dknplh0awphk-bvh">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8.94–24.78</w:t>
            </w:r>
            <w:r>
              <w:rPr>
                <w:rFonts w:ascii="Calibri" w:cs="Calibri" w:eastAsia="Calibri" w:hAnsi="Calibri"/>
                <w:sz w:val="18"/>
                <w:szCs w:val="18"/>
              </w:rPr>
              <w:t xml:space="preserve">  mahalanobis distance — Mahalanobis distance to human for all genes combined under healthy conditions (</w:t>
            </w:r>
            <w:hyperlink w:history="1" r:id="rIdmfdfw2v2o4kecsuhtfhg6">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-0.0188–-0.0112</w:t>
            </w:r>
            <w:r>
              <w:rPr>
                <w:rFonts w:ascii="Calibri" w:cs="Calibri" w:eastAsia="Calibri" w:hAnsi="Calibri"/>
                <w:sz w:val="18"/>
                <w:szCs w:val="18"/>
              </w:rPr>
              <w:t xml:space="preserve">  slope — Migration slope (difference to human) under transient inflammation (</w:t>
            </w:r>
            <w:hyperlink w:history="1" r:id="rIdlo01motxwhoq3-t83znca">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0.018555</w:t>
            </w:r>
            <w:r>
              <w:rPr>
                <w:rFonts w:ascii="Calibri" w:cs="Calibri" w:eastAsia="Calibri" w:hAnsi="Calibri"/>
                <w:sz w:val="18"/>
                <w:szCs w:val="18"/>
              </w:rPr>
              <w:t xml:space="preserve">  slope — Migration slope (difference to human) under healthy conditions (</w:t>
            </w:r>
            <w:hyperlink w:history="1" r:id="rIdx-_bwhe3ojz6drpxm60jp">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10.54</w:t>
            </w:r>
            <w:r>
              <w:rPr>
                <w:rFonts w:ascii="Calibri" w:cs="Calibri" w:eastAsia="Calibri" w:hAnsi="Calibri"/>
                <w:sz w:val="18"/>
                <w:szCs w:val="18"/>
              </w:rPr>
              <w:t xml:space="preserve">  mahalanobis distance — Mahalanobis distance to human for tenogenic markers (SCX, TNC, TNMD) (</w:t>
            </w:r>
            <w:hyperlink w:history="1" r:id="rIdswb4gmuvefddspmh7derm">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12.88</w:t>
            </w:r>
            <w:r>
              <w:rPr>
                <w:rFonts w:ascii="Calibri" w:cs="Calibri" w:eastAsia="Calibri" w:hAnsi="Calibri"/>
                <w:sz w:val="18"/>
                <w:szCs w:val="18"/>
              </w:rPr>
              <w:t xml:space="preserve">  mahalanobis distance — Mahalanobis distance to human for collagens (COL1, COL3, COL5) (</w:t>
            </w:r>
            <w:hyperlink w:history="1" r:id="rIdksxos6dvsqn-kw0y_ithg">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Petersen-Jones et al. 2015 found dog RPE65 gene‑therapy outcomes did NOT track human clinical outcomes: dogs showed restored ERG and vision near normal while human patients showed no ERG change, remained visually impaired, and had much greater photoreceptor loss (degree of rescue in humans “nowhere near” that in dogs); both species lacked long‑term photoreceptor preservation after functional restoration. Daluwatumulle et al. 2026 found moderate-to-high molecular concordance for many canine cancer models but with large variation across tumor types (model robustness scores 31.1%–85.05%, normalized per‑gene distances 0.007–0.047 and mean sample–sample correlation differences ~0.1007), indicating dogs can mirror human cancer molecular profiles for some tumors but not uniformly.</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Daluwatumulle et al. 2026 flagged negative controls with low scores: adrenocortical carcinoma (Adult 31.1%, Pediatric 33.56%) and adult leukemia (Leukemia (Adult) 40.31%, LAML noted as low).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wide range (≈31%–85% robustness) reflects variation by cancer type and inclusion of deliberate negative controls; additionally the two studies measure different outcomes (functional therapeutic rescue in RPE65 therapy versus transcriptomic/molecular concordance across cancers), so values arise from distinct sub‑analyses and are not directly comparable.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0.0215–0.1007</w:t>
            </w:r>
            <w:r>
              <w:rPr>
                <w:rFonts w:ascii="Calibri" w:cs="Calibri" w:eastAsia="Calibri" w:hAnsi="Calibri"/>
                <w:sz w:val="18"/>
                <w:szCs w:val="18"/>
              </w:rPr>
              <w:t xml:space="preserve">  mean difference — mean difference in sample-sample correlation between diff cancer-same species group and same cancer-diff species group (</w:t>
            </w:r>
            <w:hyperlink w:history="1" r:id="rIdjywe3vwclhjmlr61pfnae">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78.2–85.05%</w:t>
            </w:r>
            <w:r>
              <w:rPr>
                <w:rFonts w:ascii="Calibri" w:cs="Calibri" w:eastAsia="Calibri" w:hAnsi="Calibri"/>
                <w:sz w:val="18"/>
                <w:szCs w:val="18"/>
              </w:rPr>
              <w:t xml:space="preserve">  score — model robustness score for adult bladder cancer (</w:t>
            </w:r>
            <w:hyperlink w:history="1" r:id="rIdb8j84ubrvmd8it1mu3ud1">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72.95–79.88%</w:t>
            </w:r>
            <w:r>
              <w:rPr>
                <w:rFonts w:ascii="Calibri" w:cs="Calibri" w:eastAsia="Calibri" w:hAnsi="Calibri"/>
                <w:sz w:val="18"/>
                <w:szCs w:val="18"/>
              </w:rPr>
              <w:t xml:space="preserve">  score — model robustness score for pediatric glioma (</w:t>
            </w:r>
            <w:hyperlink w:history="1" r:id="rIdvonp6frilledwnwad6iik">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72.1–76.85%</w:t>
            </w:r>
            <w:r>
              <w:rPr>
                <w:rFonts w:ascii="Calibri" w:cs="Calibri" w:eastAsia="Calibri" w:hAnsi="Calibri"/>
                <w:sz w:val="18"/>
                <w:szCs w:val="18"/>
              </w:rPr>
              <w:t xml:space="preserve">  score — model robustness score for adult melanoma (</w:t>
            </w:r>
            <w:hyperlink w:history="1" r:id="rIdmhg_6iknbgvhnomx57emi">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62.33–69.78%</w:t>
            </w:r>
            <w:r>
              <w:rPr>
                <w:rFonts w:ascii="Calibri" w:cs="Calibri" w:eastAsia="Calibri" w:hAnsi="Calibri"/>
                <w:sz w:val="18"/>
                <w:szCs w:val="18"/>
              </w:rPr>
              <w:t xml:space="preserve">  score — model robustness score for adult breast cancer (</w:t>
            </w:r>
            <w:hyperlink w:history="1" r:id="rIdsyponewujjgtgzdpkhcor">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48.33–64.13%</w:t>
            </w:r>
            <w:r>
              <w:rPr>
                <w:rFonts w:ascii="Calibri" w:cs="Calibri" w:eastAsia="Calibri" w:hAnsi="Calibri"/>
                <w:sz w:val="18"/>
                <w:szCs w:val="18"/>
              </w:rPr>
              <w:t xml:space="preserve">  score — model robustness score for adult sarcoma (</w:t>
            </w:r>
            <w:hyperlink w:history="1" r:id="rIdk5o_qzikjzbvssjweb300">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_fl4g2tttuf06suckmyg" Type="http://schemas.openxmlformats.org/officeDocument/2006/relationships/hyperlink" Target="https://rohitium.github.io/animal-model-concordance/" TargetMode="External"/><Relationship Id="rIdhvds-ge1ls6sp4m0trylb" Type="http://schemas.openxmlformats.org/officeDocument/2006/relationships/hyperlink" Target="https://pubmed.ncbi.nlm.nih.gov/16453316/" TargetMode="External"/><Relationship Id="rId4uq5w7xf6i90yg1o74nyi" Type="http://schemas.openxmlformats.org/officeDocument/2006/relationships/hyperlink" Target="https://pubmed.ncbi.nlm.nih.gov/16453316/" TargetMode="External"/><Relationship Id="rIdxoa3pekdhjbp_wbr3g4i3" Type="http://schemas.openxmlformats.org/officeDocument/2006/relationships/hyperlink" Target="https://pubmed.ncbi.nlm.nih.gov/36859342/" TargetMode="External"/><Relationship Id="rIdqvvtew9vszsyf_xegiaxc" Type="http://schemas.openxmlformats.org/officeDocument/2006/relationships/hyperlink" Target="https://pubmed.ncbi.nlm.nih.gov/36859342/" TargetMode="External"/><Relationship Id="rIdoh00zo0wn0utpgtv8gzeh" Type="http://schemas.openxmlformats.org/officeDocument/2006/relationships/hyperlink" Target="https://pubmed.ncbi.nlm.nih.gov/36859342/" TargetMode="External"/><Relationship Id="rIdamfunwbf1vwztieekndog" Type="http://schemas.openxmlformats.org/officeDocument/2006/relationships/hyperlink" Target="https://pubmed.ncbi.nlm.nih.gov/36859342/" TargetMode="External"/><Relationship Id="rIdah-nchf8dzlyfvgdiubnj" Type="http://schemas.openxmlformats.org/officeDocument/2006/relationships/hyperlink" Target="https://pubmed.ncbi.nlm.nih.gov/36859342/" TargetMode="External"/><Relationship Id="rIdscagsfyk95_o-31qjzqkp" Type="http://schemas.openxmlformats.org/officeDocument/2006/relationships/hyperlink" Target="https://pubmed.ncbi.nlm.nih.gov/36859342/" TargetMode="External"/><Relationship Id="rIdt-4we7a1vj59vqb1takxp" Type="http://schemas.openxmlformats.org/officeDocument/2006/relationships/hyperlink" Target="https://pubmed.ncbi.nlm.nih.gov/36859342/" TargetMode="External"/><Relationship Id="rIdahnxnbhwm-sg3ecqvijmh" Type="http://schemas.openxmlformats.org/officeDocument/2006/relationships/hyperlink" Target="https://pubmed.ncbi.nlm.nih.gov/36859342/" TargetMode="External"/><Relationship Id="rIdy2zizwbf5yyqdvjtltdz4" Type="http://schemas.openxmlformats.org/officeDocument/2006/relationships/hyperlink" Target="https://pubmed.ncbi.nlm.nih.gov/36859342/" TargetMode="External"/><Relationship Id="rId1tm_evswvc4a866i1slte" Type="http://schemas.openxmlformats.org/officeDocument/2006/relationships/hyperlink" Target="https://pubmed.ncbi.nlm.nih.gov/17175568/" TargetMode="External"/><Relationship Id="rIdgaxp54owd_yiwxg_cr4we" Type="http://schemas.openxmlformats.org/officeDocument/2006/relationships/hyperlink" Target="https://pubmed.ncbi.nlm.nih.gov/24678540/" TargetMode="External"/><Relationship Id="rIdkld1pwyqkuh6xkk9f9vqq" Type="http://schemas.openxmlformats.org/officeDocument/2006/relationships/hyperlink" Target="https://pubmed.ncbi.nlm.nih.gov/24678540/" TargetMode="External"/><Relationship Id="rIdq0xektg-s7c8i2dkti8rz" Type="http://schemas.openxmlformats.org/officeDocument/2006/relationships/hyperlink" Target="https://pubmed.ncbi.nlm.nih.gov/24678540/" TargetMode="External"/><Relationship Id="rIdjx2fetv8ebytp9p_j8nch" Type="http://schemas.openxmlformats.org/officeDocument/2006/relationships/hyperlink" Target="https://pubmed.ncbi.nlm.nih.gov/24678540/" TargetMode="External"/><Relationship Id="rIdivfhvbdjmfvwk3cdfitv5" Type="http://schemas.openxmlformats.org/officeDocument/2006/relationships/hyperlink" Target="https://pubmed.ncbi.nlm.nih.gov/24678540/" TargetMode="External"/><Relationship Id="rIdrj6l8skee9l2nctcju74w" Type="http://schemas.openxmlformats.org/officeDocument/2006/relationships/hyperlink" Target="https://pubmed.ncbi.nlm.nih.gov/32391273/" TargetMode="External"/><Relationship Id="rIdp7leznuf-ul_t56jrgqnw" Type="http://schemas.openxmlformats.org/officeDocument/2006/relationships/hyperlink" Target="https://pubmed.ncbi.nlm.nih.gov/17175568/" TargetMode="External"/><Relationship Id="rIddadwzd6lzdjyjuglm6g3k" Type="http://schemas.openxmlformats.org/officeDocument/2006/relationships/hyperlink" Target="https://pubmed.ncbi.nlm.nih.gov/17175568/" TargetMode="External"/><Relationship Id="rId-3602at8n9hak2h_y-83c" Type="http://schemas.openxmlformats.org/officeDocument/2006/relationships/hyperlink" Target="https://pubmed.ncbi.nlm.nih.gov/17175568/" TargetMode="External"/><Relationship Id="rIdbd4amrgwcdlbvyicpcaxy" Type="http://schemas.openxmlformats.org/officeDocument/2006/relationships/hyperlink" Target="https://pubmed.ncbi.nlm.nih.gov/17175568/" TargetMode="External"/><Relationship Id="rId27rfimk33c7mjo61fg8fk" Type="http://schemas.openxmlformats.org/officeDocument/2006/relationships/hyperlink" Target="https://pubmed.ncbi.nlm.nih.gov/17175568/" TargetMode="External"/><Relationship Id="rIdtqodj5qpbih4yr9fhx8h0" Type="http://schemas.openxmlformats.org/officeDocument/2006/relationships/hyperlink" Target="https://pubmed.ncbi.nlm.nih.gov/17175568/" TargetMode="External"/><Relationship Id="rId3txbzld-r8tebzmefiemk" Type="http://schemas.openxmlformats.org/officeDocument/2006/relationships/hyperlink" Target="https://pubmed.ncbi.nlm.nih.gov/17175568/" TargetMode="External"/><Relationship Id="rId5uqgnvtr32j264tot2orc" Type="http://schemas.openxmlformats.org/officeDocument/2006/relationships/hyperlink" Target="https://pubmed.ncbi.nlm.nih.gov/17175568/" TargetMode="External"/><Relationship Id="rIdakbeqjezb5ygb2rsvav1d" Type="http://schemas.openxmlformats.org/officeDocument/2006/relationships/hyperlink" Target="https://pubmed.ncbi.nlm.nih.gov/17175568/" TargetMode="External"/><Relationship Id="rIdaf2jgoyyj3h5gyigfr7ec" Type="http://schemas.openxmlformats.org/officeDocument/2006/relationships/hyperlink" Target="https://pubmed.ncbi.nlm.nih.gov/17175568/" TargetMode="External"/><Relationship Id="rIdv5qmbzjtn4wut9hta4_4i" Type="http://schemas.openxmlformats.org/officeDocument/2006/relationships/hyperlink" Target="https://pubmed.ncbi.nlm.nih.gov/17175568/" TargetMode="External"/><Relationship Id="rId4rallyy-uszqgu7evxabh" Type="http://schemas.openxmlformats.org/officeDocument/2006/relationships/hyperlink" Target="https://pubmed.ncbi.nlm.nih.gov/17175568/" TargetMode="External"/><Relationship Id="rIdu0pqv7ulqcslyfmsb3630" Type="http://schemas.openxmlformats.org/officeDocument/2006/relationships/hyperlink" Target="https://pubmed.ncbi.nlm.nih.gov/17175568/" TargetMode="External"/><Relationship Id="rIdrf1nmpunbzss7z-ezs72r" Type="http://schemas.openxmlformats.org/officeDocument/2006/relationships/hyperlink" Target="https://pubmed.ncbi.nlm.nih.gov/17175568/" TargetMode="External"/><Relationship Id="rId4nl3ynwfqriill-as-y2h" Type="http://schemas.openxmlformats.org/officeDocument/2006/relationships/hyperlink" Target="https://pubmed.ncbi.nlm.nih.gov/17175568/" TargetMode="External"/><Relationship Id="rId2w2ne2y5yvwhy-hvmdlbx" Type="http://schemas.openxmlformats.org/officeDocument/2006/relationships/hyperlink" Target="https://pubmed.ncbi.nlm.nih.gov/17175568/" TargetMode="External"/><Relationship Id="rIdjnmzmpit9dx4t_byikndd" Type="http://schemas.openxmlformats.org/officeDocument/2006/relationships/hyperlink" Target="https://pubmed.ncbi.nlm.nih.gov/17175568/" TargetMode="External"/><Relationship Id="rIdwcdfev7jr8tgxze2ieuf3" Type="http://schemas.openxmlformats.org/officeDocument/2006/relationships/hyperlink" Target="https://pubmed.ncbi.nlm.nih.gov/17175568/" TargetMode="External"/><Relationship Id="rIdzwtorz8v0c0pfyxgshaka" Type="http://schemas.openxmlformats.org/officeDocument/2006/relationships/hyperlink" Target="https://pubmed.ncbi.nlm.nih.gov/17175568/" TargetMode="External"/><Relationship Id="rIdezhhl9xz_futc_xqoitkp" Type="http://schemas.openxmlformats.org/officeDocument/2006/relationships/hyperlink" Target="https://pubmed.ncbi.nlm.nih.gov/17175568/" TargetMode="External"/><Relationship Id="rIdtuoinqwktcw09ir2w-hgi" Type="http://schemas.openxmlformats.org/officeDocument/2006/relationships/hyperlink" Target="https://pubmed.ncbi.nlm.nih.gov/17175568/" TargetMode="External"/><Relationship Id="rId0vhobv8h8jpsftshwvd_c" Type="http://schemas.openxmlformats.org/officeDocument/2006/relationships/hyperlink" Target="https://pubmed.ncbi.nlm.nih.gov/17175568/" TargetMode="External"/><Relationship Id="rIdfqhmqfblakoiz6qetfzg_" Type="http://schemas.openxmlformats.org/officeDocument/2006/relationships/hyperlink" Target="https://pubmed.ncbi.nlm.nih.gov/17175568/" TargetMode="External"/><Relationship Id="rIdnokiutby81ek4kejmcaff" Type="http://schemas.openxmlformats.org/officeDocument/2006/relationships/hyperlink" Target="https://pubmed.ncbi.nlm.nih.gov/17175568/" TargetMode="External"/><Relationship Id="rIdrf-0dkgzfnhtgggar_r5t" Type="http://schemas.openxmlformats.org/officeDocument/2006/relationships/hyperlink" Target="https://pubmed.ncbi.nlm.nih.gov/29590200/" TargetMode="External"/><Relationship Id="rIdirxs5-grfavyuzzm_jxl3" Type="http://schemas.openxmlformats.org/officeDocument/2006/relationships/hyperlink" Target="https://pubmed.ncbi.nlm.nih.gov/22790876/" TargetMode="External"/><Relationship Id="rIdrvwuseouzm4upcmcoqarp" Type="http://schemas.openxmlformats.org/officeDocument/2006/relationships/hyperlink" Target="https://pubmed.ncbi.nlm.nih.gov/22790876/" TargetMode="External"/><Relationship Id="rIdalmondtzig_yg6xscasl7" Type="http://schemas.openxmlformats.org/officeDocument/2006/relationships/hyperlink" Target="https://pubmed.ncbi.nlm.nih.gov/31307492/" TargetMode="External"/><Relationship Id="rIdfskdkjtwl8csjqoiewy_5" Type="http://schemas.openxmlformats.org/officeDocument/2006/relationships/hyperlink" Target="https://pubmed.ncbi.nlm.nih.gov/31307492/" TargetMode="External"/><Relationship Id="rIdn3xasv83exhaut5kmd7mn" Type="http://schemas.openxmlformats.org/officeDocument/2006/relationships/hyperlink" Target="https://pubmed.ncbi.nlm.nih.gov/31307492/" TargetMode="External"/><Relationship Id="rIdx1kbqyzg9lkopxyvs4e8h" Type="http://schemas.openxmlformats.org/officeDocument/2006/relationships/hyperlink" Target="https://pubmed.ncbi.nlm.nih.gov/29590200/" TargetMode="External"/><Relationship Id="rIdzakwhiy1lwvfiafg8wqq3" Type="http://schemas.openxmlformats.org/officeDocument/2006/relationships/hyperlink" Target="https://pubmed.ncbi.nlm.nih.gov/29730448/" TargetMode="External"/><Relationship Id="rIdjxbiixrbhubuolqnaupye" Type="http://schemas.openxmlformats.org/officeDocument/2006/relationships/hyperlink" Target="https://pubmed.ncbi.nlm.nih.gov/29730448/" TargetMode="External"/><Relationship Id="rIdp3jxjxisbn4o1xot7rwmz" Type="http://schemas.openxmlformats.org/officeDocument/2006/relationships/hyperlink" Target="https://pubmed.ncbi.nlm.nih.gov/31694927/" TargetMode="External"/><Relationship Id="rIdx__aowf1peb2spjklisat" Type="http://schemas.openxmlformats.org/officeDocument/2006/relationships/hyperlink" Target="https://pubmed.ncbi.nlm.nih.gov/31694927/" TargetMode="External"/><Relationship Id="rIdvssiw0kl-ta9d7cx0e7vu" Type="http://schemas.openxmlformats.org/officeDocument/2006/relationships/hyperlink" Target="https://pubmed.ncbi.nlm.nih.gov/31694927/" TargetMode="External"/><Relationship Id="rIdfg3r3vn0ddnvrj5aln12g" Type="http://schemas.openxmlformats.org/officeDocument/2006/relationships/hyperlink" Target="https://pubmed.ncbi.nlm.nih.gov/31694927/" TargetMode="External"/><Relationship Id="rIdktvwki4rdiubxqkas9otu" Type="http://schemas.openxmlformats.org/officeDocument/2006/relationships/hyperlink" Target="https://pubmed.ncbi.nlm.nih.gov/28893587/" TargetMode="External"/><Relationship Id="rIdwsta2gysi5twktdcuscwp" Type="http://schemas.openxmlformats.org/officeDocument/2006/relationships/hyperlink" Target="https://pubmed.ncbi.nlm.nih.gov/28893587/" TargetMode="External"/><Relationship Id="rIdnvsfzkw9df4s0_fgav-4g" Type="http://schemas.openxmlformats.org/officeDocument/2006/relationships/hyperlink" Target="https://pubmed.ncbi.nlm.nih.gov/29730448/" TargetMode="External"/><Relationship Id="rIdepeehvznzeqzl6lcmwc6h" Type="http://schemas.openxmlformats.org/officeDocument/2006/relationships/hyperlink" Target="https://pubmed.ncbi.nlm.nih.gov/29730448/" TargetMode="External"/><Relationship Id="rIds3xacpuanhnvdjmdosts9" Type="http://schemas.openxmlformats.org/officeDocument/2006/relationships/hyperlink" Target="https://pubmed.ncbi.nlm.nih.gov/28893587/" TargetMode="External"/><Relationship Id="rIdnlfofdyq2k4vfgh1hroal" Type="http://schemas.openxmlformats.org/officeDocument/2006/relationships/hyperlink" Target="https://pubmed.ncbi.nlm.nih.gov/29730448/" TargetMode="External"/><Relationship Id="rIdji-_y7rttiinwjmcxvl1l" Type="http://schemas.openxmlformats.org/officeDocument/2006/relationships/hyperlink" Target="https://pubmed.ncbi.nlm.nih.gov/28893587/" TargetMode="External"/><Relationship Id="rIdkkg-h2nt1rrp-olt-f7eg" Type="http://schemas.openxmlformats.org/officeDocument/2006/relationships/hyperlink" Target="https://pubmed.ncbi.nlm.nih.gov/28893587/" TargetMode="External"/><Relationship Id="rIdpqmhzated47nvr70yem0s" Type="http://schemas.openxmlformats.org/officeDocument/2006/relationships/hyperlink" Target="https://pubmed.ncbi.nlm.nih.gov/11029269/" TargetMode="External"/><Relationship Id="rIdchvqpheycgxcbfwtqsokw" Type="http://schemas.openxmlformats.org/officeDocument/2006/relationships/hyperlink" Target="https://pubmed.ncbi.nlm.nih.gov/11029269/" TargetMode="External"/><Relationship Id="rIddbzy7gjweng30xuxmpyxl" Type="http://schemas.openxmlformats.org/officeDocument/2006/relationships/hyperlink" Target="https://pubmed.ncbi.nlm.nih.gov/11029269/" TargetMode="External"/><Relationship Id="rIdilnhpvmpojbqlabedtbvx" Type="http://schemas.openxmlformats.org/officeDocument/2006/relationships/hyperlink" Target="https://pubmed.ncbi.nlm.nih.gov/11029269/" TargetMode="External"/><Relationship Id="rIdajgsvzkg2zaalaaymunf2" Type="http://schemas.openxmlformats.org/officeDocument/2006/relationships/hyperlink" Target="https://pubmed.ncbi.nlm.nih.gov/29730448/" TargetMode="External"/><Relationship Id="rIdf3behpug9evbdw_dwxsv7" Type="http://schemas.openxmlformats.org/officeDocument/2006/relationships/hyperlink" Target="https://pubmed.ncbi.nlm.nih.gov/29730448/" TargetMode="External"/><Relationship Id="rIdscmiz9yauqhsryp4pbajr" Type="http://schemas.openxmlformats.org/officeDocument/2006/relationships/hyperlink" Target="https://pubmed.ncbi.nlm.nih.gov/31694927/" TargetMode="External"/><Relationship Id="rIdcvgzam54kz5oeq6dfv_6t" Type="http://schemas.openxmlformats.org/officeDocument/2006/relationships/hyperlink" Target="https://pubmed.ncbi.nlm.nih.gov/31694927/" TargetMode="External"/><Relationship Id="rIdwf_euoinjvkxwiv-n8kzs" Type="http://schemas.openxmlformats.org/officeDocument/2006/relationships/hyperlink" Target="https://pubmed.ncbi.nlm.nih.gov/31694927/" TargetMode="External"/><Relationship Id="rIdfudhgy_-pjhe0rqr7wrdf" Type="http://schemas.openxmlformats.org/officeDocument/2006/relationships/hyperlink" Target="https://pubmed.ncbi.nlm.nih.gov/29730448/" TargetMode="External"/><Relationship Id="rIdynse8qifskxpc0tmojtgr" Type="http://schemas.openxmlformats.org/officeDocument/2006/relationships/hyperlink" Target="https://pubmed.ncbi.nlm.nih.gov/29730448/" TargetMode="External"/><Relationship Id="rId9r3iknqwq-kl9fwxaprpy" Type="http://schemas.openxmlformats.org/officeDocument/2006/relationships/hyperlink" Target="https://pubmed.ncbi.nlm.nih.gov/29730448/" TargetMode="External"/><Relationship Id="rIdhb0b97ff5c9ukr8rs2xio" Type="http://schemas.openxmlformats.org/officeDocument/2006/relationships/hyperlink" Target="https://pubmed.ncbi.nlm.nih.gov/29730448/" TargetMode="External"/><Relationship Id="rIdqlrnzmbrefuabj8tyn4nh" Type="http://schemas.openxmlformats.org/officeDocument/2006/relationships/hyperlink" Target="https://pubmed.ncbi.nlm.nih.gov/32868897/" TargetMode="External"/><Relationship Id="rIdyiibfbkhj7m5grr6-t0m9" Type="http://schemas.openxmlformats.org/officeDocument/2006/relationships/hyperlink" Target="https://pubmed.ncbi.nlm.nih.gov/32868897/" TargetMode="External"/><Relationship Id="rIdl-cgyszmibjtz99bebbab" Type="http://schemas.openxmlformats.org/officeDocument/2006/relationships/hyperlink" Target="https://pubmed.ncbi.nlm.nih.gov/32868897/" TargetMode="External"/><Relationship Id="rIdoad42t1b8b3-xs-audwry" Type="http://schemas.openxmlformats.org/officeDocument/2006/relationships/hyperlink" Target="https://pubmed.ncbi.nlm.nih.gov/11029269/" TargetMode="External"/><Relationship Id="rIdnp7c0os5wpkdao7smilv2" Type="http://schemas.openxmlformats.org/officeDocument/2006/relationships/hyperlink" Target="https://pubmed.ncbi.nlm.nih.gov/11029269/" TargetMode="External"/><Relationship Id="rIdogesr04ekslsajp4rquah" Type="http://schemas.openxmlformats.org/officeDocument/2006/relationships/hyperlink" Target="https://pubmed.ncbi.nlm.nih.gov/11029269/" TargetMode="External"/><Relationship Id="rId3khhcovjj4fbx0fugtucc" Type="http://schemas.openxmlformats.org/officeDocument/2006/relationships/hyperlink" Target="https://pubmed.ncbi.nlm.nih.gov/11029269/" TargetMode="External"/><Relationship Id="rIddd2ijzwhdmahc21nnigp7" Type="http://schemas.openxmlformats.org/officeDocument/2006/relationships/hyperlink" Target="https://pubmed.ncbi.nlm.nih.gov/11029269/" TargetMode="External"/><Relationship Id="rIdap-nkmj7c-x4oxclbyaby" Type="http://schemas.openxmlformats.org/officeDocument/2006/relationships/hyperlink" Target="https://pubmed.ncbi.nlm.nih.gov/11029269/" TargetMode="External"/><Relationship Id="rIdjvvdnefrqzg2q8vyg_tll" Type="http://schemas.openxmlformats.org/officeDocument/2006/relationships/hyperlink" Target="https://pubmed.ncbi.nlm.nih.gov/33666192/" TargetMode="External"/><Relationship Id="rIdjmwrp2o87opbdmcigtiav" Type="http://schemas.openxmlformats.org/officeDocument/2006/relationships/hyperlink" Target="https://pubmed.ncbi.nlm.nih.gov/18468556/" TargetMode="External"/><Relationship Id="rId0ct9l3wm3n89w6vwkvwjn" Type="http://schemas.openxmlformats.org/officeDocument/2006/relationships/hyperlink" Target="https://pubmed.ncbi.nlm.nih.gov/18468556/" TargetMode="External"/><Relationship Id="rIdrwvhpcavmdqdr46ytfkuk" Type="http://schemas.openxmlformats.org/officeDocument/2006/relationships/hyperlink" Target="https://pubmed.ncbi.nlm.nih.gov/18468556/" TargetMode="External"/><Relationship Id="rIdkafebscddqrtomp6ud6dp" Type="http://schemas.openxmlformats.org/officeDocument/2006/relationships/hyperlink" Target="https://pubmed.ncbi.nlm.nih.gov/18468556/" TargetMode="External"/><Relationship Id="rId2stekn-esmle1_rpx9qsf" Type="http://schemas.openxmlformats.org/officeDocument/2006/relationships/hyperlink" Target="https://pubmed.ncbi.nlm.nih.gov/28422076/" TargetMode="External"/><Relationship Id="rId3qgd5rpjml51treguzdt6" Type="http://schemas.openxmlformats.org/officeDocument/2006/relationships/hyperlink" Target="https://pubmed.ncbi.nlm.nih.gov/29730448/" TargetMode="External"/><Relationship Id="rIdkt5vcm1zenuuzrg_jufab" Type="http://schemas.openxmlformats.org/officeDocument/2006/relationships/hyperlink" Target="https://pubmed.ncbi.nlm.nih.gov/29730448/" TargetMode="External"/><Relationship Id="rId1ja3gcq8jwo-pjpvqlwq9" Type="http://schemas.openxmlformats.org/officeDocument/2006/relationships/hyperlink" Target="https://pubmed.ncbi.nlm.nih.gov/29730448/" TargetMode="External"/><Relationship Id="rIdjr00g04tdw5dig5rekwrz" Type="http://schemas.openxmlformats.org/officeDocument/2006/relationships/hyperlink" Target="https://pubmed.ncbi.nlm.nih.gov/29730448/" TargetMode="External"/><Relationship Id="rIduk0hjnbuwbrw2k-ulkbvw" Type="http://schemas.openxmlformats.org/officeDocument/2006/relationships/hyperlink" Target="https://pubmed.ncbi.nlm.nih.gov/29730448/" TargetMode="External"/><Relationship Id="rIdmzo7jlgtugoetydf1p_m1" Type="http://schemas.openxmlformats.org/officeDocument/2006/relationships/hyperlink" Target="https://pubmed.ncbi.nlm.nih.gov/29730448/" TargetMode="External"/><Relationship Id="rIdo_hzyl6alcopho8-948y7" Type="http://schemas.openxmlformats.org/officeDocument/2006/relationships/hyperlink" Target="https://pubmed.ncbi.nlm.nih.gov/28893587/" TargetMode="External"/><Relationship Id="rIddt_9xixt0inembo9-p_zi" Type="http://schemas.openxmlformats.org/officeDocument/2006/relationships/hyperlink" Target="https://pubmed.ncbi.nlm.nih.gov/28893587/" TargetMode="External"/><Relationship Id="rIdkxzekiw59ugl08etuuvt6" Type="http://schemas.openxmlformats.org/officeDocument/2006/relationships/hyperlink" Target="https://pubmed.ncbi.nlm.nih.gov/28893587/" TargetMode="External"/><Relationship Id="rIdrwkfwrvdd8yta9hx8tli-" Type="http://schemas.openxmlformats.org/officeDocument/2006/relationships/hyperlink" Target="https://pubmed.ncbi.nlm.nih.gov/28893587/" TargetMode="External"/><Relationship Id="rIdqa2eaglbloxldoknfbi8d" Type="http://schemas.openxmlformats.org/officeDocument/2006/relationships/hyperlink" Target="https://pubmed.ncbi.nlm.nih.gov/28893587/" TargetMode="External"/><Relationship Id="rIdoq_futcg7zztkbinjmluz" Type="http://schemas.openxmlformats.org/officeDocument/2006/relationships/hyperlink" Target="https://pubmed.ncbi.nlm.nih.gov/28893587/" TargetMode="External"/><Relationship Id="rIdz5oqt1dias15nq5-dudxg" Type="http://schemas.openxmlformats.org/officeDocument/2006/relationships/hyperlink" Target="https://pubmed.ncbi.nlm.nih.gov/35148401/" TargetMode="External"/><Relationship Id="rIdpspo2cx5t5dnu8wrhwg8c" Type="http://schemas.openxmlformats.org/officeDocument/2006/relationships/hyperlink" Target="https://pubmed.ncbi.nlm.nih.gov/28903488/" TargetMode="External"/><Relationship Id="rIdde1zpojvr_do0esdyhddf" Type="http://schemas.openxmlformats.org/officeDocument/2006/relationships/hyperlink" Target="https://pubmed.ncbi.nlm.nih.gov/30726989/" TargetMode="External"/><Relationship Id="rIdiwsrl9a3b1pia5j5a0uic" Type="http://schemas.openxmlformats.org/officeDocument/2006/relationships/hyperlink" Target="https://pubmed.ncbi.nlm.nih.gov/30726989/" TargetMode="External"/><Relationship Id="rIdtoio7x38flag5lvqquvbb" Type="http://schemas.openxmlformats.org/officeDocument/2006/relationships/hyperlink" Target="https://pubmed.ncbi.nlm.nih.gov/35148401/" TargetMode="External"/><Relationship Id="rId7djijo4bln9f9an-uxryj" Type="http://schemas.openxmlformats.org/officeDocument/2006/relationships/hyperlink" Target="https://pubmed.ncbi.nlm.nih.gov/28903488/" TargetMode="External"/><Relationship Id="rIdba-8g0xsd9jtzx3nxuyv9" Type="http://schemas.openxmlformats.org/officeDocument/2006/relationships/hyperlink" Target="https://pubmed.ncbi.nlm.nih.gov/35148401/" TargetMode="External"/><Relationship Id="rIdrx-nzrapuioexqiker2nt" Type="http://schemas.openxmlformats.org/officeDocument/2006/relationships/hyperlink" Target="https://pubmed.ncbi.nlm.nih.gov/30726989/" TargetMode="External"/><Relationship Id="rIdbxkr58zhi99vhqa8mg8lx" Type="http://schemas.openxmlformats.org/officeDocument/2006/relationships/hyperlink" Target="https://pubmed.ncbi.nlm.nih.gov/30726989/" TargetMode="External"/><Relationship Id="rIdm0pgzryiuduucpu205mef" Type="http://schemas.openxmlformats.org/officeDocument/2006/relationships/hyperlink" Target="https://pubmed.ncbi.nlm.nih.gov/35148401/" TargetMode="External"/><Relationship Id="rIdlereqdewznsx-kiep82o2" Type="http://schemas.openxmlformats.org/officeDocument/2006/relationships/hyperlink" Target="https://pubmed.ncbi.nlm.nih.gov/38852684/" TargetMode="External"/><Relationship Id="rIdl2nyjr125v35d-rtbkjeh" Type="http://schemas.openxmlformats.org/officeDocument/2006/relationships/hyperlink" Target="https://pubmed.ncbi.nlm.nih.gov/35148401/" TargetMode="External"/><Relationship Id="rIdny4j1w5cpfueolfrgfhjt" Type="http://schemas.openxmlformats.org/officeDocument/2006/relationships/hyperlink" Target="https://pubmed.ncbi.nlm.nih.gov/35148401/" TargetMode="External"/><Relationship Id="rIdczsxksclsjih5cocygqoa" Type="http://schemas.openxmlformats.org/officeDocument/2006/relationships/hyperlink" Target="https://pubmed.ncbi.nlm.nih.gov/30726989/" TargetMode="External"/><Relationship Id="rIdtcjpup-lq06ylbgeldqcv" Type="http://schemas.openxmlformats.org/officeDocument/2006/relationships/hyperlink" Target="https://pubmed.ncbi.nlm.nih.gov/30726989/" TargetMode="External"/><Relationship Id="rIdyeni0liztwasc9cuzrsh2" Type="http://schemas.openxmlformats.org/officeDocument/2006/relationships/hyperlink" Target="https://pubmed.ncbi.nlm.nih.gov/35148401/" TargetMode="External"/><Relationship Id="rIdlkgjr3adxc6emg-vkunca" Type="http://schemas.openxmlformats.org/officeDocument/2006/relationships/hyperlink" Target="https://pubmed.ncbi.nlm.nih.gov/30726989/" TargetMode="External"/><Relationship Id="rIdmhhpx5u6a4r5dfbbrtdhh" Type="http://schemas.openxmlformats.org/officeDocument/2006/relationships/hyperlink" Target="https://pubmed.ncbi.nlm.nih.gov/35148401/" TargetMode="External"/><Relationship Id="rIdnxnas4evdgd-yx2qxnl8o" Type="http://schemas.openxmlformats.org/officeDocument/2006/relationships/hyperlink" Target="https://pubmed.ncbi.nlm.nih.gov/33813006/" TargetMode="External"/><Relationship Id="rIdgmam-cumaykajncus1l0d" Type="http://schemas.openxmlformats.org/officeDocument/2006/relationships/hyperlink" Target="https://pubmed.ncbi.nlm.nih.gov/33813006/" TargetMode="External"/><Relationship Id="rIdgobxadnepax6smkxpnspq" Type="http://schemas.openxmlformats.org/officeDocument/2006/relationships/hyperlink" Target="https://pubmed.ncbi.nlm.nih.gov/33813006/" TargetMode="External"/><Relationship Id="rIdrjqzgxkgiasz_lxdwbyug" Type="http://schemas.openxmlformats.org/officeDocument/2006/relationships/hyperlink" Target="https://pubmed.ncbi.nlm.nih.gov/33813006/" TargetMode="External"/><Relationship Id="rIdha7jcy4w0jatpyxpxcx1f" Type="http://schemas.openxmlformats.org/officeDocument/2006/relationships/hyperlink" Target="https://pubmed.ncbi.nlm.nih.gov/35148401/" TargetMode="External"/><Relationship Id="rIdugt-88dysycst1ui_0hdx" Type="http://schemas.openxmlformats.org/officeDocument/2006/relationships/hyperlink" Target="https://pubmed.ncbi.nlm.nih.gov/35148401/" TargetMode="External"/><Relationship Id="rIdg1vmgxjpsrbfs-virzprb" Type="http://schemas.openxmlformats.org/officeDocument/2006/relationships/hyperlink" Target="https://pubmed.ncbi.nlm.nih.gov/35148401/" TargetMode="External"/><Relationship Id="rId4jhp-zu4h4mldqu5goj0i" Type="http://schemas.openxmlformats.org/officeDocument/2006/relationships/hyperlink" Target="https://pubmed.ncbi.nlm.nih.gov/35148401/" TargetMode="External"/><Relationship Id="rIds__5qldyp9swwr8gpdlko" Type="http://schemas.openxmlformats.org/officeDocument/2006/relationships/hyperlink" Target="https://pubmed.ncbi.nlm.nih.gov/35148401/" TargetMode="External"/><Relationship Id="rIdl7wv6rndfaxle7cb-gb85" Type="http://schemas.openxmlformats.org/officeDocument/2006/relationships/hyperlink" Target="https://pubmed.ncbi.nlm.nih.gov/35148401/" TargetMode="External"/><Relationship Id="rId7r4spr9p7l3piy9q7aww6" Type="http://schemas.openxmlformats.org/officeDocument/2006/relationships/hyperlink" Target="https://pubmed.ncbi.nlm.nih.gov/35148401/" TargetMode="External"/><Relationship Id="rIdwg9dfkxfmxln1to4xpwes" Type="http://schemas.openxmlformats.org/officeDocument/2006/relationships/hyperlink" Target="https://pubmed.ncbi.nlm.nih.gov/35148401/" TargetMode="External"/><Relationship Id="rIdpwaarvvvhzqn_frxzuoyw" Type="http://schemas.openxmlformats.org/officeDocument/2006/relationships/hyperlink" Target="https://pubmed.ncbi.nlm.nih.gov/35148401/" TargetMode="External"/><Relationship Id="rIdy2gkmta2nzch0k4mqx0ne" Type="http://schemas.openxmlformats.org/officeDocument/2006/relationships/hyperlink" Target="https://pubmed.ncbi.nlm.nih.gov/35148401/" TargetMode="External"/><Relationship Id="rIdav8fmlntpqygis0bwdira" Type="http://schemas.openxmlformats.org/officeDocument/2006/relationships/hyperlink" Target="https://pubmed.ncbi.nlm.nih.gov/33813006/" TargetMode="External"/><Relationship Id="rIdb0j1eteqitegrr_3v6k7e" Type="http://schemas.openxmlformats.org/officeDocument/2006/relationships/hyperlink" Target="https://pubmed.ncbi.nlm.nih.gov/33813006/" TargetMode="External"/><Relationship Id="rIdezvhqcl0mlvfwqs23jcoi" Type="http://schemas.openxmlformats.org/officeDocument/2006/relationships/hyperlink" Target="https://pubmed.ncbi.nlm.nih.gov/33813006/" TargetMode="External"/><Relationship Id="rIdwqoifagvyjyjcikdu22h1" Type="http://schemas.openxmlformats.org/officeDocument/2006/relationships/hyperlink" Target="https://pubmed.ncbi.nlm.nih.gov/33813006/" TargetMode="External"/><Relationship Id="rIdas-xy15s8ltnn22cyz11f" Type="http://schemas.openxmlformats.org/officeDocument/2006/relationships/hyperlink" Target="https://pubmed.ncbi.nlm.nih.gov/23401516/" TargetMode="External"/><Relationship Id="rIdpbvjv9t1r6oh3tyelanbg" Type="http://schemas.openxmlformats.org/officeDocument/2006/relationships/hyperlink" Target="https://pubmed.ncbi.nlm.nih.gov/25092317/" TargetMode="External"/><Relationship Id="rIdxbamtax99cunlavlntvat" Type="http://schemas.openxmlformats.org/officeDocument/2006/relationships/hyperlink" Target="https://pubmed.ncbi.nlm.nih.gov/28335819/" TargetMode="External"/><Relationship Id="rIdl2dt_ieqhxlonzjqsbtpy" Type="http://schemas.openxmlformats.org/officeDocument/2006/relationships/hyperlink" Target="https://pubmed.ncbi.nlm.nih.gov/23401516/" TargetMode="External"/><Relationship Id="rIdzlx8keq43v_l1n_ydtxty" Type="http://schemas.openxmlformats.org/officeDocument/2006/relationships/hyperlink" Target="https://pubmed.ncbi.nlm.nih.gov/25092317/" TargetMode="External"/><Relationship Id="rIdlkzxo-hqnrgq-ic2el214" Type="http://schemas.openxmlformats.org/officeDocument/2006/relationships/hyperlink" Target="https://pubmed.ncbi.nlm.nih.gov/25092317/" TargetMode="External"/><Relationship Id="rIdilcp-bs8loi9pveqx1men" Type="http://schemas.openxmlformats.org/officeDocument/2006/relationships/hyperlink" Target="https://pubmed.ncbi.nlm.nih.gov/25092317/" TargetMode="External"/><Relationship Id="rIdlk9qs6z_xt2kuodssjwmn" Type="http://schemas.openxmlformats.org/officeDocument/2006/relationships/hyperlink" Target="https://pubmed.ncbi.nlm.nih.gov/28335819/" TargetMode="External"/><Relationship Id="rIdjspgbr7pkkp6zdvgkc5ba" Type="http://schemas.openxmlformats.org/officeDocument/2006/relationships/hyperlink" Target="https://pubmed.ncbi.nlm.nih.gov/40849367/" TargetMode="External"/><Relationship Id="rIdmnpxuclrttdjsksxrmna_" Type="http://schemas.openxmlformats.org/officeDocument/2006/relationships/hyperlink" Target="https://pubmed.ncbi.nlm.nih.gov/38867022/" TargetMode="External"/><Relationship Id="rId2ylybim_yml9ttr0zlcjt" Type="http://schemas.openxmlformats.org/officeDocument/2006/relationships/hyperlink" Target="https://pubmed.ncbi.nlm.nih.gov/32127577/" TargetMode="External"/><Relationship Id="rIdh54hrstpvw6nmskrwlha5" Type="http://schemas.openxmlformats.org/officeDocument/2006/relationships/hyperlink" Target="https://pubmed.ncbi.nlm.nih.gov/32127577/" TargetMode="External"/><Relationship Id="rIdiihmlkiw8omufb8pnvnnv" Type="http://schemas.openxmlformats.org/officeDocument/2006/relationships/hyperlink" Target="https://pubmed.ncbi.nlm.nih.gov/34127759/" TargetMode="External"/><Relationship Id="rIduldj8klxzdk1xvg3h__on" Type="http://schemas.openxmlformats.org/officeDocument/2006/relationships/hyperlink" Target="https://pubmed.ncbi.nlm.nih.gov/28335819/" TargetMode="External"/><Relationship Id="rIdtrwwydfoscp8qw4iiqrza" Type="http://schemas.openxmlformats.org/officeDocument/2006/relationships/hyperlink" Target="https://pubmed.ncbi.nlm.nih.gov/32127577/" TargetMode="External"/><Relationship Id="rIdcq7azvgfu3n9_k2a4yg5x" Type="http://schemas.openxmlformats.org/officeDocument/2006/relationships/hyperlink" Target="https://pubmed.ncbi.nlm.nih.gov/32127577/" TargetMode="External"/><Relationship Id="rId-4-nes-6w5f9ippgcyrpd" Type="http://schemas.openxmlformats.org/officeDocument/2006/relationships/hyperlink" Target="https://pubmed.ncbi.nlm.nih.gov/40558535/" TargetMode="External"/><Relationship Id="rIdqkl6ekugu-4frevrkaklc" Type="http://schemas.openxmlformats.org/officeDocument/2006/relationships/hyperlink" Target="https://pubmed.ncbi.nlm.nih.gov/32127577/" TargetMode="External"/><Relationship Id="rIdt3-x8omhno1lfzf2aapqk" Type="http://schemas.openxmlformats.org/officeDocument/2006/relationships/hyperlink" Target="https://pubmed.ncbi.nlm.nih.gov/32127577/" TargetMode="External"/><Relationship Id="rId6mudkyejwk-i2upqbljly" Type="http://schemas.openxmlformats.org/officeDocument/2006/relationships/hyperlink" Target="https://pubmed.ncbi.nlm.nih.gov/32127577/" TargetMode="External"/><Relationship Id="rIdsoaq4za5ovxb0cfuwh4bf" Type="http://schemas.openxmlformats.org/officeDocument/2006/relationships/hyperlink" Target="https://pubmed.ncbi.nlm.nih.gov/32127577/" TargetMode="External"/><Relationship Id="rIdp29eogfkn3o3im1ebtgnz" Type="http://schemas.openxmlformats.org/officeDocument/2006/relationships/hyperlink" Target="https://pubmed.ncbi.nlm.nih.gov/40558535/" TargetMode="External"/><Relationship Id="rIdylwtccnnp0xbemf4qjysz" Type="http://schemas.openxmlformats.org/officeDocument/2006/relationships/hyperlink" Target="https://pubmed.ncbi.nlm.nih.gov/32127577/" TargetMode="External"/><Relationship Id="rId_n5aibscf6qvbn2z5dqbm" Type="http://schemas.openxmlformats.org/officeDocument/2006/relationships/hyperlink" Target="https://pubmed.ncbi.nlm.nih.gov/32127577/" TargetMode="External"/><Relationship Id="rIdjoj1xirzbwcetkneegwyq" Type="http://schemas.openxmlformats.org/officeDocument/2006/relationships/hyperlink" Target="https://pubmed.ncbi.nlm.nih.gov/40558535/" TargetMode="External"/><Relationship Id="rIdadfa6ap1doogalqfit9ul" Type="http://schemas.openxmlformats.org/officeDocument/2006/relationships/hyperlink" Target="https://pubmed.ncbi.nlm.nih.gov/23503654/" TargetMode="External"/><Relationship Id="rIdtbaftjyuhoc02wy0ibh0r" Type="http://schemas.openxmlformats.org/officeDocument/2006/relationships/hyperlink" Target="https://pubmed.ncbi.nlm.nih.gov/36883244/" TargetMode="External"/><Relationship Id="rIdfjfy2itccf8kayi5bpjos" Type="http://schemas.openxmlformats.org/officeDocument/2006/relationships/hyperlink" Target="https://pubmed.ncbi.nlm.nih.gov/36883244/" TargetMode="External"/><Relationship Id="rIdx6goajorhknkkx1h9jcog" Type="http://schemas.openxmlformats.org/officeDocument/2006/relationships/hyperlink" Target="https://pubmed.ncbi.nlm.nih.gov/36730203/" TargetMode="External"/><Relationship Id="rIdj1zwhtkx91uivvszxhtsy" Type="http://schemas.openxmlformats.org/officeDocument/2006/relationships/hyperlink" Target="https://pubmed.ncbi.nlm.nih.gov/36730203/" TargetMode="External"/><Relationship Id="rIdqbakygjipt1lphev1bozb" Type="http://schemas.openxmlformats.org/officeDocument/2006/relationships/hyperlink" Target="https://pubmed.ncbi.nlm.nih.gov/36730203/" TargetMode="External"/><Relationship Id="rIdfp15a56ccbryhzsfgukmc" Type="http://schemas.openxmlformats.org/officeDocument/2006/relationships/hyperlink" Target="https://pubmed.ncbi.nlm.nih.gov/36730203/" TargetMode="External"/><Relationship Id="rIdqsiwzktwct9kngqqtdc--" Type="http://schemas.openxmlformats.org/officeDocument/2006/relationships/hyperlink" Target="https://pubmed.ncbi.nlm.nih.gov/36730203/" TargetMode="External"/><Relationship Id="rIduidw3j-trtbpn32zcfhln" Type="http://schemas.openxmlformats.org/officeDocument/2006/relationships/hyperlink" Target="https://pubmed.ncbi.nlm.nih.gov/36730203/" TargetMode="External"/><Relationship Id="rIdrgg81ekue_erpzgrfouav" Type="http://schemas.openxmlformats.org/officeDocument/2006/relationships/hyperlink" Target="https://pubmed.ncbi.nlm.nih.gov/36730203/" TargetMode="External"/><Relationship Id="rIdyhylkg9b8ri7cmokmep2s" Type="http://schemas.openxmlformats.org/officeDocument/2006/relationships/hyperlink" Target="https://pubmed.ncbi.nlm.nih.gov/36730203/" TargetMode="External"/><Relationship Id="rIdzfavfw9hqfxxgqfwlux52" Type="http://schemas.openxmlformats.org/officeDocument/2006/relationships/hyperlink" Target="https://pubmed.ncbi.nlm.nih.gov/34127759/" TargetMode="External"/><Relationship Id="rIdp7dzsrsgqb975qzxtvzgf" Type="http://schemas.openxmlformats.org/officeDocument/2006/relationships/hyperlink" Target="https://pubmed.ncbi.nlm.nih.gov/34127759/" TargetMode="External"/><Relationship Id="rIdphmdf74p1llt0a8vlewu6" Type="http://schemas.openxmlformats.org/officeDocument/2006/relationships/hyperlink" Target="https://pubmed.ncbi.nlm.nih.gov/34127759/" TargetMode="External"/><Relationship Id="rIdragk5kvbemmf2gvay6won" Type="http://schemas.openxmlformats.org/officeDocument/2006/relationships/hyperlink" Target="https://pubmed.ncbi.nlm.nih.gov/34127759/" TargetMode="External"/><Relationship Id="rIdzytfvq0t5vt5tbv7bbruf" Type="http://schemas.openxmlformats.org/officeDocument/2006/relationships/hyperlink" Target="https://pubmed.ncbi.nlm.nih.gov/34127759/" TargetMode="External"/><Relationship Id="rIdj6szznyxd6xtkiapecjbv" Type="http://schemas.openxmlformats.org/officeDocument/2006/relationships/hyperlink" Target="https://pubmed.ncbi.nlm.nih.gov/34127759/" TargetMode="External"/><Relationship Id="rId-wbwszjimgp30b-rpw-nc" Type="http://schemas.openxmlformats.org/officeDocument/2006/relationships/hyperlink" Target="https://pubmed.ncbi.nlm.nih.gov/32127577/" TargetMode="External"/><Relationship Id="rIdaghs-hgmzauxwgsmoskxf" Type="http://schemas.openxmlformats.org/officeDocument/2006/relationships/hyperlink" Target="https://pubmed.ncbi.nlm.nih.gov/32127577/" TargetMode="External"/><Relationship Id="rIdmatr9c0al9hpx9spnoiv5" Type="http://schemas.openxmlformats.org/officeDocument/2006/relationships/hyperlink" Target="https://pubmed.ncbi.nlm.nih.gov/32127577/" TargetMode="External"/><Relationship Id="rIdf7_fkbtbk3mudam9nj9ji" Type="http://schemas.openxmlformats.org/officeDocument/2006/relationships/hyperlink" Target="https://pubmed.ncbi.nlm.nih.gov/32127577/" TargetMode="External"/><Relationship Id="rIdbmme9dknplh0awphk-bvh" Type="http://schemas.openxmlformats.org/officeDocument/2006/relationships/hyperlink" Target="https://pubmed.ncbi.nlm.nih.gov/34127759/" TargetMode="External"/><Relationship Id="rIdmfdfw2v2o4kecsuhtfhg6" Type="http://schemas.openxmlformats.org/officeDocument/2006/relationships/hyperlink" Target="https://pubmed.ncbi.nlm.nih.gov/34127759/" TargetMode="External"/><Relationship Id="rIdlo01motxwhoq3-t83znca" Type="http://schemas.openxmlformats.org/officeDocument/2006/relationships/hyperlink" Target="https://pubmed.ncbi.nlm.nih.gov/34127759/" TargetMode="External"/><Relationship Id="rIdx-_bwhe3ojz6drpxm60jp" Type="http://schemas.openxmlformats.org/officeDocument/2006/relationships/hyperlink" Target="https://pubmed.ncbi.nlm.nih.gov/34127759/" TargetMode="External"/><Relationship Id="rIdswb4gmuvefddspmh7derm" Type="http://schemas.openxmlformats.org/officeDocument/2006/relationships/hyperlink" Target="https://pubmed.ncbi.nlm.nih.gov/34127759/" TargetMode="External"/><Relationship Id="rIdksxos6dvsqn-kw0y_ithg" Type="http://schemas.openxmlformats.org/officeDocument/2006/relationships/hyperlink" Target="https://pubmed.ncbi.nlm.nih.gov/34127759/" TargetMode="External"/><Relationship Id="rIdjywe3vwclhjmlr61pfnae" Type="http://schemas.openxmlformats.org/officeDocument/2006/relationships/hyperlink" Target="https://pubmed.ncbi.nlm.nih.gov/42245789/" TargetMode="External"/><Relationship Id="rIdb8j84ubrvmd8it1mu3ud1" Type="http://schemas.openxmlformats.org/officeDocument/2006/relationships/hyperlink" Target="https://pubmed.ncbi.nlm.nih.gov/42245789/" TargetMode="External"/><Relationship Id="rIdvonp6frilledwnwad6iik" Type="http://schemas.openxmlformats.org/officeDocument/2006/relationships/hyperlink" Target="https://pubmed.ncbi.nlm.nih.gov/42245789/" TargetMode="External"/><Relationship Id="rIdmhg_6iknbgvhnomx57emi" Type="http://schemas.openxmlformats.org/officeDocument/2006/relationships/hyperlink" Target="https://pubmed.ncbi.nlm.nih.gov/42245789/" TargetMode="External"/><Relationship Id="rIdsyponewujjgtgzdpkhcor" Type="http://schemas.openxmlformats.org/officeDocument/2006/relationships/hyperlink" Target="https://pubmed.ncbi.nlm.nih.gov/42245789/" TargetMode="External"/><Relationship Id="rIdk5o_qzikjzbvssjweb300" Type="http://schemas.openxmlformats.org/officeDocument/2006/relationships/hyperlink" Target="https://pubmed.ncbi.nlm.nih.gov/42245789/" TargetMode="External"/><Relationship Id="rId2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2026-08-23T04:29:26.719Z</dcterms:created>
  <dcterms:modified xsi:type="dcterms:W3CDTF">2026-08-23T04:29:26.724Z</dcterms:modified>
</cp:coreProperties>
</file>

<file path=docProps/custom.xml><?xml version="1.0" encoding="utf-8"?>
<Properties xmlns="http://schemas.openxmlformats.org/officeDocument/2006/custom-properties" xmlns:vt="http://schemas.openxmlformats.org/officeDocument/2006/docPropsVTypes"/>
</file>