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_nam55lwdgayjmaufskok">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efficacy studies often report positive effects—62% of focal and 70% of global ischemia experiments were superior to control (O'Collins et al. 2006), and several clinical drug classes reproduced benefits in rodents (Sembach et al. 2021). However, translation is inconsistent: reported translation rates spanned 0–100% (Ritskes‑Hoitinga et al. 2022) and rodent→human concordance for liver effects was 44% (Leenaars et al. 2019).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heterogeneity across interventions, models, outcomes and likely selective reporting/publication bias noted by the authors.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3–74%</w:t>
            </w:r>
            <w:r>
              <w:rPr>
                <w:rFonts w:ascii="Calibri" w:cs="Calibri" w:eastAsia="Calibri" w:hAnsi="Calibri"/>
                <w:sz w:val="18"/>
                <w:szCs w:val="18"/>
              </w:rPr>
              <w:t xml:space="preserve">  proportion — 9 comparisons, median 26% — lowest neuroprotective efficacy in culture models (inferior to control) (3%), highest neuroprotective efficacy in culture models (superior to control) (74%) (</w:t>
            </w:r>
            <w:hyperlink w:history="1" r:id="rIdrpmt-qp8ihbhl7fll3znc">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24.4–31.3%</w:t>
            </w:r>
            <w:r>
              <w:rPr>
                <w:rFonts w:ascii="Calibri" w:cs="Calibri" w:eastAsia="Calibri" w:hAnsi="Calibri"/>
                <w:sz w:val="18"/>
                <w:szCs w:val="18"/>
              </w:rPr>
              <w:t xml:space="preserve">  mean — 2 comparisons, median 27.85% — lowest improvement in focal models for drugs tested only in animal models vs. drugs tested clinically (24.4%), highest improvement in focal models for drugs tested clinically vs. drugs tested only in animal models (31.3%) (</w:t>
            </w:r>
            <w:hyperlink w:history="1" r:id="rIdz0iy5sxepimpzwoux7_wb">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44%</w:t>
            </w:r>
            <w:r>
              <w:rPr>
                <w:rFonts w:ascii="Calibri" w:cs="Calibri" w:eastAsia="Calibri" w:hAnsi="Calibri"/>
                <w:sz w:val="18"/>
                <w:szCs w:val="18"/>
              </w:rPr>
              <w:t xml:space="preserve">  concordance rate, n=951 compounds — concordance of liver effects (</w:t>
            </w:r>
            <w:hyperlink w:history="1" r:id="rIdsuqw10limxgthyox_tjhu">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percentage of positive findings in animal studies (82%) is likely inflated due to publication bias and selective reporting, as noted by the authors. The range of translation rates (0-100%) indicates high variability and unreliability.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Spanagel 2017 reports three alcoholism drugs translated from rodent models (acamprosate, naltrexone, nalmefene) and consistent opioid-blockade effects in mice/rats; Pan et al. 2020 finds mouse tumor TGI does not predict approval (median 0.74 vs 0.77; AUC 0.45). Pan et al. cautions few approved drugs and TGI heterogeneity may limit inference.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3 comparisons, median 0.84 — lowest Odds Ratio for drug success (Q4 TGI vs Q1 TGI) (0.74), highest Odds Ratio for drug success (Q3 TGI vs Q1 TGI) (0.9) (</w:t>
            </w:r>
            <w:hyperlink w:history="1" r:id="rIdwjht0odzw2tizxjatozu3">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0.74–0.77</w:t>
            </w:r>
            <w:r>
              <w:rPr>
                <w:rFonts w:ascii="Calibri" w:cs="Calibri" w:eastAsia="Calibri" w:hAnsi="Calibri"/>
                <w:sz w:val="18"/>
                <w:szCs w:val="18"/>
              </w:rPr>
              <w:t xml:space="preserve">  median — TGI values for approved vs. failed drugs (</w:t>
            </w:r>
            <w:hyperlink w:history="1" r:id="rIdgjj4gv0rt8pcfsvvztvsn">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0.375–0.636</w:t>
            </w:r>
            <w:r>
              <w:rPr>
                <w:rFonts w:ascii="Calibri" w:cs="Calibri" w:eastAsia="Calibri" w:hAnsi="Calibri"/>
                <w:sz w:val="18"/>
                <w:szCs w:val="18"/>
              </w:rPr>
              <w:t xml:space="preserve">  p-value — 2 comparisons, median 0.5055 — lowest Statistical significance of TGI difference between approved and failed drugs (0.375), highest P-trend for TGI and drug success (0.636) (</w:t>
            </w:r>
            <w:hyperlink w:history="1" r:id="rIdgzfsi5eegamfvmyrayxxe">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0.45</w:t>
            </w:r>
            <w:r>
              <w:rPr>
                <w:rFonts w:ascii="Calibri" w:cs="Calibri" w:eastAsia="Calibri" w:hAnsi="Calibri"/>
                <w:sz w:val="18"/>
                <w:szCs w:val="18"/>
              </w:rPr>
              <w:t xml:space="preserve">  auc — Area Under the Curve (AUC) for TGI predicting success (</w:t>
            </w:r>
            <w:hyperlink w:history="1" r:id="rId17dbbdacb3-xjt5nn0u4k">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Rat efficacy findings are mixed: some rat-based results translated (three medications—acamprosate, naltrexone, nalmefene—and the incubation of drug‑seeking seen later in smokers, alcoholics, and cocaine addicts), but other rat‑effective agents failed clinically. Concordance depends on drug class and endpoint (e.g., 2 CRH‑R1 antagonists, KOR antagonists and buspirone failed; d‑amphetamine matched).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drug class and outcome (behavioral vs neurochemical): some neurochemical markers and certain medications translate, while several antagonist classes failed clinically.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NHP drug-vs-food choice studies partially track human efficacy: d-amphetamine reduced cocaine choice in both humans and NHPs, but KOR antagonists and buspirone did not attenuate cocaine/methamphetamine/heroin choice. Females showed greater cocaine preference than males.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differ by drug class, substance (stimulant vs opioid), and acute versus repeated dosing.</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No direct efficacy data; Leenaars et al. 2019 reports toxicity concordance instead, finding non‑rodent–human concordance for liver effects 40% (n=951). The study also reports 48% of adverse drug reactions were predictable from animal data (n=221) and notes predictivity higher for non‑rodents than rodents.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4wssfnahh7b-yzil40tjl">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Perel et al. 2007: in ewe models antenatal corticosteroids increased neonatal mortality (pooled OR 12.5, 95% CI 1.9–79.2), so sheep results did not match human trials (no benefit). The estimate is very imprecise (wide CI).</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wide confidence interval reflects imprecision from small numbers/few ewe studies.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12.5</w:t>
            </w:r>
            <w:r>
              <w:rPr>
                <w:rFonts w:ascii="Calibri" w:cs="Calibri" w:eastAsia="Calibri" w:hAnsi="Calibri"/>
                <w:sz w:val="18"/>
                <w:szCs w:val="18"/>
              </w:rPr>
              <w:t xml:space="preserve">  odds ratio — Antenatal corticosteroids: neonatal mortality in ewe models (pooled odds ratio) (</w:t>
            </w:r>
            <w:hyperlink w:history="1" r:id="rIdnv39wzizialtmqjygipmj">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3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dogs can predict or exclude some toxicities (LR+ 6.11 for cardiac disorders; 60% post-test odds for QT; Clark et al. 2018) but overall predictive power is modest—median PPV ≈0.67 and NPV ≈0.52 (Atkins et al. 2020). Absence of dog toxicity raised probability of no human toxicity to only ~72% (Bailey et al. 2019); species- and endpoint-specific differences reported (Jang et al. 2019).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toxicity endpoint, severity and dataset (e.g., cardiac/QT vs subjective 'other' events; Liver‑Chip case studies vs regulatory databases).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15–96%</w:t>
            </w:r>
            <w:r>
              <w:rPr>
                <w:rFonts w:ascii="Calibri" w:cs="Calibri" w:eastAsia="Calibri" w:hAnsi="Calibri"/>
                <w:sz w:val="18"/>
                <w:szCs w:val="18"/>
              </w:rPr>
              <w:t xml:space="preserve">  npv — 12 comparisons, median 91% — lowest NPV for 'Other' (15%), highest NPV for Pulmonary (96%) (</w:t>
            </w:r>
            <w:hyperlink w:history="1" r:id="rIdik2ylbuulqpdybiubxowx">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w:t>
            </w:r>
            <w:r>
              <w:rPr>
                <w:rFonts w:ascii="Calibri" w:cs="Calibri" w:eastAsia="Calibri" w:hAnsi="Calibri"/>
                <w:sz w:val="18"/>
                <w:szCs w:val="18"/>
              </w:rPr>
              <w:t xml:space="preserve">  ppv — 10 comparisons, median 39.5% — lowest PPV for Pulmonary (0%), highest PPV for Nervous system (52%) (</w:t>
            </w:r>
            <w:hyperlink w:history="1" r:id="rIdpyvghkgtvrdu85nfuj1ng">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v0ebfi9aptog4lyjj6ftt">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30–40%</w:t>
            </w:r>
            <w:r>
              <w:rPr>
                <w:rFonts w:ascii="Calibri" w:cs="Calibri" w:eastAsia="Calibri" w:hAnsi="Calibri"/>
                <w:sz w:val="18"/>
                <w:szCs w:val="18"/>
              </w:rPr>
              <w:t xml:space="preserve">  pru — 2 comparisons, median 35% — lowest Proportionate Reduction in Uncertainty (PRU) for GI (Dog) (30%), highest Proportionate Reduction in Uncertainty (PRU) for Nervous System (Dog) (40%) (</w:t>
            </w:r>
            <w:hyperlink w:history="1" r:id="rIdlt223zgidg52g7cyfvsja">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0.38–0.67</w:t>
            </w:r>
            <w:r>
              <w:rPr>
                <w:rFonts w:ascii="Calibri" w:cs="Calibri" w:eastAsia="Calibri" w:hAnsi="Calibri"/>
                <w:sz w:val="18"/>
                <w:szCs w:val="18"/>
              </w:rPr>
              <w:t xml:space="preserve">  median ppv — 2 comparisons, median 0.525 — lowest PPV for grade 3 and 4 toxicities (0.38), highest PPV for all toxicity grades (0.67) (</w:t>
            </w:r>
            <w:hyperlink w:history="1" r:id="rIdmsjlbyt2wzvvhfrpkerct">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0.52–0.71</w:t>
            </w:r>
            <w:r>
              <w:rPr>
                <w:rFonts w:ascii="Calibri" w:cs="Calibri" w:eastAsia="Calibri" w:hAnsi="Calibri"/>
                <w:sz w:val="18"/>
                <w:szCs w:val="18"/>
              </w:rPr>
              <w:t xml:space="preserve">  median npv — 2 comparisons, median 0.615 — lowest NPV for all toxicity grades (0.52), highest NPV for grade 3 and 4 toxicities (0.71) (</w:t>
            </w:r>
            <w:hyperlink w:history="1" r:id="rIdnw7zl0wl_95wkraxv-8e5">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71% prediction rate for toxicities in humans by animal models is an overall figure and does not specify the type of toxicity or the specific animal species involved in each case. The IC50 values are for a specific drug (bosentan) and a specific endpoint (albumin secretion decrease). The JNJ-2 and JNJ-3 comparisons are for specific compounds and endpoints, and the JNJ-3 comparison notes that in vivo data for JNJ-2 in dogs or JNJ-3 in rats were not available.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NHPs can predict some human toxicities (Clark et al. 2018 LR+ 9.52–11.02 for cardiac/hepatobiliary) but overall performance is modest—Monticello et al. 2017 sensitivity 48%, NPV 86%; Atkins et al. 2020 median PPV 0.72, NPV 0.50.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organ system and toxicity grade—some endpoints show high LR+ (cardiac/hepatobiliary) while overall PPVs and sensitivities are much lower; low clinical positive prevalence inflates NPVs.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16–97%</w:t>
            </w:r>
            <w:r>
              <w:rPr>
                <w:rFonts w:ascii="Calibri" w:cs="Calibri" w:eastAsia="Calibri" w:hAnsi="Calibri"/>
                <w:sz w:val="18"/>
                <w:szCs w:val="18"/>
              </w:rPr>
              <w:t xml:space="preserve">  npv — 14 comparisons, median 87.5% — lowest NPV for 'Other' (16%), highest NPV for Ophthalmology (97%) (</w:t>
            </w:r>
            <w:hyperlink w:history="1" r:id="rIdcvnonve9oohaiglhheuvo">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0–91%</w:t>
            </w:r>
            <w:r>
              <w:rPr>
                <w:rFonts w:ascii="Calibri" w:cs="Calibri" w:eastAsia="Calibri" w:hAnsi="Calibri"/>
                <w:sz w:val="18"/>
                <w:szCs w:val="18"/>
              </w:rPr>
              <w:t xml:space="preserve">  ppv — 13 comparisons, median 43% — lowest PPV for Musculoskeletal (0%), highest PPV for Gastrointestinal (91%) (</w:t>
            </w:r>
            <w:hyperlink w:history="1" r:id="rIdsmz6pjybvkytvtltwheb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2 comparisons, median 70% — lowest Proportionate Reduction in Uncertainty (PRU) for GI (Monkey) (60%), highest Proportionate Reduction in Uncertainty (PRU) for Nervous System (Monkey) (80%) (</w:t>
            </w:r>
            <w:hyperlink w:history="1" r:id="rId7g-5mjp9zdlsseqyl_cam">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0.6–0.72</w:t>
            </w:r>
            <w:r>
              <w:rPr>
                <w:rFonts w:ascii="Calibri" w:cs="Calibri" w:eastAsia="Calibri" w:hAnsi="Calibri"/>
                <w:sz w:val="18"/>
                <w:szCs w:val="18"/>
              </w:rPr>
              <w:t xml:space="preserve">  median ppv — 2 comparisons, median 0.66 — lowest PPV for grade 3 and 4 toxicities (0.6), highest PPV for all toxicity grades (0.72) (</w:t>
            </w:r>
            <w:hyperlink w:history="1" r:id="rIda9kjxiig9x1rdpdlvkpmo">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0.5–0.73</w:t>
            </w:r>
            <w:r>
              <w:rPr>
                <w:rFonts w:ascii="Calibri" w:cs="Calibri" w:eastAsia="Calibri" w:hAnsi="Calibri"/>
                <w:sz w:val="18"/>
                <w:szCs w:val="18"/>
              </w:rPr>
              <w:t xml:space="preserve">  median npv — 2 comparisons, median 0.615 — lowest NPV for all toxicity grades (0.5), highest NPV for grade 3 and 4 toxicities (0.73) (</w:t>
            </w:r>
            <w:hyperlink w:history="1" r:id="rIdapowgi-yx9pzfqfqbclz0">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 2 comparisons, median 10.27 — lowest Likelihood Ratio for cynomolgus monkey, Cardiac disorders (9.52), highest Likelihood Ratio for cynomolgus monkey, Hepatobiliary disorders (11.02) (</w:t>
            </w:r>
            <w:hyperlink w:history="1" r:id="rIdp8wifoaykjyuqf-n6tjng">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metrics show modest rat→human concordance (Jang et al. 2019: 71% of human toxicities predicted by rat+dog testing; Atkins et al. 2020: rat median PPV=0.65; Clark et al. 2018: rat LR+ for cardiac=4.73). However, discrimination is poor for severe toxicities (Atkins PPV grade3–4=0.41) and absence of rat toxicity gives little evidential weight for absence in humans (Bailey et al. 2015: rat iNLR=1.82).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because studies use different metrics (PPV/NPV/LR/iNLR), endpoints and toxicity severities.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2.5–4.73</w:t>
            </w:r>
            <w:r>
              <w:rPr>
                <w:rFonts w:ascii="Calibri" w:cs="Calibri" w:eastAsia="Calibri" w:hAnsi="Calibri"/>
                <w:sz w:val="18"/>
                <w:szCs w:val="18"/>
              </w:rPr>
              <w:t xml:space="preserve">  lr+ — 3 comparisons, median 2.74 — lowest Likelihood Ratio for Pain (rat) (2.5), highest Likelihood Ratio for rat, Cardiac disorders (4.73) (</w:t>
            </w:r>
            <w:hyperlink w:history="1" r:id="rId4yznjp7metebympnizwjd">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0.41–0.65</w:t>
            </w:r>
            <w:r>
              <w:rPr>
                <w:rFonts w:ascii="Calibri" w:cs="Calibri" w:eastAsia="Calibri" w:hAnsi="Calibri"/>
                <w:sz w:val="18"/>
                <w:szCs w:val="18"/>
              </w:rPr>
              <w:t xml:space="preserve">  median ppv — 2 comparisons, median 0.53 — lowest PPV for grade 3 and 4 toxicities (0.41), highest PPV for all toxicity grades (0.65) (</w:t>
            </w:r>
            <w:hyperlink w:history="1" r:id="rIdcdjajweasziddvq7tptbn">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0.51–0.72</w:t>
            </w:r>
            <w:r>
              <w:rPr>
                <w:rFonts w:ascii="Calibri" w:cs="Calibri" w:eastAsia="Calibri" w:hAnsi="Calibri"/>
                <w:sz w:val="18"/>
                <w:szCs w:val="18"/>
              </w:rPr>
              <w:t xml:space="preserve">  median npv — 2 comparisons, median 0.615 — lowest NPV for all toxicity grades (0.51), highest NPV for grade 3 and 4 toxicities (0.72) (</w:t>
            </w:r>
            <w:hyperlink w:history="1" r:id="rIdb9q5__gqz1hr3e_byraoy">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ic50 (half-maximal inhibitory concentration) — IC50 for bosentan-induced albumin secretion decrease (</w:t>
            </w:r>
            <w:hyperlink w:history="1" r:id="rIdfprjec0bxlccv9h5jv0is">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w:t>
            </w:r>
            <w:r>
              <w:rPr>
                <w:rFonts w:ascii="Calibri" w:cs="Calibri" w:eastAsia="Calibri" w:hAnsi="Calibri"/>
                <w:sz w:val="18"/>
                <w:szCs w:val="18"/>
              </w:rPr>
              <w:t xml:space="preserve">  post-test odds — QT prolongation post-test odds (rat) (</w:t>
            </w:r>
            <w:hyperlink w:history="1" r:id="rIdfl-y8rfcwfajhh7jollk9">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1.82</w:t>
            </w:r>
            <w:r>
              <w:rPr>
                <w:rFonts w:ascii="Calibri" w:cs="Calibri" w:eastAsia="Calibri" w:hAnsi="Calibri"/>
                <w:sz w:val="18"/>
                <w:szCs w:val="18"/>
              </w:rPr>
              <w:t xml:space="preserve">  median inlr — Rat-human median iNLR (</w:t>
            </w:r>
            <w:hyperlink w:history="1" r:id="rIdilj0lmm0rwbqchm6xz3p0">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Mouse toxicology does not reliably predict human toxicity: Atkins et al. 2020 found median PPV 0.57 (all grades) and 0.43 (grade 3–4) with NPV 0.81 for grade 3–4, and Bailey et al. 2015 reported mouse iNLR 1.39 (≈no evidential weight). Clark et al. 2018 found higher LR+ for some endpoints (cardiac LR+ 5.29; hepatobiliary LR+ 3.73) but no overall statistically significant concordance.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toxicity grade and by organ/endpoint (e.g., lower PPV for severe toxicities; higher LR+ for specific cardiac/hepatobiliary endpoints).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3.73–7.4</w:t>
            </w:r>
            <w:r>
              <w:rPr>
                <w:rFonts w:ascii="Calibri" w:cs="Calibri" w:eastAsia="Calibri" w:hAnsi="Calibri"/>
                <w:sz w:val="18"/>
                <w:szCs w:val="18"/>
              </w:rPr>
              <w:t xml:space="preserve">  lr+ — 3 comparisons, median 5.29 — lowest Likelihood Ratio for mouse, Hepatobiliary disorders (3.73), highest Likelihood Ratio for Pain (mouse) (7.4) (</w:t>
            </w:r>
            <w:hyperlink w:history="1" r:id="rIdwp6bi1zouvvdd_fe2uofr">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0.43–0.57</w:t>
            </w:r>
            <w:r>
              <w:rPr>
                <w:rFonts w:ascii="Calibri" w:cs="Calibri" w:eastAsia="Calibri" w:hAnsi="Calibri"/>
                <w:sz w:val="18"/>
                <w:szCs w:val="18"/>
              </w:rPr>
              <w:t xml:space="preserve">  median ppv — 2 comparisons, median 0.5 — lowest PPV for grade 3 and 4 toxicities (0.43), highest PPV for all toxicity grades (0.57) (</w:t>
            </w:r>
            <w:hyperlink w:history="1" r:id="rId2s1acyzhozvxu8duzi2ww">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0.57–0.81</w:t>
            </w:r>
            <w:r>
              <w:rPr>
                <w:rFonts w:ascii="Calibri" w:cs="Calibri" w:eastAsia="Calibri" w:hAnsi="Calibri"/>
                <w:sz w:val="18"/>
                <w:szCs w:val="18"/>
              </w:rPr>
              <w:t xml:space="preserve">  median npv — 2 comparisons, median 0.69 — lowest NPV for all toxicity grades (0.57), highest NPV for grade 3 and 4 toxicities (0.81) (</w:t>
            </w:r>
            <w:hyperlink w:history="1" r:id="rIdujb-tkmr5-kps6oklibmp">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1.39</w:t>
            </w:r>
            <w:r>
              <w:rPr>
                <w:rFonts w:ascii="Calibri" w:cs="Calibri" w:eastAsia="Calibri" w:hAnsi="Calibri"/>
                <w:sz w:val="18"/>
                <w:szCs w:val="18"/>
              </w:rPr>
              <w:t xml:space="preserve">  median inlr — Mouse-human median iNLR (</w:t>
            </w:r>
            <w:hyperlink w:history="1" r:id="rIdextkaznzb8xc9mvngekbg">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zebrafish toxicology generally tracks human outcomes: Cornet et al. 2017 found 78% overall accuracy (specificity 89%, sensitivity 68%), Nikam et al. 2020 reported 100% concordance for general/hepatotoxicity and 90% for teratogenicity, and McGrath et al. 2008 found 100% teratogen detection vs 75% non‑teratogen ID. Sensitivity varies by endpoint across studies.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Sensitivity differs by toxicity endpoint and platform (e.g. neurotoxicity 54% vs hepatotoxicity 80% in Cornet et al.).</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77–100%</w:t>
            </w:r>
            <w:r>
              <w:rPr>
                <w:rFonts w:ascii="Calibri" w:cs="Calibri" w:eastAsia="Calibri" w:hAnsi="Calibri"/>
                <w:sz w:val="18"/>
                <w:szCs w:val="18"/>
              </w:rPr>
              <w:t xml:space="preserve">  specificity — 4 comparisons, median 89.5% — lowest Hepatotoxicity predictive assessment (77%), highest Neurotoxicity predictive assessment (100%) (</w:t>
            </w:r>
            <w:hyperlink w:history="1" r:id="rIdjcr0mibpzs6mj0alspt37">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54–80%</w:t>
            </w:r>
            <w:r>
              <w:rPr>
                <w:rFonts w:ascii="Calibri" w:cs="Calibri" w:eastAsia="Calibri" w:hAnsi="Calibri"/>
                <w:sz w:val="18"/>
                <w:szCs w:val="18"/>
              </w:rPr>
              <w:t xml:space="preserve">  sensitivity — 4 comparisons, median 68.5% — lowest Neurotoxicity predictive assessment (54%), highest Hepatotoxicity predictive assessment (80%) (</w:t>
            </w:r>
            <w:hyperlink w:history="1" r:id="rIdukdwjztue9dx0c1pwolqi">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75–82%</w:t>
            </w:r>
            <w:r>
              <w:rPr>
                <w:rFonts w:ascii="Calibri" w:cs="Calibri" w:eastAsia="Calibri" w:hAnsi="Calibri"/>
                <w:sz w:val="18"/>
                <w:szCs w:val="18"/>
              </w:rPr>
              <w:t xml:space="preserve">  accuracy — 4 comparisons, median 78% — lowest Neurotoxicity predictive assessment (75%), highest Hepatotoxicity predictive assessment (82%) (</w:t>
            </w:r>
            <w:hyperlink w:history="1" r:id="rId5oyuq51qwszbiqxn6wilw">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75–100%</w:t>
            </w:r>
            <w:r>
              <w:rPr>
                <w:rFonts w:ascii="Calibri" w:cs="Calibri" w:eastAsia="Calibri" w:hAnsi="Calibri"/>
                <w:sz w:val="18"/>
                <w:szCs w:val="18"/>
              </w:rPr>
              <w:t xml:space="preserve">  success rate — 2 comparisons, median 87.5% — lowest success rate in identifying nonteratogenic compounds (75%), highest success rate in identifying teratogens (100%) (</w:t>
            </w:r>
            <w:hyperlink w:history="1" r:id="rIddm-ewtmkuhlclbdllah0x">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6kholxs0vtfdncf2c8mzd">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ucsga029pybknw0xoq7ys">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Clark et al. 2018 found moderate predictive value for some endpoints (rabbit QT post-test odds 83%; LR+ cardiac 3.54; LR+ hepatobiliary 2.8), but Bailey et al. 2015 found absence-of-toxicity in rabbit gave little evidence of safety (median iNLR 1.12).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endpoint (e.g., QT-specific vs overall selectivity) and by study dataset/selection biases.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 2 comparisons, median 3.17 — lowest Likelihood Ratio for rabbit, Hepatobiliary disorders (2.8), highest Likelihood Ratio for rabbit, Cardiac disorders (3.54) (</w:t>
            </w:r>
            <w:hyperlink w:history="1" r:id="rIdjekz0ubyy4syh5lq8l65h">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7elbzuwsjmlaebex3zzlc">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w:t>
            </w:r>
            <w:r>
              <w:rPr>
                <w:rFonts w:ascii="Calibri" w:cs="Calibri" w:eastAsia="Calibri" w:hAnsi="Calibri"/>
                <w:sz w:val="18"/>
                <w:szCs w:val="18"/>
              </w:rPr>
              <w:t xml:space="preserve">  median inlr — Rabbit-human median iNLR (</w:t>
            </w:r>
            <w:hyperlink w:history="1" r:id="rIdpvnzuyciivo385pacwwq-">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toxicology partly tracked human outcomes: sensitivity 48% and PPV 43% for predicting human adverse effects, while specificity 84% and NPV 86% for predicting absence of human AEs. Performance varied by organ (PPV 0%–54%) and rose when rodent+nonrodent shared the same target organ.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PPV varied by organ system (0% ophthalmology to 54% biochemical) and was higher when the same target organ was identified in both rodent and nonrodent.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0–62%</w:t>
            </w:r>
            <w:r>
              <w:rPr>
                <w:rFonts w:ascii="Calibri" w:cs="Calibri" w:eastAsia="Calibri" w:hAnsi="Calibri"/>
                <w:sz w:val="18"/>
                <w:szCs w:val="18"/>
              </w:rPr>
              <w:t xml:space="preserve">  ppv — 15 comparisons, median 27% — lowest PPV for Ophthalmology (0%), highest PPV for Liver (Rodent + Monkey, 'and' view) (62%) (</w:t>
            </w:r>
            <w:hyperlink w:history="1" r:id="rId-4mmrpsjcbk7ul3-dddu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14–96%</w:t>
            </w:r>
            <w:r>
              <w:rPr>
                <w:rFonts w:ascii="Calibri" w:cs="Calibri" w:eastAsia="Calibri" w:hAnsi="Calibri"/>
                <w:sz w:val="18"/>
                <w:szCs w:val="18"/>
              </w:rPr>
              <w:t xml:space="preserve">  npv — 15 comparisons, median 90% — lowest NPV for 'Other' (14%), highest NPV for Ophthalmology (96%) (</w:t>
            </w:r>
            <w:hyperlink w:history="1" r:id="rIdfxbmotwpziljbbtqtnxvo">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20–40%</w:t>
            </w:r>
            <w:r>
              <w:rPr>
                <w:rFonts w:ascii="Calibri" w:cs="Calibri" w:eastAsia="Calibri" w:hAnsi="Calibri"/>
                <w:sz w:val="18"/>
                <w:szCs w:val="18"/>
              </w:rPr>
              <w:t xml:space="preserve">  pru — 2 comparisons, median 30% — lowest Proportionate Reduction in Uncertainty (PRU) for GI (Rodent) (20%), highest Proportionate Reduction in Uncertainty (PRU) for Nervous System (Rodent) (40%) (</w:t>
            </w:r>
            <w:hyperlink w:history="1" r:id="rIdgwhbaizalcjezxslux73j">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sensitivity — Sensitivity for Liver (Rodent) (</w:t>
            </w:r>
            <w:hyperlink w:history="1" r:id="rId80spgvea2ov48xrsiqrqa">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w:t>
            </w:r>
            <w:r>
              <w:rPr>
                <w:rFonts w:ascii="Calibri" w:cs="Calibri" w:eastAsia="Calibri" w:hAnsi="Calibri"/>
                <w:sz w:val="18"/>
                <w:szCs w:val="18"/>
              </w:rPr>
              <w:t xml:space="preserve">  specificity — Specificity for Liver (Rodent) (</w:t>
            </w:r>
            <w:hyperlink w:history="1" r:id="rIdarjjmg3qpmxtwhdyb9cux">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Dog safety-pharmacology generally tracked human outcomes: Pollard et al. 2017 reported dog QTc AUC ≈0.81 (0.91 excluding β2‑agonists); Valentin et al. 2022 found 91% of human QT‑prolongers were positive in animals; Bhatt et al. 2019 found combined BP/HR sensitivity 78% and specificity 79%. Main qualification: Valentin also reported 31% overall discordance and performance varied by assay and drug class.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assay, endpoint and drug class (e.g., excluding β2‑agonists raised AUC from 0.81 to 0.91).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 6 comparisons, median 0.81 — lowest concordance between hERG potency and clinical QTc outcome (0.78), highest concordance between hERG safety margin and clinical QTc outcome (excluding β2-adrenoceptor agonists) (0.92) (</w:t>
            </w:r>
            <w:hyperlink w:history="1" r:id="rIdcnvioyxul7ud2gaycj_k6">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-0.04–16.6</w:t>
            </w:r>
            <w:r>
              <w:rPr>
                <w:rFonts w:ascii="Calibri" w:cs="Calibri" w:eastAsia="Calibri" w:hAnsi="Calibri"/>
                <w:sz w:val="18"/>
                <w:szCs w:val="18"/>
              </w:rPr>
              <w:t xml:space="preserve">  mean — 3 comparisons, median 16.6 — lowest QTc increase over 24h (mock drug) (-0.04), highest QTc increase at critical concentration (moxifloxacin) (16.6) (</w:t>
            </w:r>
            <w:hyperlink w:history="1" r:id="rIdr5puuvrxn1iw9hsiavugg">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uwyessjg7tsdoem2bbwzr">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xhhf8-c3cm_afvgwnsmel">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1.7–3</w:t>
            </w:r>
            <w:r>
              <w:rPr>
                <w:rFonts w:ascii="Calibri" w:cs="Calibri" w:eastAsia="Calibri" w:hAnsi="Calibri"/>
                <w:sz w:val="18"/>
                <w:szCs w:val="18"/>
              </w:rPr>
              <w:t xml:space="preserve">  multiple — 2 comparisons, median 2.35 — lowest Critical concentration multiple for 10ms QTc increase (moxifloxacin) (1.7), highest Critical concentration multiple for 10ms QTc increase (mock drug) (3) (</w:t>
            </w:r>
            <w:hyperlink w:history="1" r:id="rIdwdcvgcjsmm-2oyupzcpyt">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concordance rate, n=24 drugs — concordance rate of in vivo dog assay for clinical QT outcome (</w:t>
            </w:r>
            <w:hyperlink w:history="1" r:id="rIdhwov_fx1q8wfsjbyxaxvs">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NHP cardiovascular safety signals generally tracked human outcomes: Bhatt et al. 2019 reported large-animal→human combined BP/HR sensitivity 78% and specificity 79%; Sadko et al. 2024 found moxifloxacin QTc ≈10.9 ms in NHP vs ~10 ms in humans. Caveat: HR-only sensitivity 54%, PPV 52%, and predictive values depend on prevalence.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-1.17–10.9</w:t>
            </w:r>
            <w:r>
              <w:rPr>
                <w:rFonts w:ascii="Calibri" w:cs="Calibri" w:eastAsia="Calibri" w:hAnsi="Calibri"/>
                <w:sz w:val="18"/>
                <w:szCs w:val="18"/>
              </w:rPr>
              <w:t xml:space="preserve">  mean — 3 comparisons, median 10 — lowest QTc increase over 24h (mock drug) (-1.17), highest QTc increase at critical concentration (moxifloxacin) (10.9) (</w:t>
            </w:r>
            <w:hyperlink w:history="1" r:id="rId06mgrjt5a7gzbsamaj4of">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vz0lt-ukynubal3z428ri">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tyxagffllt4jcni0kf-tg">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 2 comparisons, median 2.25 — lowest Critical concentration multiple for 10ms QTc increase (moxifloxacin) (1.5), highest Critical concentration multiple for 10ms QTc increase (mock drug) (3) (</w:t>
            </w:r>
            <w:hyperlink w:history="1" r:id="rId6myp1-qevpmku3z3822wt">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change, n=48 n=48 — QTc increase at critical concentration (mock drug) (</w:t>
            </w:r>
            <w:hyperlink w:history="1" r:id="rIde8-hzhjfu7kt5ngynzjjq">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0.0043</w:t>
            </w:r>
            <w:r>
              <w:rPr>
                <w:rFonts w:ascii="Calibri" w:cs="Calibri" w:eastAsia="Calibri" w:hAnsi="Calibri"/>
                <w:sz w:val="18"/>
                <w:szCs w:val="18"/>
              </w:rPr>
              <w:t xml:space="preserve">  slope — Average AQTc slope (moxifloxacin) (</w:t>
            </w:r>
            <w:hyperlink w:history="1" r:id="rIdraojjh_qwiqxffc3ili3d">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Bhatt et al. 2019 found rat signals tracked large-animal combined BP+HR reasonably (sensitivity 84%, specificity 71%, PPV 90%, NPV 60%) but were weaker for individual endpoints (BP specificity 59%, HR sensitivity 64%) and 23–26% showed opposite-direction changes. Authors note predictive values depend on dataset prevalence, which may be lower than real-world.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differs between combined BP+HR analyses (higher concordance) and individual BP or HR analyses; some measures also had opposite-direction changes.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3 comparisons, median 82% — lowest rat to large animal (HR only) (64%), highest rat to large animal (combined BP and HR) (84%) (</w:t>
            </w:r>
            <w:hyperlink w:history="1" r:id="rIdpgmmjgjup98kyjf-l62mp">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3 comparisons, median 67% — lowest rat to large animal (BP only) (59%), highest rat to large animal (combined BP and HR) (71%) (</w:t>
            </w:r>
            <w:hyperlink w:history="1" r:id="rIdgozygpozgm_3ywre_ry7j">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2 comparisons, median 24.5% — lowest rat to large animal (directionality of HR change) (23%), highest rat to large animal (directionality of BP change) (26%) (</w:t>
            </w:r>
            <w:hyperlink w:history="1" r:id="rId0b1gcxnq-1odtord6kwd-">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positive predictive value — rat to large animal (combined BP and HR) (</w:t>
            </w:r>
            <w:hyperlink w:history="1" r:id="rId1nztadpwi21htsncdi4a9">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negative predictive value — rat to large animal (combined BP and HR) (</w:t>
            </w:r>
            <w:hyperlink w:history="1" r:id="rIdi3e2krlfd4gru19bmxyke">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11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3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studies report very low transcript concordance (Seok et al. R^2 ≤ 0.09; Kodamullil et al. mice mimicked 12% of human‑deregulated genes), while others find moderate/strong agreement (Takao et al. Spearman 0.43–0.68 with 77–93% directional concordance; Holland et al. recall 0.40). Concordance depends on disease/model, analysis thresholds and exposure duration.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by disease/model, data-processing thresholds (fold‑change/P-value), and experiment duration/exposure.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4.1e-90–0.0003</w:t>
            </w:r>
            <w:r>
              <w:rPr>
                <w:rFonts w:ascii="Calibri" w:cs="Calibri" w:eastAsia="Calibri" w:hAnsi="Calibri"/>
                <w:sz w:val="18"/>
                <w:szCs w:val="18"/>
              </w:rPr>
              <w:t xml:space="preserve">  p value — 31 comparisons, median 1.7e-18 — lowest Overlap P value for 'innate immune response' genes up-regulated in human trauma (4.1e-90), highest Overlap P value for 'translocation of ZAP-70 to immunological synapse' genes down-regulated in human trauma (0.0003) (</w:t>
            </w:r>
            <w:hyperlink w:history="1" r:id="rId1qiyjqgkdn3bceqclpymk">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47–97%</w:t>
            </w:r>
            <w:r>
              <w:rPr>
                <w:rFonts w:ascii="Calibri" w:cs="Calibri" w:eastAsia="Calibri" w:hAnsi="Calibri"/>
                <w:sz w:val="18"/>
                <w:szCs w:val="18"/>
              </w:rPr>
              <w:t xml:space="preserve">  percentage — 26 comparisons, median 61% — lowest percentage of genes changed in the same direction between human conditions and mouse orthologs in mouse models (47%), highest percentage of genes changed in the same direction between human trauma and human burn (Fig. 4) (97%) (</w:t>
            </w:r>
            <w:hyperlink w:history="1" r:id="rIdx8qw8ewjzze_qvgqa9-6b">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7m-wkipx2fol7qnmozcwl">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 · </w:t>
            </w:r>
            <w:hyperlink w:history="1" r:id="rIdcewlepfrhldf1cxwqzhqk">
              <w:r>
                <w:rPr>
                  <w:rFonts w:ascii="Calibri" w:cs="Calibri" w:eastAsia="Calibri" w:hAnsi="Calibri"/>
                  <w:color w:val="1155CC"/>
                  <w:sz w:val="18"/>
                  <w:szCs w:val="18"/>
                  <w:u w:val="single"/>
                </w:rPr>
                <w:t xml:space="preserve">Wang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-0.01–0.91</w:t>
            </w:r>
            <w:r>
              <w:rPr>
                <w:rFonts w:ascii="Calibri" w:cs="Calibri" w:eastAsia="Calibri" w:hAnsi="Calibri"/>
                <w:sz w:val="18"/>
                <w:szCs w:val="18"/>
              </w:rPr>
              <w:t xml:space="preserve">  pearson correlation (r^2) — 23 comparisons, median 0.09 — lowest correlation of gene response between human burn and mouse ARDS (-0.01), highest correlation of gene expression changes between human trauma and human burns (0.91) (</w:t>
            </w:r>
            <w:hyperlink w:history="1" r:id="rIdcmlojggmu6k2bds4bgnmu">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0.001–0.08</w:t>
            </w:r>
            <w:r>
              <w:rPr>
                <w:rFonts w:ascii="Calibri" w:cs="Calibri" w:eastAsia="Calibri" w:hAnsi="Calibri"/>
                <w:sz w:val="18"/>
                <w:szCs w:val="18"/>
              </w:rPr>
              <w:t xml:space="preserve">  fdr — 9 comparisons, median 0.014 — lowest concordance of mouse transcriptome at 52 weeks with human cirrhosis of poor prognosis (0.001), highest concordance of pathway activation at transcriptomic level between humans and mice with similar histological phenotypes (late time points) (0.08) (</w:t>
            </w:r>
            <w:hyperlink w:history="1" r:id="rIdeorqv7pfraklozfrgqmkr">
              <w:r>
                <w:rPr>
                  <w:rFonts w:ascii="Calibri" w:cs="Calibri" w:eastAsia="Calibri" w:hAnsi="Calibri"/>
                  <w:color w:val="1155CC"/>
                  <w:sz w:val="18"/>
                  <w:szCs w:val="18"/>
                  <w:u w:val="single"/>
                </w:rPr>
                <w:t xml:space="preserve">Asgharpour et al. 2016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0.02–0.4</w:t>
            </w:r>
            <w:r>
              <w:rPr>
                <w:rFonts w:ascii="Calibri" w:cs="Calibri" w:eastAsia="Calibri" w:hAnsi="Calibri"/>
                <w:sz w:val="18"/>
                <w:szCs w:val="18"/>
              </w:rPr>
              <w:t xml:space="preserve">  recall — 9 comparisons, median 0.33 — lowest Recall of WTD mouse model for human NAFLD (0.02), highest Recall of genes significantly altered in human liver diseases (NASH) by 12-month CCl4 mouse model (0.4) (</w:t>
            </w:r>
            <w:hyperlink w:history="1" r:id="rIdggp84u4to9mmldcxbiwiu">
              <w:r>
                <w:rPr>
                  <w:rFonts w:ascii="Calibri" w:cs="Calibri" w:eastAsia="Calibri" w:hAnsi="Calibri"/>
                  <w:color w:val="1155CC"/>
                  <w:sz w:val="18"/>
                  <w:szCs w:val="18"/>
                  <w:u w:val="single"/>
                </w:rPr>
                <w:t xml:space="preserve">Holland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5.45–20.01</w:t>
            </w:r>
            <w:r>
              <w:rPr>
                <w:rFonts w:ascii="Calibri" w:cs="Calibri" w:eastAsia="Calibri" w:hAnsi="Calibri"/>
                <w:sz w:val="18"/>
                <w:szCs w:val="18"/>
              </w:rPr>
              <w:t xml:space="preserve">  mahalanobis distance — 7 comparisons, median 10.5 — lowest Mahalanobis distance to human for tenogenic markers (SCX, TNC, TNMD) (5.45), highest Mahalanobis distance to human for all genes combined under healthy conditions (20.01) (</w:t>
            </w:r>
            <w:hyperlink w:history="1" r:id="rIduj53iahynnakxwgmmkote">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Rats partially recapitulate human disease biology: 26/30 blood biochemical changes after exercise matched humans and only 1/19 biomarkers showed a species×exercise interaction (Goutianos et al. 2015; Veskoukis et al. 2016). However concordance is system-dependent—coagulation peaks were lower in rats (thrombin 270 nM vs 484 nM; plasmin 186 vs 457 nM, Tarandovskiy et al. 2020) and whole-transcriptome alignment was ≈50% though some diet models scored MHPS=0.941 (Vacca et al. 2024).</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biological system and analysis type (whole transcriptome vs significant DEGs) and by specific disease model/diet (e.g., Western-diet vs choline-deficient).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6.45–270.28</w:t>
            </w:r>
            <w:r>
              <w:rPr>
                <w:rFonts w:ascii="Calibri" w:cs="Calibri" w:eastAsia="Calibri" w:hAnsi="Calibri"/>
                <w:sz w:val="18"/>
                <w:szCs w:val="18"/>
              </w:rPr>
              <w:t xml:space="preserve">  mean — 8 comparisons, median 130.755 — lowest Plasmin Production Rate (Mean, nM/min) (6.45), highest Thrombin Concentration Peak (Mean, nM) (270.28) (</w:t>
            </w:r>
            <w:hyperlink w:history="1" r:id="rIdwfketf1hea1dghr5brixj">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11.27–27.44</w:t>
            </w:r>
            <w:r>
              <w:rPr>
                <w:rFonts w:ascii="Calibri" w:cs="Calibri" w:eastAsia="Calibri" w:hAnsi="Calibri"/>
                <w:sz w:val="18"/>
                <w:szCs w:val="18"/>
              </w:rPr>
              <w:t xml:space="preserve">  mahalanobis distance — 7 comparisons, median 14.25 — lowest Mahalanobis distance to human for MMPs (MMP1, MMP3, MMP13) (11.27), highest Mahalanobis distance to human for all genes combined under healthy conditions (27.44) (</w:t>
            </w:r>
            <w:hyperlink w:history="1" r:id="rIdv76perj-t13lm31sdkl3y">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-0.0063–0.0933</w:t>
            </w:r>
            <w:r>
              <w:rPr>
                <w:rFonts w:ascii="Calibri" w:cs="Calibri" w:eastAsia="Calibri" w:hAnsi="Calibri"/>
                <w:sz w:val="18"/>
                <w:szCs w:val="18"/>
              </w:rPr>
              <w:t xml:space="preserve">  slope — 6 comparisons, median 0.0018427 — lowest Migration slope (difference to human) under transient inflammation (-0.0063), highest Proliferation capacity (slope difference to human) under healthy conditions (0.0933) (</w:t>
            </w:r>
            <w:hyperlink w:history="1" r:id="rIdweutc2fq3rdlds7frbsjn">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-0.73–0.79</w:t>
            </w:r>
            <w:r>
              <w:rPr>
                <w:rFonts w:ascii="Calibri" w:cs="Calibri" w:eastAsia="Calibri" w:hAnsi="Calibri"/>
                <w:sz w:val="18"/>
                <w:szCs w:val="18"/>
              </w:rPr>
              <w:t xml:space="preserve">  pearson r — 6 comparisons, median 0.545 — lowest correlation between target lose-shift probability and reversals (-0.73), highest correlation between target win-stay probability and reversals (0.79) (</w:t>
            </w:r>
            <w:hyperlink w:history="1" r:id="rIdoi6k5jr3hdirksbxbfequ">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 4 comparisons, median 0.4395 — lowest Q-values for non-target stimuli (0.275), highest Q-values for target stimuli (0.71) (</w:t>
            </w:r>
            <w:hyperlink w:history="1" r:id="rIdudlq1_efl9kdculuxx3bd">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2–26</w:t>
            </w:r>
            <w:r>
              <w:rPr>
                <w:rFonts w:ascii="Calibri" w:cs="Calibri" w:eastAsia="Calibri" w:hAnsi="Calibri"/>
                <w:sz w:val="18"/>
                <w:szCs w:val="18"/>
              </w:rPr>
              <w:t xml:space="preserve">  count — 3 comparisons, median 15 — lowest significant species x exercise interactions in blood biochemical parameters (2), highest parameters with similar alteration pattern post exercise (26) (</w:t>
            </w:r>
            <w:hyperlink w:history="1" r:id="rIdcwcaeh4yteubtosjmpadw">
              <w:r>
                <w:rPr>
                  <w:rFonts w:ascii="Calibri" w:cs="Calibri" w:eastAsia="Calibri" w:hAnsi="Calibri"/>
                  <w:color w:val="1155CC"/>
                  <w:sz w:val="18"/>
                  <w:szCs w:val="18"/>
                  <w:u w:val="single"/>
                </w:rPr>
                <w:t xml:space="preserve">Goutianos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Evidence shows modest cross-species transcriptomic concordance for C. elegans with Drosophila: genome-wide c-scores &gt;0.1 for most within-stage comparisons, though one pair (ce.lar–dm.lar) was 0.087. The study reports no direct C. elegans–human disease concordance.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comes from different developmental stage pairs (some within-stage pairs exceeded 0.1 while ce.lar–dm.lar was 0.087).</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ujtehwinf5k6vx00a2jn0">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Zong et al. 2023 found modest within-stage transcriptome similarity between D. melanogaster and C. elegans (most genome-wide c-scores &gt;0.1; ce.lar–dm.lar c-score = 0.087). The study reports no direct D. melanogaster–human disease comparisons, so evidence is insufficient to judge tracking of human disease.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h4vouuwx05hevorf0lqux">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Horse tenocyte transcriptomes resembled human under transient inflammation (Mahalanobis 9.59 vs 23.05 in healthy), and proliferation difference was small/non-significant under transient inflammation (slope 0.0233, p=0.49). Migration differed from human in healthy (slope 0.0133, p=0.0038) and constant inflammation (−0.014, p=0.0302).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and functional measures change with inflammatory state (healthy vs transient vs constant), producing the varied distances and slope differences.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4.65–23.05</w:t>
            </w:r>
            <w:r>
              <w:rPr>
                <w:rFonts w:ascii="Calibri" w:cs="Calibri" w:eastAsia="Calibri" w:hAnsi="Calibri"/>
                <w:sz w:val="18"/>
                <w:szCs w:val="18"/>
              </w:rPr>
              <w:t xml:space="preserve">  mahalanobis distance — 7 comparisons, median 9.59 — lowest Mahalanobis distance to human for MMPs (MMP1, MMP3, MMP13) (4.65), highest Mahalanobis distance to human for all genes combined under healthy conditions (23.05) (</w:t>
            </w:r>
            <w:hyperlink w:history="1" r:id="rIdrwhii4c120iwqbz1ichmo">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6 comparisons, median 0.00047815 — lowest Proliferation capacity (slope difference to human) under constant inflammation (-0.064), highest Proliferation capacity (slope difference to human) under healthy conditions (0.3) (</w:t>
            </w:r>
            <w:hyperlink w:history="1" r:id="rIdny8pshnlvcitsc9i5ks9v">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Tarandovskiy et al. 2020: baboon and rhesus thrombin measures approximated human values (thrombin peak 433.8 and 399.0 nM vs human 484.3; production rates 124.2 and 111.2 nM/min vs human 111.5). Plasmin peaks were higher (546–566 vs 457 nM) and plasmin production rate was markedly higher in baboon (90.8 vs 34.8 nM/min).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Different metrics diverge: thrombin measures are close to human while plasmin production rates are substantially higher (especially in baboon).</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49.78–565.84</w:t>
            </w:r>
            <w:r>
              <w:rPr>
                <w:rFonts w:ascii="Calibri" w:cs="Calibri" w:eastAsia="Calibri" w:hAnsi="Calibri"/>
                <w:sz w:val="18"/>
                <w:szCs w:val="18"/>
              </w:rPr>
              <w:t xml:space="preserve">  mean — 16 comparisons, median 261.585 — lowest Plasmin Production Rate (Mean, nM/min) (49.78), highest Plasmin Concentration Peak (Mean, nM) (565.84) (</w:t>
            </w:r>
            <w:hyperlink w:history="1" r:id="rIdd2fw7odgscsspvj0t2wkp">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swine thrombin generation partly tracked human values (peak 242.35 nM vs 484.25; rate 93.6 vs 111.51 nM/min) but swine had no detectable plasmin while humans showed plasmin peak 457.2 nM and rate 34.8 nM/min. Thus swine reflect thrombin but not plasmin/fibrinolysis.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1.48–242.35</w:t>
            </w:r>
            <w:r>
              <w:rPr>
                <w:rFonts w:ascii="Calibri" w:cs="Calibri" w:eastAsia="Calibri" w:hAnsi="Calibri"/>
                <w:sz w:val="18"/>
                <w:szCs w:val="18"/>
              </w:rPr>
              <w:t xml:space="preserve">  mean — 12 comparisons, median 45.92 — lowest Plasmin Production Rate (Mean, nM/min) (1.48), highest Thrombin Concentration Peak (Mean, nM) (242.35) (</w:t>
            </w:r>
            <w:hyperlink w:history="1" r:id="rIdgiemy7lhmtjet3kpmdwvx">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Rabbit thrombin generation was much lower than in humans (peak 71.6 nM = 15% of human 484.3; rate 14.9 nM/min = 13% of human 111.5), while plasmin measures were closer (peak 197.7 nM = 43%; rate 17.6 = 51%). Rabbit plasmin-generation curves were highly variable.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Rabbit plasmin-generation (PG) curves showed high variability.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14.93–197.71</w:t>
            </w:r>
            <w:r>
              <w:rPr>
                <w:rFonts w:ascii="Calibri" w:cs="Calibri" w:eastAsia="Calibri" w:hAnsi="Calibri"/>
                <w:sz w:val="18"/>
                <w:szCs w:val="18"/>
              </w:rPr>
              <w:t xml:space="preserve">  mean — 8 comparisons, median 44.615 — lowest Thrombin Production Rate (Mean, nM/min) (14.93), highest Plasmin Concentration Peak (Mean, nM) (197.71) (</w:t>
            </w:r>
            <w:hyperlink w:history="1" r:id="rIdcjb2fhmh5xjdr8ofcitsx">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sheep tenocyte transcriptomes match human differently by inflammation — Mahalanobis 24.78 (healthy), 10.62 (transient), 8.94 (constant), so sheep best approximate humans under constant inflammation. Proliferation/migration slope differences vs human were small (range −0.0878 to 0.1169) though some were significant.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measures differ across the three inflammatory states tested (healthy vs transient vs constant).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8.6–24.78</w:t>
            </w:r>
            <w:r>
              <w:rPr>
                <w:rFonts w:ascii="Calibri" w:cs="Calibri" w:eastAsia="Calibri" w:hAnsi="Calibri"/>
                <w:sz w:val="18"/>
                <w:szCs w:val="18"/>
              </w:rPr>
              <w:t xml:space="preserve">  mahalanobis distance — 7 comparisons, median 10.62 — lowest Mahalanobis distance to human for MMPs (MMP1, MMP3, MMP13) (8.6), highest Mahalanobis distance to human for all genes combined under healthy conditions (24.78) (</w:t>
            </w:r>
            <w:hyperlink w:history="1" r:id="rIdk7hefuowvpjg7aj4eeb2j">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6 comparisons, median 0.0036775 — lowest Proliferation capacity (slope difference to human) under constant inflammation (-0.0878), highest Proliferation capacity (slope difference to human) under healthy conditions (0.1169) (</w:t>
            </w:r>
            <w:hyperlink w:history="1" r:id="rIdfao2acoo3f7ydprvtgssj">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dog cancer models show substantial concordance with humans in many cancers (model robustness 31–85% across cancer types; Daluwatumulle et al. 2026), but RPE65 gene therapy outcomes did not translate—dogs had near‑normal ERG while humans showed no sustained ERG improvement (Petersen‑Jones et al. 2015).</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Negative-control cancers (ACC, LAML) had the lowest scores (≈31–40%).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large variation across cancer types, adult vs pediatric cohorts, and inclusion of positive vs negative control cancers.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31–85.05%</w:t>
            </w:r>
            <w:r>
              <w:rPr>
                <w:rFonts w:ascii="Calibri" w:cs="Calibri" w:eastAsia="Calibri" w:hAnsi="Calibri"/>
                <w:sz w:val="18"/>
                <w:szCs w:val="18"/>
              </w:rPr>
              <w:t xml:space="preserve">  score — 20 comparisons, median 61.73% — lowest model robustness score for ACC (negative control) (31%), highest model robustness score for adult bladder cancer (85.05%) (</w:t>
            </w:r>
            <w:hyperlink w:history="1" r:id="rIda1mepi113d--q9dac8ure">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0–24%</w:t>
            </w:r>
            <w:r>
              <w:rPr>
                <w:rFonts w:ascii="Calibri" w:cs="Calibri" w:eastAsia="Calibri" w:hAnsi="Calibri"/>
                <w:sz w:val="18"/>
                <w:szCs w:val="18"/>
              </w:rPr>
              <w:t xml:space="preserve">  percentage — 4 comparisons, median 3.5% — lowest percentage of cancer-specific DEGs for adult BLCA (0%), highest percentage of cancer-specific DEGs for adult DLBC (24%) (</w:t>
            </w:r>
            <w:hyperlink w:history="1" r:id="rId4_r4df3jec133hzkvym6x">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0.007–0.047</w:t>
            </w:r>
            <w:r>
              <w:rPr>
                <w:rFonts w:ascii="Calibri" w:cs="Calibri" w:eastAsia="Calibri" w:hAnsi="Calibri"/>
                <w:sz w:val="18"/>
                <w:szCs w:val="18"/>
              </w:rPr>
              <w:t xml:space="preserve">  normalized absolute distance — normalized absolute distance of per-gene median expression between species (</w:t>
            </w:r>
            <w:hyperlink w:history="1" r:id="rIdxwugb3sly5nps-u7vv4_5">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0.92–0.99</w:t>
            </w:r>
            <w:r>
              <w:rPr>
                <w:rFonts w:ascii="Calibri" w:cs="Calibri" w:eastAsia="Calibri" w:hAnsi="Calibri"/>
                <w:sz w:val="18"/>
                <w:szCs w:val="18"/>
              </w:rPr>
              <w:t xml:space="preserve">  auc — 2 comparisons, median 0.955 — lowest AUC for adult samples (elastic net model) (0.92), highest AUC for pediatric samples (random forest model) (0.99) (</w:t>
            </w:r>
            <w:hyperlink w:history="1" r:id="rIdakovowa0uw6ewps-s8x2-">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31–85%</w:t>
            </w:r>
            <w:r>
              <w:rPr>
                <w:rFonts w:ascii="Calibri" w:cs="Calibri" w:eastAsia="Calibri" w:hAnsi="Calibri"/>
                <w:sz w:val="18"/>
                <w:szCs w:val="18"/>
              </w:rPr>
              <w:t xml:space="preserve">  range — model robustness score range (</w:t>
            </w:r>
            <w:hyperlink w:history="1" r:id="rIdu9nd_fefpdb-nb_oirzvi">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nam55lwdgayjmaufskok" Type="http://schemas.openxmlformats.org/officeDocument/2006/relationships/hyperlink" Target="https://rohitium.github.io/animal-model-concordance/" TargetMode="External"/><Relationship Id="rIdrpmt-qp8ihbhl7fll3znc" Type="http://schemas.openxmlformats.org/officeDocument/2006/relationships/hyperlink" Target="https://pubmed.ncbi.nlm.nih.gov/16453316/" TargetMode="External"/><Relationship Id="rIdz0iy5sxepimpzwoux7_wb" Type="http://schemas.openxmlformats.org/officeDocument/2006/relationships/hyperlink" Target="https://pubmed.ncbi.nlm.nih.gov/16453316/" TargetMode="External"/><Relationship Id="rIdsuqw10limxgthyox_tjhu" Type="http://schemas.openxmlformats.org/officeDocument/2006/relationships/hyperlink" Target="https://pubmed.ncbi.nlm.nih.gov/31307492/" TargetMode="External"/><Relationship Id="rIdwjht0odzw2tizxjatozu3" Type="http://schemas.openxmlformats.org/officeDocument/2006/relationships/hyperlink" Target="https://pubmed.ncbi.nlm.nih.gov/32391273/" TargetMode="External"/><Relationship Id="rIdgjj4gv0rt8pcfsvvztvsn" Type="http://schemas.openxmlformats.org/officeDocument/2006/relationships/hyperlink" Target="https://pubmed.ncbi.nlm.nih.gov/32391273/" TargetMode="External"/><Relationship Id="rIdgzfsi5eegamfvmyrayxxe" Type="http://schemas.openxmlformats.org/officeDocument/2006/relationships/hyperlink" Target="https://pubmed.ncbi.nlm.nih.gov/32391273/" TargetMode="External"/><Relationship Id="rId17dbbdacb3-xjt5nn0u4k" Type="http://schemas.openxmlformats.org/officeDocument/2006/relationships/hyperlink" Target="https://pubmed.ncbi.nlm.nih.gov/32391273/" TargetMode="External"/><Relationship Id="rId4wssfnahh7b-yzil40tjl" Type="http://schemas.openxmlformats.org/officeDocument/2006/relationships/hyperlink" Target="https://pubmed.ncbi.nlm.nih.gov/31307492/" TargetMode="External"/><Relationship Id="rIdnv39wzizialtmqjygipmj" Type="http://schemas.openxmlformats.org/officeDocument/2006/relationships/hyperlink" Target="https://pubmed.ncbi.nlm.nih.gov/17175568/" TargetMode="External"/><Relationship Id="rIdik2ylbuulqpdybiubxowx" Type="http://schemas.openxmlformats.org/officeDocument/2006/relationships/hyperlink" Target="https://pubmed.ncbi.nlm.nih.gov/28893587/" TargetMode="External"/><Relationship Id="rIdpyvghkgtvrdu85nfuj1ng" Type="http://schemas.openxmlformats.org/officeDocument/2006/relationships/hyperlink" Target="https://pubmed.ncbi.nlm.nih.gov/28893587/" TargetMode="External"/><Relationship Id="rIdv0ebfi9aptog4lyjj6ftt" Type="http://schemas.openxmlformats.org/officeDocument/2006/relationships/hyperlink" Target="https://pubmed.ncbi.nlm.nih.gov/31694927/" TargetMode="External"/><Relationship Id="rIdlt223zgidg52g7cyfvsja" Type="http://schemas.openxmlformats.org/officeDocument/2006/relationships/hyperlink" Target="https://pubmed.ncbi.nlm.nih.gov/28893587/" TargetMode="External"/><Relationship Id="rIdmsjlbyt2wzvvhfrpkerct" Type="http://schemas.openxmlformats.org/officeDocument/2006/relationships/hyperlink" Target="https://pubmed.ncbi.nlm.nih.gov/32868897/" TargetMode="External"/><Relationship Id="rIdnw7zl0wl_95wkraxv-8e5" Type="http://schemas.openxmlformats.org/officeDocument/2006/relationships/hyperlink" Target="https://pubmed.ncbi.nlm.nih.gov/32868897/" TargetMode="External"/><Relationship Id="rIdcvnonve9oohaiglhheuvo" Type="http://schemas.openxmlformats.org/officeDocument/2006/relationships/hyperlink" Target="https://pubmed.ncbi.nlm.nih.gov/28893587/" TargetMode="External"/><Relationship Id="rIdsmz6pjybvkytvtltwhebp" Type="http://schemas.openxmlformats.org/officeDocument/2006/relationships/hyperlink" Target="https://pubmed.ncbi.nlm.nih.gov/28893587/" TargetMode="External"/><Relationship Id="rId7g-5mjp9zdlsseqyl_cam" Type="http://schemas.openxmlformats.org/officeDocument/2006/relationships/hyperlink" Target="https://pubmed.ncbi.nlm.nih.gov/28893587/" TargetMode="External"/><Relationship Id="rIda9kjxiig9x1rdpdlvkpmo" Type="http://schemas.openxmlformats.org/officeDocument/2006/relationships/hyperlink" Target="https://pubmed.ncbi.nlm.nih.gov/32868897/" TargetMode="External"/><Relationship Id="rIdapowgi-yx9pzfqfqbclz0" Type="http://schemas.openxmlformats.org/officeDocument/2006/relationships/hyperlink" Target="https://pubmed.ncbi.nlm.nih.gov/32868897/" TargetMode="External"/><Relationship Id="rIdp8wifoaykjyuqf-n6tjng" Type="http://schemas.openxmlformats.org/officeDocument/2006/relationships/hyperlink" Target="https://pubmed.ncbi.nlm.nih.gov/29730448/" TargetMode="External"/><Relationship Id="rId4yznjp7metebympnizwjd" Type="http://schemas.openxmlformats.org/officeDocument/2006/relationships/hyperlink" Target="https://pubmed.ncbi.nlm.nih.gov/29730448/" TargetMode="External"/><Relationship Id="rIdcdjajweasziddvq7tptbn" Type="http://schemas.openxmlformats.org/officeDocument/2006/relationships/hyperlink" Target="https://pubmed.ncbi.nlm.nih.gov/32868897/" TargetMode="External"/><Relationship Id="rIdb9q5__gqz1hr3e_byraoy" Type="http://schemas.openxmlformats.org/officeDocument/2006/relationships/hyperlink" Target="https://pubmed.ncbi.nlm.nih.gov/32868897/" TargetMode="External"/><Relationship Id="rIdfprjec0bxlccv9h5jv0is" Type="http://schemas.openxmlformats.org/officeDocument/2006/relationships/hyperlink" Target="https://pubmed.ncbi.nlm.nih.gov/31694927/" TargetMode="External"/><Relationship Id="rIdfl-y8rfcwfajhh7jollk9" Type="http://schemas.openxmlformats.org/officeDocument/2006/relationships/hyperlink" Target="https://pubmed.ncbi.nlm.nih.gov/29730448/" TargetMode="External"/><Relationship Id="rIdilj0lmm0rwbqchm6xz3p0" Type="http://schemas.openxmlformats.org/officeDocument/2006/relationships/hyperlink" Target="https://pubmed.ncbi.nlm.nih.gov/26753942/" TargetMode="External"/><Relationship Id="rIdwp6bi1zouvvdd_fe2uofr" Type="http://schemas.openxmlformats.org/officeDocument/2006/relationships/hyperlink" Target="https://pubmed.ncbi.nlm.nih.gov/29730448/" TargetMode="External"/><Relationship Id="rId2s1acyzhozvxu8duzi2ww" Type="http://schemas.openxmlformats.org/officeDocument/2006/relationships/hyperlink" Target="https://pubmed.ncbi.nlm.nih.gov/32868897/" TargetMode="External"/><Relationship Id="rIdujb-tkmr5-kps6oklibmp" Type="http://schemas.openxmlformats.org/officeDocument/2006/relationships/hyperlink" Target="https://pubmed.ncbi.nlm.nih.gov/32868897/" TargetMode="External"/><Relationship Id="rIdextkaznzb8xc9mvngekbg" Type="http://schemas.openxmlformats.org/officeDocument/2006/relationships/hyperlink" Target="https://pubmed.ncbi.nlm.nih.gov/26753942/" TargetMode="External"/><Relationship Id="rIdjcr0mibpzs6mj0alspt37" Type="http://schemas.openxmlformats.org/officeDocument/2006/relationships/hyperlink" Target="https://pubmed.ncbi.nlm.nih.gov/28422076/" TargetMode="External"/><Relationship Id="rIdukdwjztue9dx0c1pwolqi" Type="http://schemas.openxmlformats.org/officeDocument/2006/relationships/hyperlink" Target="https://pubmed.ncbi.nlm.nih.gov/28422076/" TargetMode="External"/><Relationship Id="rId5oyuq51qwszbiqxn6wilw" Type="http://schemas.openxmlformats.org/officeDocument/2006/relationships/hyperlink" Target="https://pubmed.ncbi.nlm.nih.gov/28422076/" TargetMode="External"/><Relationship Id="rIddm-ewtmkuhlclbdllah0x" Type="http://schemas.openxmlformats.org/officeDocument/2006/relationships/hyperlink" Target="https://pubmed.ncbi.nlm.nih.gov/18468556/" TargetMode="External"/><Relationship Id="rId6kholxs0vtfdncf2c8mzd" Type="http://schemas.openxmlformats.org/officeDocument/2006/relationships/hyperlink" Target="https://pubmed.ncbi.nlm.nih.gov/18468556/" TargetMode="External"/><Relationship Id="rIducsga029pybknw0xoq7ys" Type="http://schemas.openxmlformats.org/officeDocument/2006/relationships/hyperlink" Target="https://pubmed.ncbi.nlm.nih.gov/18468556/" TargetMode="External"/><Relationship Id="rIdjekz0ubyy4syh5lq8l65h" Type="http://schemas.openxmlformats.org/officeDocument/2006/relationships/hyperlink" Target="https://pubmed.ncbi.nlm.nih.gov/29730448/" TargetMode="External"/><Relationship Id="rId7elbzuwsjmlaebex3zzlc" Type="http://schemas.openxmlformats.org/officeDocument/2006/relationships/hyperlink" Target="https://pubmed.ncbi.nlm.nih.gov/29730448/" TargetMode="External"/><Relationship Id="rIdpvnzuyciivo385pacwwq-" Type="http://schemas.openxmlformats.org/officeDocument/2006/relationships/hyperlink" Target="https://pubmed.ncbi.nlm.nih.gov/26753942/" TargetMode="External"/><Relationship Id="rId-4mmrpsjcbk7ul3-dddup" Type="http://schemas.openxmlformats.org/officeDocument/2006/relationships/hyperlink" Target="https://pubmed.ncbi.nlm.nih.gov/28893587/" TargetMode="External"/><Relationship Id="rIdfxbmotwpziljbbtqtnxvo" Type="http://schemas.openxmlformats.org/officeDocument/2006/relationships/hyperlink" Target="https://pubmed.ncbi.nlm.nih.gov/28893587/" TargetMode="External"/><Relationship Id="rIdgwhbaizalcjezxslux73j" Type="http://schemas.openxmlformats.org/officeDocument/2006/relationships/hyperlink" Target="https://pubmed.ncbi.nlm.nih.gov/28893587/" TargetMode="External"/><Relationship Id="rId80spgvea2ov48xrsiqrqa" Type="http://schemas.openxmlformats.org/officeDocument/2006/relationships/hyperlink" Target="https://pubmed.ncbi.nlm.nih.gov/28893587/" TargetMode="External"/><Relationship Id="rIdarjjmg3qpmxtwhdyb9cux" Type="http://schemas.openxmlformats.org/officeDocument/2006/relationships/hyperlink" Target="https://pubmed.ncbi.nlm.nih.gov/28893587/" TargetMode="External"/><Relationship Id="rIdcnvioyxul7ud2gaycj_k6" Type="http://schemas.openxmlformats.org/officeDocument/2006/relationships/hyperlink" Target="https://pubmed.ncbi.nlm.nih.gov/28903488/" TargetMode="External"/><Relationship Id="rIdr5puuvrxn1iw9hsiavugg" Type="http://schemas.openxmlformats.org/officeDocument/2006/relationships/hyperlink" Target="https://pubmed.ncbi.nlm.nih.gov/38852684/" TargetMode="External"/><Relationship Id="rIduwyessjg7tsdoem2bbwzr" Type="http://schemas.openxmlformats.org/officeDocument/2006/relationships/hyperlink" Target="https://pubmed.ncbi.nlm.nih.gov/30726989/" TargetMode="External"/><Relationship Id="rIdxhhf8-c3cm_afvgwnsmel" Type="http://schemas.openxmlformats.org/officeDocument/2006/relationships/hyperlink" Target="https://pubmed.ncbi.nlm.nih.gov/30726989/" TargetMode="External"/><Relationship Id="rIdwdcvgcjsmm-2oyupzcpyt" Type="http://schemas.openxmlformats.org/officeDocument/2006/relationships/hyperlink" Target="https://pubmed.ncbi.nlm.nih.gov/38852684/" TargetMode="External"/><Relationship Id="rIdhwov_fx1q8wfsjbyxaxvs" Type="http://schemas.openxmlformats.org/officeDocument/2006/relationships/hyperlink" Target="https://pubmed.ncbi.nlm.nih.gov/35148401/" TargetMode="External"/><Relationship Id="rId06mgrjt5a7gzbsamaj4of" Type="http://schemas.openxmlformats.org/officeDocument/2006/relationships/hyperlink" Target="https://pubmed.ncbi.nlm.nih.gov/38852684/" TargetMode="External"/><Relationship Id="rIdvz0lt-ukynubal3z428ri" Type="http://schemas.openxmlformats.org/officeDocument/2006/relationships/hyperlink" Target="https://pubmed.ncbi.nlm.nih.gov/30726989/" TargetMode="External"/><Relationship Id="rIdtyxagffllt4jcni0kf-tg" Type="http://schemas.openxmlformats.org/officeDocument/2006/relationships/hyperlink" Target="https://pubmed.ncbi.nlm.nih.gov/30726989/" TargetMode="External"/><Relationship Id="rId6myp1-qevpmku3z3822wt" Type="http://schemas.openxmlformats.org/officeDocument/2006/relationships/hyperlink" Target="https://pubmed.ncbi.nlm.nih.gov/38852684/" TargetMode="External"/><Relationship Id="rIde8-hzhjfu7kt5ngynzjjq" Type="http://schemas.openxmlformats.org/officeDocument/2006/relationships/hyperlink" Target="https://pubmed.ncbi.nlm.nih.gov/38852684/" TargetMode="External"/><Relationship Id="rIdraojjh_qwiqxffc3ili3d" Type="http://schemas.openxmlformats.org/officeDocument/2006/relationships/hyperlink" Target="https://pubmed.ncbi.nlm.nih.gov/38852684/" TargetMode="External"/><Relationship Id="rIdpgmmjgjup98kyjf-l62mp" Type="http://schemas.openxmlformats.org/officeDocument/2006/relationships/hyperlink" Target="https://pubmed.ncbi.nlm.nih.gov/30726989/" TargetMode="External"/><Relationship Id="rIdgozygpozgm_3ywre_ry7j" Type="http://schemas.openxmlformats.org/officeDocument/2006/relationships/hyperlink" Target="https://pubmed.ncbi.nlm.nih.gov/30726989/" TargetMode="External"/><Relationship Id="rId0b1gcxnq-1odtord6kwd-" Type="http://schemas.openxmlformats.org/officeDocument/2006/relationships/hyperlink" Target="https://pubmed.ncbi.nlm.nih.gov/30726989/" TargetMode="External"/><Relationship Id="rId1nztadpwi21htsncdi4a9" Type="http://schemas.openxmlformats.org/officeDocument/2006/relationships/hyperlink" Target="https://pubmed.ncbi.nlm.nih.gov/30726989/" TargetMode="External"/><Relationship Id="rIdi3e2krlfd4gru19bmxyke" Type="http://schemas.openxmlformats.org/officeDocument/2006/relationships/hyperlink" Target="https://pubmed.ncbi.nlm.nih.gov/30726989/" TargetMode="External"/><Relationship Id="rId1qiyjqgkdn3bceqclpymk" Type="http://schemas.openxmlformats.org/officeDocument/2006/relationships/hyperlink" Target="https://pubmed.ncbi.nlm.nih.gov/25092317/" TargetMode="External"/><Relationship Id="rIdx8qw8ewjzze_qvgqa9-6b" Type="http://schemas.openxmlformats.org/officeDocument/2006/relationships/hyperlink" Target="https://pubmed.ncbi.nlm.nih.gov/23401516/" TargetMode="External"/><Relationship Id="rId7m-wkipx2fol7qnmozcwl" Type="http://schemas.openxmlformats.org/officeDocument/2006/relationships/hyperlink" Target="https://pubmed.ncbi.nlm.nih.gov/25092317/" TargetMode="External"/><Relationship Id="rIdcewlepfrhldf1cxwqzhqk" Type="http://schemas.openxmlformats.org/officeDocument/2006/relationships/hyperlink" Target="https://pubmed.ncbi.nlm.nih.gov/39255793/" TargetMode="External"/><Relationship Id="rIdcmlojggmu6k2bds4bgnmu" Type="http://schemas.openxmlformats.org/officeDocument/2006/relationships/hyperlink" Target="https://pubmed.ncbi.nlm.nih.gov/23401516/" TargetMode="External"/><Relationship Id="rIdeorqv7pfraklozfrgqmkr" Type="http://schemas.openxmlformats.org/officeDocument/2006/relationships/hyperlink" Target="https://pubmed.ncbi.nlm.nih.gov/27261415/" TargetMode="External"/><Relationship Id="rIdggp84u4to9mmldcxbiwiu" Type="http://schemas.openxmlformats.org/officeDocument/2006/relationships/hyperlink" Target="https://pubmed.ncbi.nlm.nih.gov/34558834/" TargetMode="External"/><Relationship Id="rIduj53iahynnakxwgmmkote" Type="http://schemas.openxmlformats.org/officeDocument/2006/relationships/hyperlink" Target="https://pubmed.ncbi.nlm.nih.gov/34127759/" TargetMode="External"/><Relationship Id="rIdwfketf1hea1dghr5brixj" Type="http://schemas.openxmlformats.org/officeDocument/2006/relationships/hyperlink" Target="https://pubmed.ncbi.nlm.nih.gov/32127577/" TargetMode="External"/><Relationship Id="rIdv76perj-t13lm31sdkl3y" Type="http://schemas.openxmlformats.org/officeDocument/2006/relationships/hyperlink" Target="https://pubmed.ncbi.nlm.nih.gov/34127759/" TargetMode="External"/><Relationship Id="rIdweutc2fq3rdlds7frbsjn" Type="http://schemas.openxmlformats.org/officeDocument/2006/relationships/hyperlink" Target="https://pubmed.ncbi.nlm.nih.gov/34127759/" TargetMode="External"/><Relationship Id="rIdoi6k5jr3hdirksbxbfequ" Type="http://schemas.openxmlformats.org/officeDocument/2006/relationships/hyperlink" Target="https://pubmed.ncbi.nlm.nih.gov/40849367/" TargetMode="External"/><Relationship Id="rIdudlq1_efl9kdculuxx3bd" Type="http://schemas.openxmlformats.org/officeDocument/2006/relationships/hyperlink" Target="https://pubmed.ncbi.nlm.nih.gov/40849367/" TargetMode="External"/><Relationship Id="rIdcwcaeh4yteubtosjmpadw" Type="http://schemas.openxmlformats.org/officeDocument/2006/relationships/hyperlink" Target="https://pubmed.ncbi.nlm.nih.gov/25677548/" TargetMode="External"/><Relationship Id="rIdujtehwinf5k6vx00a2jn0" Type="http://schemas.openxmlformats.org/officeDocument/2006/relationships/hyperlink" Target="https://pubmed.ncbi.nlm.nih.gov/36730203/" TargetMode="External"/><Relationship Id="rIdh4vouuwx05hevorf0lqux" Type="http://schemas.openxmlformats.org/officeDocument/2006/relationships/hyperlink" Target="https://pubmed.ncbi.nlm.nih.gov/36730203/" TargetMode="External"/><Relationship Id="rIdrwhii4c120iwqbz1ichmo" Type="http://schemas.openxmlformats.org/officeDocument/2006/relationships/hyperlink" Target="https://pubmed.ncbi.nlm.nih.gov/34127759/" TargetMode="External"/><Relationship Id="rIdny8pshnlvcitsc9i5ks9v" Type="http://schemas.openxmlformats.org/officeDocument/2006/relationships/hyperlink" Target="https://pubmed.ncbi.nlm.nih.gov/34127759/" TargetMode="External"/><Relationship Id="rIdd2fw7odgscsspvj0t2wkp" Type="http://schemas.openxmlformats.org/officeDocument/2006/relationships/hyperlink" Target="https://pubmed.ncbi.nlm.nih.gov/32127577/" TargetMode="External"/><Relationship Id="rIdgiemy7lhmtjet3kpmdwvx" Type="http://schemas.openxmlformats.org/officeDocument/2006/relationships/hyperlink" Target="https://pubmed.ncbi.nlm.nih.gov/32127577/" TargetMode="External"/><Relationship Id="rIdcjb2fhmh5xjdr8ofcitsx" Type="http://schemas.openxmlformats.org/officeDocument/2006/relationships/hyperlink" Target="https://pubmed.ncbi.nlm.nih.gov/32127577/" TargetMode="External"/><Relationship Id="rIdk7hefuowvpjg7aj4eeb2j" Type="http://schemas.openxmlformats.org/officeDocument/2006/relationships/hyperlink" Target="https://pubmed.ncbi.nlm.nih.gov/34127759/" TargetMode="External"/><Relationship Id="rIdfao2acoo3f7ydprvtgssj" Type="http://schemas.openxmlformats.org/officeDocument/2006/relationships/hyperlink" Target="https://pubmed.ncbi.nlm.nih.gov/34127759/" TargetMode="External"/><Relationship Id="rIda1mepi113d--q9dac8ure" Type="http://schemas.openxmlformats.org/officeDocument/2006/relationships/hyperlink" Target="https://pubmed.ncbi.nlm.nih.gov/42245789/" TargetMode="External"/><Relationship Id="rId4_r4df3jec133hzkvym6x" Type="http://schemas.openxmlformats.org/officeDocument/2006/relationships/hyperlink" Target="https://pubmed.ncbi.nlm.nih.gov/42245789/" TargetMode="External"/><Relationship Id="rIdxwugb3sly5nps-u7vv4_5" Type="http://schemas.openxmlformats.org/officeDocument/2006/relationships/hyperlink" Target="https://pubmed.ncbi.nlm.nih.gov/42245789/" TargetMode="External"/><Relationship Id="rIdakovowa0uw6ewps-s8x2-" Type="http://schemas.openxmlformats.org/officeDocument/2006/relationships/hyperlink" Target="https://pubmed.ncbi.nlm.nih.gov/42245789/" TargetMode="External"/><Relationship Id="rIdu9nd_fefpdb-nb_oirzvi" Type="http://schemas.openxmlformats.org/officeDocument/2006/relationships/hyperlink" Target="https://pubmed.ncbi.nlm.nih.gov/42245789/" TargetMode="External"/><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2026-08-23T05:42:40.717Z</dcterms:created>
  <dcterms:modified xsi:type="dcterms:W3CDTF">2026-08-23T05:42:40.718Z</dcterms:modified>
</cp:coreProperties>
</file>

<file path=docProps/custom.xml><?xml version="1.0" encoding="utf-8"?>
<Properties xmlns="http://schemas.openxmlformats.org/officeDocument/2006/custom-properties" xmlns:vt="http://schemas.openxmlformats.org/officeDocument/2006/docPropsVTypes"/>
</file>