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40B8C" w14:textId="08C0B105" w:rsidR="003D726F" w:rsidRPr="004100CF" w:rsidRDefault="003D726F">
      <w:pPr>
        <w:rPr>
          <w:rFonts w:ascii="Times New Roman" w:hAnsi="Times New Roman" w:cs="Times New Roman"/>
          <w:b/>
          <w:bCs/>
          <w:sz w:val="36"/>
          <w:szCs w:val="28"/>
        </w:rPr>
      </w:pPr>
      <w:r w:rsidRPr="004100CF">
        <w:rPr>
          <w:rFonts w:ascii="Times New Roman" w:hAnsi="Times New Roman" w:cs="Times New Roman"/>
          <w:b/>
          <w:bCs/>
          <w:sz w:val="32"/>
          <w:szCs w:val="24"/>
        </w:rPr>
        <w:t>Molecular Simulation of Doravirine Resistance in HIV-1 Reverse Transcriptase</w:t>
      </w:r>
    </w:p>
    <w:p w14:paraId="09BBE4FF" w14:textId="77777777" w:rsidR="003D726F" w:rsidRPr="004100CF" w:rsidRDefault="003D726F">
      <w:pPr>
        <w:rPr>
          <w:rFonts w:ascii="Times New Roman" w:hAnsi="Times New Roman" w:cs="Times New Roman"/>
          <w:b/>
          <w:bCs/>
          <w:sz w:val="28"/>
          <w:szCs w:val="22"/>
        </w:rPr>
      </w:pPr>
    </w:p>
    <w:p w14:paraId="60E8EB5D"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rPr>
        <w:t>Rohit Satija</w:t>
      </w:r>
      <w:r w:rsidRPr="004100CF">
        <w:rPr>
          <w:rFonts w:ascii="Times New Roman" w:hAnsi="Times New Roman" w:cs="Times New Roman"/>
          <w:szCs w:val="24"/>
          <w:vertAlign w:val="superscript"/>
        </w:rPr>
        <w:t>1</w:t>
      </w:r>
      <w:r w:rsidRPr="004100CF">
        <w:rPr>
          <w:rFonts w:ascii="Times New Roman" w:hAnsi="Times New Roman" w:cs="Times New Roman"/>
          <w:szCs w:val="24"/>
        </w:rPr>
        <w:t>, Kaiming Tao</w:t>
      </w:r>
      <w:r w:rsidRPr="004100CF">
        <w:rPr>
          <w:rFonts w:ascii="Times New Roman" w:hAnsi="Times New Roman" w:cs="Times New Roman"/>
          <w:szCs w:val="24"/>
          <w:vertAlign w:val="superscript"/>
        </w:rPr>
        <w:t>1</w:t>
      </w:r>
      <w:r w:rsidRPr="004100CF">
        <w:rPr>
          <w:rFonts w:ascii="Times New Roman" w:hAnsi="Times New Roman" w:cs="Times New Roman"/>
          <w:szCs w:val="24"/>
        </w:rPr>
        <w:t>, Robert W. Shafer</w:t>
      </w:r>
      <w:r w:rsidRPr="004100CF">
        <w:rPr>
          <w:rFonts w:ascii="Times New Roman" w:hAnsi="Times New Roman" w:cs="Times New Roman"/>
          <w:szCs w:val="24"/>
          <w:vertAlign w:val="superscript"/>
        </w:rPr>
        <w:t>1*</w:t>
      </w:r>
    </w:p>
    <w:p w14:paraId="629A3B5B"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vertAlign w:val="superscript"/>
        </w:rPr>
        <w:t>1</w:t>
      </w:r>
      <w:r w:rsidRPr="004100CF">
        <w:rPr>
          <w:rFonts w:ascii="Times New Roman" w:hAnsi="Times New Roman" w:cs="Times New Roman"/>
          <w:szCs w:val="24"/>
        </w:rPr>
        <w:t>Division of Infectious Diseases, School of Medicine, Stanford University, Stanford, CA, USA</w:t>
      </w:r>
    </w:p>
    <w:p w14:paraId="51E3F377"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rPr>
        <w:t>*Corresponding author (rshafer@stanford.edu)</w:t>
      </w:r>
    </w:p>
    <w:p w14:paraId="7AAC55A2" w14:textId="77777777" w:rsidR="003D726F" w:rsidRPr="004100CF" w:rsidRDefault="003D726F">
      <w:pPr>
        <w:rPr>
          <w:rFonts w:ascii="Times New Roman" w:hAnsi="Times New Roman" w:cs="Times New Roman"/>
          <w:b/>
          <w:bCs/>
          <w:sz w:val="28"/>
          <w:szCs w:val="22"/>
        </w:rPr>
      </w:pPr>
    </w:p>
    <w:p w14:paraId="55124C1C" w14:textId="26BBB282" w:rsidR="00106118" w:rsidRPr="004100CF" w:rsidRDefault="00831C83" w:rsidP="00E4582F">
      <w:pPr>
        <w:spacing w:after="240"/>
        <w:rPr>
          <w:rFonts w:ascii="Times New Roman" w:hAnsi="Times New Roman" w:cs="Times New Roman"/>
          <w:b/>
          <w:bCs/>
          <w:sz w:val="28"/>
          <w:szCs w:val="22"/>
        </w:rPr>
      </w:pPr>
      <w:r w:rsidRPr="004100CF">
        <w:rPr>
          <w:rFonts w:ascii="Times New Roman" w:hAnsi="Times New Roman" w:cs="Times New Roman"/>
          <w:b/>
          <w:bCs/>
          <w:sz w:val="28"/>
          <w:szCs w:val="22"/>
        </w:rPr>
        <w:t>Abstract</w:t>
      </w:r>
    </w:p>
    <w:p w14:paraId="5DABE38D"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Background</w:t>
      </w:r>
    </w:p>
    <w:p w14:paraId="3166E3C3" w14:textId="39FDEE4D"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527DE0C6" w14:textId="77777777" w:rsidR="003D726F" w:rsidRPr="004100CF" w:rsidRDefault="003D726F" w:rsidP="004770A2">
      <w:pPr>
        <w:rPr>
          <w:rFonts w:ascii="Times New Roman" w:hAnsi="Times New Roman" w:cs="Times New Roman"/>
        </w:rPr>
      </w:pPr>
    </w:p>
    <w:p w14:paraId="3DF12F7B"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Methods</w:t>
      </w:r>
    </w:p>
    <w:p w14:paraId="6CF60641" w14:textId="5FE3B705"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We investigated whether physics-based molecular simulations of HIV-1 reverse transcriptase (RT) could provide an </w:t>
      </w:r>
      <w:r w:rsidRPr="004100CF">
        <w:rPr>
          <w:rFonts w:ascii="Times New Roman" w:hAnsi="Times New Roman" w:cs="Times New Roman"/>
          <w:i/>
          <w:iCs/>
        </w:rPr>
        <w:t>in silico</w:t>
      </w:r>
      <w:r w:rsidRPr="004100CF">
        <w:rPr>
          <w:rFonts w:ascii="Times New Roman" w:hAnsi="Times New Roman" w:cs="Times New Roman"/>
        </w:rPr>
        <w:t xml:space="preserve"> framework for interpreting DOR resistance. We assembled a curated panel of 18 DOR-associated genotypes spanning susceptible, resistant, and uncertain phenotypes and performed all-atom, explicit-solvent molecular dynamics simulations of wild-type and mutant RT–DOR complexes. </w:t>
      </w:r>
      <w:r w:rsidR="003D726F" w:rsidRPr="004100CF">
        <w:rPr>
          <w:rFonts w:ascii="Times New Roman" w:hAnsi="Times New Roman" w:cs="Times New Roman"/>
        </w:rPr>
        <w:t>Mutation-induced changes in DOR binding were estimated using nonequilibrium alchemical free-energy perturbation (FEP; ΔΔG</w:t>
      </w:r>
      <w:r w:rsidR="003D726F" w:rsidRPr="004100CF">
        <w:rPr>
          <w:rFonts w:ascii="Times New Roman" w:hAnsi="Times New Roman" w:cs="Times New Roman"/>
          <w:vertAlign w:val="subscript"/>
        </w:rPr>
        <w:t>bind</w:t>
      </w:r>
      <w:r w:rsidR="003D726F" w:rsidRPr="004100CF">
        <w:rPr>
          <w:rFonts w:ascii="Times New Roman" w:hAnsi="Times New Roman" w:cs="Times New Roman"/>
        </w:rPr>
        <w:t>) and wild-type-referenced MM/GBSA interaction energies (ΔΔE</w:t>
      </w:r>
      <w:r w:rsidR="003D726F" w:rsidRPr="004100CF">
        <w:rPr>
          <w:rFonts w:ascii="Times New Roman" w:hAnsi="Times New Roman" w:cs="Times New Roman"/>
          <w:vertAlign w:val="subscript"/>
        </w:rPr>
        <w:t>Total</w:t>
      </w:r>
      <w:r w:rsidR="003D726F" w:rsidRPr="004100CF">
        <w:rPr>
          <w:rFonts w:ascii="Times New Roman" w:hAnsi="Times New Roman" w:cs="Times New Roman"/>
        </w:rPr>
        <w:t>), and compared with experimentally measured fold-changes in DOR susceptibility.</w:t>
      </w:r>
    </w:p>
    <w:p w14:paraId="7AC811AC" w14:textId="77777777" w:rsidR="003D726F" w:rsidRPr="004100CF" w:rsidRDefault="003D726F" w:rsidP="004770A2">
      <w:pPr>
        <w:rPr>
          <w:rFonts w:ascii="Times New Roman" w:hAnsi="Times New Roman" w:cs="Times New Roman"/>
        </w:rPr>
      </w:pPr>
    </w:p>
    <w:p w14:paraId="1F62F1F5"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Results</w:t>
      </w:r>
    </w:p>
    <w:p w14:paraId="28BB0749" w14:textId="67360B78"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FEP predicted little effect on DOR binding for 3 of 4 susceptible mutations and reduced binding for 7 of 9 resistant genotypes. Across all 18 genotypes, however, </w:t>
      </w:r>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r w:rsidR="003D726F" w:rsidRPr="004100CF">
        <w:rPr>
          <w:rFonts w:ascii="Times New Roman" w:hAnsi="Times New Roman" w:cs="Times New Roman"/>
        </w:rPr>
        <w:t xml:space="preserve"> </w:t>
      </w:r>
      <w:r w:rsidRPr="004100CF">
        <w:rPr>
          <w:rFonts w:ascii="Times New Roman" w:hAnsi="Times New Roman" w:cs="Times New Roman"/>
        </w:rPr>
        <w:t>did not significantly correlate with log</w:t>
      </w:r>
      <w:r w:rsidR="003D726F" w:rsidRPr="004100CF">
        <w:rPr>
          <w:rFonts w:ascii="Times New Roman" w:hAnsi="Times New Roman" w:cs="Times New Roman"/>
          <w:vertAlign w:val="subscript"/>
        </w:rPr>
        <w:t>10</w:t>
      </w:r>
      <w:r w:rsidRPr="004100CF">
        <w:rPr>
          <w:rFonts w:ascii="Times New Roman" w:hAnsi="Times New Roman" w:cs="Times New Roman"/>
        </w:rPr>
        <w:t xml:space="preserve">-transformed susceptibility fold-change (R² = 0.09, </w:t>
      </w:r>
      <w:r w:rsidRPr="004100CF">
        <w:rPr>
          <w:rFonts w:ascii="Times New Roman" w:hAnsi="Times New Roman" w:cs="Times New Roman"/>
          <w:i/>
          <w:iCs/>
        </w:rPr>
        <w:t>p</w:t>
      </w:r>
      <w:r w:rsidRPr="004100CF">
        <w:rPr>
          <w:rFonts w:ascii="Times New Roman" w:hAnsi="Times New Roman" w:cs="Times New Roman"/>
        </w:rPr>
        <w:t xml:space="preserve"> = 0.21). Among genotypes with established susceptible or resistant phenotypes, a weak association was observed (R² = 0.26, </w:t>
      </w:r>
      <w:r w:rsidRPr="004100CF">
        <w:rPr>
          <w:rFonts w:ascii="Times New Roman" w:hAnsi="Times New Roman" w:cs="Times New Roman"/>
          <w:i/>
          <w:iCs/>
        </w:rPr>
        <w:t>p</w:t>
      </w:r>
      <w:r w:rsidRPr="004100CF">
        <w:rPr>
          <w:rFonts w:ascii="Times New Roman" w:hAnsi="Times New Roman" w:cs="Times New Roman"/>
        </w:rPr>
        <w:t xml:space="preserve"> = 0.07). MM/GBSA identified unfavorable energetic changes for 8 of 9 resistant genotypes but only 1 of 4 susceptible mutations as low-impact and showed no correlation with experimental susceptibility (R² = 0.02, </w:t>
      </w:r>
      <w:r w:rsidRPr="004100CF">
        <w:rPr>
          <w:rFonts w:ascii="Times New Roman" w:hAnsi="Times New Roman" w:cs="Times New Roman"/>
          <w:i/>
          <w:iCs/>
        </w:rPr>
        <w:t>p</w:t>
      </w:r>
      <w:r w:rsidRPr="004100CF">
        <w:rPr>
          <w:rFonts w:ascii="Times New Roman" w:hAnsi="Times New Roman" w:cs="Times New Roman"/>
        </w:rPr>
        <w:t xml:space="preserve"> = 0.55). </w:t>
      </w:r>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r w:rsidR="003D726F" w:rsidRPr="004100CF">
        <w:rPr>
          <w:rFonts w:ascii="Times New Roman" w:hAnsi="Times New Roman" w:cs="Times New Roman"/>
        </w:rPr>
        <w:t xml:space="preserve"> </w:t>
      </w:r>
      <w:r w:rsidRPr="004100CF">
        <w:rPr>
          <w:rFonts w:ascii="Times New Roman" w:hAnsi="Times New Roman" w:cs="Times New Roman"/>
        </w:rPr>
        <w:t xml:space="preserve">and </w:t>
      </w:r>
      <w:r w:rsidR="003D726F" w:rsidRPr="004100CF">
        <w:rPr>
          <w:rFonts w:ascii="Times New Roman" w:hAnsi="Times New Roman" w:cs="Times New Roman"/>
        </w:rPr>
        <w:t>ΔΔE</w:t>
      </w:r>
      <w:r w:rsidR="003D726F" w:rsidRPr="004100CF">
        <w:rPr>
          <w:rFonts w:ascii="Times New Roman" w:hAnsi="Times New Roman" w:cs="Times New Roman"/>
          <w:vertAlign w:val="subscript"/>
        </w:rPr>
        <w:t>Total</w:t>
      </w:r>
      <w:r w:rsidR="003D726F" w:rsidRPr="004100CF">
        <w:rPr>
          <w:rFonts w:ascii="Times New Roman" w:hAnsi="Times New Roman" w:cs="Times New Roman"/>
        </w:rPr>
        <w:t xml:space="preserve"> </w:t>
      </w:r>
      <w:r w:rsidRPr="004100CF">
        <w:rPr>
          <w:rFonts w:ascii="Times New Roman" w:hAnsi="Times New Roman" w:cs="Times New Roman"/>
        </w:rPr>
        <w:t xml:space="preserve">were themselves modestly correlated (R² = 0.25, </w:t>
      </w:r>
      <w:r w:rsidRPr="004100CF">
        <w:rPr>
          <w:rFonts w:ascii="Times New Roman" w:hAnsi="Times New Roman" w:cs="Times New Roman"/>
          <w:i/>
          <w:iCs/>
        </w:rPr>
        <w:t>p</w:t>
      </w:r>
      <w:r w:rsidRPr="004100CF">
        <w:rPr>
          <w:rFonts w:ascii="Times New Roman" w:hAnsi="Times New Roman" w:cs="Times New Roman"/>
        </w:rPr>
        <w:t xml:space="preserve"> = 0.03), with van der Waals interactions frequently dominating MM/GBSA energetic shifts. </w:t>
      </w:r>
    </w:p>
    <w:p w14:paraId="3D7A58BF" w14:textId="77777777" w:rsidR="003D726F" w:rsidRPr="004100CF" w:rsidRDefault="003D726F" w:rsidP="004770A2">
      <w:pPr>
        <w:rPr>
          <w:rFonts w:ascii="Times New Roman" w:hAnsi="Times New Roman" w:cs="Times New Roman"/>
        </w:rPr>
      </w:pPr>
    </w:p>
    <w:p w14:paraId="6467DDB4"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Conclusion</w:t>
      </w:r>
    </w:p>
    <w:p w14:paraId="6304EFBA" w14:textId="080289A9" w:rsidR="004770A2" w:rsidRPr="004100CF" w:rsidRDefault="004770A2" w:rsidP="004770A2">
      <w:pPr>
        <w:rPr>
          <w:rFonts w:ascii="Times New Roman" w:hAnsi="Times New Roman" w:cs="Times New Roman"/>
        </w:rPr>
      </w:pPr>
      <w:r w:rsidRPr="004100CF">
        <w:rPr>
          <w:rFonts w:ascii="Times New Roman" w:hAnsi="Times New Roman" w:cs="Times New Roman"/>
        </w:rPr>
        <w:t>These findings demonstrate that relative binding free-energy calculations can recover broad resistance-associated energetic trends for many well-characterized DOR genotypes, but binding energetics alone are insufficient to quantitatively reproduce phenotypic drug susceptibility. More comprehensive computational models incorporating conformational dynamics, enzyme function, and viral fitness will likely be required for predictive interpretation of HIV-1 drug resistance.</w:t>
      </w:r>
    </w:p>
    <w:p w14:paraId="57464158" w14:textId="77777777" w:rsidR="00831C83" w:rsidRPr="004100CF" w:rsidRDefault="00831C83">
      <w:pPr>
        <w:rPr>
          <w:rFonts w:ascii="Times New Roman" w:hAnsi="Times New Roman" w:cs="Times New Roman"/>
        </w:rPr>
      </w:pPr>
    </w:p>
    <w:p w14:paraId="3711A5D4" w14:textId="77777777" w:rsidR="000E15E2" w:rsidRPr="004100CF" w:rsidRDefault="000E15E2">
      <w:pPr>
        <w:rPr>
          <w:rFonts w:ascii="Times New Roman" w:hAnsi="Times New Roman" w:cs="Times New Roman"/>
        </w:rPr>
      </w:pPr>
    </w:p>
    <w:p w14:paraId="768B8CDC" w14:textId="77777777" w:rsidR="000E15E2" w:rsidRPr="004100CF" w:rsidRDefault="000E15E2">
      <w:pPr>
        <w:rPr>
          <w:rFonts w:ascii="Times New Roman" w:hAnsi="Times New Roman" w:cs="Times New Roman"/>
        </w:rPr>
      </w:pPr>
    </w:p>
    <w:p w14:paraId="4AD91FCE" w14:textId="77777777" w:rsidR="003D726F" w:rsidRPr="004100CF" w:rsidRDefault="003D726F">
      <w:pPr>
        <w:rPr>
          <w:rFonts w:ascii="Times New Roman" w:hAnsi="Times New Roman" w:cs="Times New Roman"/>
        </w:rPr>
      </w:pPr>
    </w:p>
    <w:p w14:paraId="371CA258" w14:textId="3330C091" w:rsidR="00831C83" w:rsidRPr="004100CF" w:rsidRDefault="00831C83">
      <w:pPr>
        <w:rPr>
          <w:rFonts w:ascii="Times New Roman" w:hAnsi="Times New Roman" w:cs="Times New Roman"/>
          <w:b/>
          <w:bCs/>
          <w:sz w:val="28"/>
          <w:szCs w:val="22"/>
        </w:rPr>
      </w:pPr>
      <w:r w:rsidRPr="004100CF">
        <w:rPr>
          <w:rFonts w:ascii="Times New Roman" w:hAnsi="Times New Roman" w:cs="Times New Roman"/>
          <w:b/>
          <w:bCs/>
          <w:sz w:val="28"/>
          <w:szCs w:val="22"/>
        </w:rPr>
        <w:lastRenderedPageBreak/>
        <w:t>Introduction</w:t>
      </w:r>
    </w:p>
    <w:p w14:paraId="2CE2D61A" w14:textId="475B0498"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NNRTIs noncompetitively inhibit the HIV-1 Reverse Transcriptase (RT) enzyme by binding to the allosteric NNRTI binding pocket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1,2</w:t>
      </w:r>
      <w:r w:rsidRPr="004100CF">
        <w:rPr>
          <w:rFonts w:ascii="Times New Roman" w:hAnsi="Times New Roman" w:cs="Times New Roman"/>
          <w:szCs w:val="24"/>
        </w:rPr>
        <w:fldChar w:fldCharType="end"/>
      </w:r>
      <w:r w:rsidRPr="004100CF">
        <w:rPr>
          <w:rFonts w:ascii="Times New Roman" w:hAnsi="Times New Roman" w:cs="Times New Roman"/>
          <w:szCs w:val="24"/>
        </w:rPr>
        <w:t>. The NNIBP is ~10Å from the RT DNA polymerase active site and forms only upon NNRTI binding, via an induced conformational change in the RT p66 subunit.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3,4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5,6</w:t>
      </w:r>
      <w:r w:rsidRPr="004100CF">
        <w:rPr>
          <w:rFonts w:ascii="Times New Roman" w:hAnsi="Times New Roman" w:cs="Times New Roman"/>
          <w:szCs w:val="24"/>
        </w:rPr>
        <w:fldChar w:fldCharType="end"/>
      </w:r>
    </w:p>
    <w:p w14:paraId="153C7D5D" w14:textId="20A51D8C"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 xml:space="preserve">NNRTI resistance mutations </w:t>
      </w:r>
      <w:r w:rsidR="00574C6E" w:rsidRPr="004100CF">
        <w:rPr>
          <w:rFonts w:ascii="Times New Roman" w:hAnsi="Times New Roman" w:cs="Times New Roman"/>
          <w:szCs w:val="24"/>
        </w:rPr>
        <w:t>can</w:t>
      </w:r>
      <w:r w:rsidRPr="004100CF">
        <w:rPr>
          <w:rFonts w:ascii="Times New Roman" w:hAnsi="Times New Roman" w:cs="Times New Roman"/>
          <w:szCs w:val="24"/>
        </w:rPr>
        <w:t xml:space="preserve"> decrease HIV-1 susceptibility by affecting interactions between the inhibitor and the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7</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K103N alters allosteric RT dynamics and permit a productive RT-template/primer-dNTP complex despite NNRTI binding</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8</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or stabilize the closed pocket form of RT, thus decreasing NNRTI binding affinity.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9</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Y181C removes critical aromatic ring stacking interactions between NNRTIs and the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10,11</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G190A adds a bulge in a compact binding region, causing steric conflict with the NNRTI.</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6</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second generation NNRTIs Etravirine (ETR) and Rilpivirine (RPV) counteract such common NNRTI resistance mutations by introducing positional and conformational flexibility.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Pr="004100CF">
        <w:rPr>
          <w:rFonts w:ascii="Cambria Math" w:hAnsi="Cambria Math" w:cs="Cambria Math"/>
          <w:szCs w:val="24"/>
        </w:rPr>
        <w:instrText>∼</w:instrText>
      </w:r>
      <w:r w:rsidRPr="004100CF">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Pr="004100CF">
        <w:rPr>
          <w:rFonts w:ascii="Cambria Math" w:hAnsi="Cambria Math" w:cs="Cambria Math"/>
          <w:szCs w:val="24"/>
        </w:rPr>
        <w:instrText>∼</w:instrText>
      </w:r>
      <w:r w:rsidRPr="004100CF">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12,13</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flexible structures of ETR and RPV allow them to rotate within the NNIBP, permitting multiple interactions with NNIBP residues even in the presence of NNRTI mutations and thereby allowing them to retain activity against certain mutant viruses.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6</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p>
    <w:p w14:paraId="4CA20B10" w14:textId="65199ABB"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DOR was designed by introducing cyclic constraints in a novel class of diaryl ether NNRTIs.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commentRangeStart w:id="0"/>
      <w:r w:rsidRPr="004100CF">
        <w:rPr>
          <w:rFonts w:ascii="Times New Roman" w:hAnsi="Times New Roman" w:cs="Times New Roman"/>
          <w:szCs w:val="24"/>
        </w:rPr>
        <w:t>DOR makes a unique H-bond with the backbone of Lys103, and the Tyr181 side chain is rotated by 90° away from Tyr188 when compared to apo, ETR, EFV, and RPV X-ray structures</w:t>
      </w:r>
      <w:commentRangeEnd w:id="0"/>
      <w:r w:rsidR="00FD121C">
        <w:rPr>
          <w:rStyle w:val="CommentReference"/>
          <w:rFonts w:ascii="Times New Roman" w:hAnsi="Times New Roman" w:cs="Times New Roman"/>
          <w:sz w:val="24"/>
          <w:szCs w:val="24"/>
        </w:rPr>
        <w:commentReference w:id="0"/>
      </w:r>
      <w:r w:rsidR="008B08D7">
        <w:rPr>
          <w:rFonts w:ascii="Times New Roman" w:hAnsi="Times New Roman" w:cs="Times New Roman"/>
          <w:szCs w:val="24"/>
        </w:rPr>
        <w: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15</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r w:rsidR="008B08D7" w:rsidRPr="008B08D7">
        <w:rPr>
          <w:rFonts w:ascii="Times New Roman" w:hAnsi="Times New Roman" w:cs="Times New Roman"/>
          <w:szCs w:val="24"/>
        </w:rPr>
        <w:t>so that Tyr188 alone stacks with the chlorocyanophenyl ring of DOR while the Tyr181 ring is turned away from the drug. In complexes with first-generation NNRTIs both tyrosines stack with the inhibitor, and Y181C and Y188L are thought to confer resistance by removing that stacking.¹⁰,¹¹</w:t>
      </w:r>
      <w:r w:rsidRPr="004100CF">
        <w:rPr>
          <w:rFonts w:ascii="Times New Roman" w:hAnsi="Times New Roman" w:cs="Times New Roman"/>
          <w:szCs w:val="24"/>
        </w:rPr>
        <w:t>As a result, binding of DOR is likely less dependent on Lys103 and Tyr181 and consequently has a superior profile against common resistance mutations at these sites. On the other hand, the central phenyl ring in DOR makes a hydrophobic bond with Val106, which is often mutated to alanine in viruses from patients with virological failure receiving DOR and which results in reduced DOR susceptibility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16,17</w:t>
      </w:r>
      <w:r w:rsidRPr="004100CF">
        <w:rPr>
          <w:rFonts w:ascii="Times New Roman" w:hAnsi="Times New Roman" w:cs="Times New Roman"/>
          <w:szCs w:val="24"/>
        </w:rPr>
        <w:fldChar w:fldCharType="end"/>
      </w:r>
      <w:r w:rsidRPr="004100CF">
        <w:rPr>
          <w:rFonts w:ascii="Times New Roman" w:hAnsi="Times New Roman" w:cs="Times New Roman"/>
          <w:szCs w:val="24"/>
        </w:rPr>
        <w:t>. Similarly, combinations of V106A/I with F227C/L, L234I, and P225H cause &gt;100-fold reductions in susceptibility to DOR</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18</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p>
    <w:p w14:paraId="4428E31C" w14:textId="77777777" w:rsidR="00423928" w:rsidRDefault="00C96A03" w:rsidP="00725DDC">
      <w:pPr>
        <w:spacing w:after="240"/>
        <w:rPr>
          <w:rFonts w:ascii="Times New Roman" w:hAnsi="Times New Roman" w:cs="Times New Roman"/>
        </w:rPr>
      </w:pPr>
      <w:r w:rsidRPr="004100CF">
        <w:rPr>
          <w:rFonts w:ascii="Times New Roman" w:hAnsi="Times New Roman" w:cs="Times New Roman"/>
          <w:szCs w:val="24"/>
        </w:rPr>
        <w:t>This unique resistance profile has allowed DOR to become an integral component of the standard of care in antiretroviral therapy (ART).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19–22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Yet limited availability of DOR-resistance data has complicated its use in persons with pre-existing NNRTI resistance. To investigate </w:t>
      </w:r>
      <w:r w:rsidR="00D10CD4" w:rsidRPr="004100CF">
        <w:rPr>
          <w:rFonts w:ascii="Times New Roman" w:hAnsi="Times New Roman" w:cs="Times New Roman"/>
          <w:szCs w:val="24"/>
        </w:rPr>
        <w:t xml:space="preserve">a computational approach </w:t>
      </w:r>
      <w:r w:rsidRPr="004100CF">
        <w:rPr>
          <w:rFonts w:ascii="Times New Roman" w:hAnsi="Times New Roman" w:cs="Times New Roman"/>
          <w:szCs w:val="24"/>
        </w:rPr>
        <w:t>to fill</w:t>
      </w:r>
      <w:r w:rsidR="00D10CD4" w:rsidRPr="004100CF">
        <w:rPr>
          <w:rFonts w:ascii="Times New Roman" w:hAnsi="Times New Roman" w:cs="Times New Roman"/>
          <w:szCs w:val="24"/>
        </w:rPr>
        <w:t xml:space="preserve"> this</w:t>
      </w:r>
      <w:r w:rsidRPr="004100CF">
        <w:rPr>
          <w:rFonts w:ascii="Times New Roman" w:hAnsi="Times New Roman" w:cs="Times New Roman"/>
          <w:szCs w:val="24"/>
        </w:rPr>
        <w:t xml:space="preserve"> gap in DOR susceptibility data, we performed all-atom explicit solvent molecular dynamics (MD) simulations on 19 RT-DOR complexes, corresponding to wild-type (WT) RT and 18 DOR-associated genotypes.</w:t>
      </w:r>
      <w:r w:rsidR="00725DDC" w:rsidRPr="004100CF">
        <w:rPr>
          <w:rFonts w:ascii="Times New Roman" w:hAnsi="Times New Roman" w:cs="Times New Roman"/>
          <w:szCs w:val="24"/>
        </w:rPr>
        <w:t xml:space="preserve"> </w:t>
      </w:r>
      <w:commentRangeStart w:id="1"/>
      <w:r w:rsidR="00B97C82" w:rsidRPr="004100CF">
        <w:rPr>
          <w:rFonts w:ascii="Times New Roman" w:hAnsi="Times New Roman" w:cs="Times New Roman"/>
        </w:rPr>
        <w:t>Prior molecular simulation studies have successfully reproduced mutation-dependent changes in NNRTI binding affinity and elucidated the associated structural and conformational mechanisms of resistance</w:t>
      </w:r>
      <w:r w:rsidR="0047062D" w:rsidRPr="004100CF">
        <w:rPr>
          <w:rFonts w:ascii="Times New Roman" w:hAnsi="Times New Roman" w:cs="Times New Roman"/>
        </w:rPr>
        <w:t>.</w:t>
      </w:r>
      <w:r w:rsidR="00883619" w:rsidRPr="004100CF">
        <w:rPr>
          <w:rFonts w:ascii="Times New Roman" w:hAnsi="Times New Roman" w:cs="Times New Roman"/>
        </w:rPr>
        <w:fldChar w:fldCharType="begin"/>
      </w:r>
      <w:r w:rsidR="00E032F1" w:rsidRPr="004100CF">
        <w:rPr>
          <w:rFonts w:ascii="Times New Roman" w:hAnsi="Times New Roman" w:cs="Times New Roman"/>
        </w:rPr>
        <w:instrText xml:space="preserve"> ADDIN ZOTERO_ITEM CSL_CITATION {"citationID":"jcl052b4","properties":{"unsorted":true,"formattedCitation":"\\super 23\\uc0\\u8211{}29\\nosupersub{}","plainCitation":"23–29","noteIndex":0},"citationItems":[{"id":308,"uris":["http://zotero.org/users/19404620/items/PZTYH8TA"],"itemData":{"id":308,"type":"article-journal","container-title":"Journal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TMC125","volume":"125","author":[{"family":"Udier-Blagović","given":"Marina"},{"family":"Tirado-Rives","given":"Julian"},{"family":"Jorgensen","given":"William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E032F1" w:rsidRPr="004100CF">
        <w:rPr>
          <w:rFonts w:ascii="Cambria Math" w:hAnsi="Cambria Math" w:cs="Cambria Math"/>
        </w:rPr>
        <w:instrText>≫</w:instrText>
      </w:r>
      <w:r w:rsidR="00E032F1" w:rsidRPr="004100CF">
        <w:rPr>
          <w:rFonts w:ascii="Times New Roman" w:hAnsi="Times New Roman" w:cs="Times New Roman"/>
        </w:rPr>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íguez-Barrios","given":"Fátima"},{"family":"Balzarini","given":"Jan"},{"family":"Gago","given":"Federico"}],"issued":{"date-parts":[["2005",4,30]]}}},{"id":"sGQf21Pk/w0ZqaEhU","uris":["http://zotero.org/users/19404620/items/8EEHV937"],"itemData":{"id":"sGQf21Pk/w0ZqaEhU","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82:815–829. ©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rsidR="00883619" w:rsidRPr="004100CF">
        <w:rPr>
          <w:rFonts w:ascii="Times New Roman" w:hAnsi="Times New Roman" w:cs="Times New Roman"/>
        </w:rPr>
        <w:fldChar w:fldCharType="separate"/>
      </w:r>
      <w:r w:rsidR="00E032F1" w:rsidRPr="004100CF">
        <w:rPr>
          <w:rFonts w:ascii="Times New Roman" w:hAnsi="Times New Roman" w:cs="Times New Roman"/>
          <w:szCs w:val="24"/>
          <w:vertAlign w:val="superscript"/>
        </w:rPr>
        <w:t>23–29</w:t>
      </w:r>
      <w:r w:rsidR="00883619" w:rsidRPr="004100CF">
        <w:rPr>
          <w:rFonts w:ascii="Times New Roman" w:hAnsi="Times New Roman" w:cs="Times New Roman"/>
        </w:rPr>
        <w:fldChar w:fldCharType="end"/>
      </w:r>
      <w:commentRangeEnd w:id="1"/>
      <w:r w:rsidR="00FD121C" w:rsidRPr="004100CF">
        <w:rPr>
          <w:rStyle w:val="CommentReference"/>
          <w:rFonts w:ascii="Times New Roman" w:hAnsi="Times New Roman" w:cs="Times New Roman"/>
          <w:sz w:val="24"/>
          <w:szCs w:val="21"/>
        </w:rPr>
        <w:commentReference w:id="1"/>
      </w:r>
      <w:r w:rsidR="0047062D" w:rsidRPr="004100CF">
        <w:rPr>
          <w:rFonts w:ascii="Times New Roman" w:hAnsi="Times New Roman" w:cs="Times New Roman"/>
        </w:rPr>
        <w:t xml:space="preserve"> However, direct comparison with phenotypic susceptibility data for clinically relevant drug resistant mutations is lacking.</w:t>
      </w:r>
    </w:p>
    <w:p w14:paraId="5A484F64" w14:textId="4F928C9B" w:rsidR="000E15E2" w:rsidRPr="004100CF" w:rsidRDefault="0047062D" w:rsidP="00725DDC">
      <w:pPr>
        <w:spacing w:after="240"/>
        <w:rPr>
          <w:rFonts w:ascii="Times New Roman" w:hAnsi="Times New Roman" w:cs="Times New Roman"/>
          <w:szCs w:val="24"/>
        </w:rPr>
      </w:pPr>
      <w:commentRangeStart w:id="2"/>
      <w:r w:rsidRPr="004100CF">
        <w:rPr>
          <w:rFonts w:ascii="Times New Roman" w:hAnsi="Times New Roman" w:cs="Times New Roman"/>
        </w:rPr>
        <w:t>In this work, we performed RT-DOR binding free energy analysis using a non-equilibrium alchemical free energy perturbation protocol</w:t>
      </w:r>
      <w:r w:rsidR="000062F9" w:rsidRPr="004100CF">
        <w:rPr>
          <w:rFonts w:ascii="Times New Roman" w:hAnsi="Times New Roman" w:cs="Times New Roman"/>
        </w:rPr>
        <w:fldChar w:fldCharType="begin"/>
      </w:r>
      <w:r w:rsidR="00E032F1" w:rsidRPr="004100CF">
        <w:rPr>
          <w:rFonts w:ascii="Times New Roman" w:hAnsi="Times New Roman" w:cs="Times New Roman"/>
        </w:rPr>
        <w:instrText xml:space="preserve"> ADDIN ZOTERO_ITEM CSL_CITATION {"citationID":"sFxC04vT","properties":{"unsorted":false,"formattedCitation":"\\super 30,31\\nosupersub{}","plainCitation":"30,31","noteIndex":0},"citationItems":[{"id":257,"uris":["http://zotero.org/users/19404620/items/3AGKTMV5"],"itemData":{"id":257,"type":"article-journal","abstract":"This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0062F9" w:rsidRPr="004100CF">
        <w:rPr>
          <w:rFonts w:ascii="Times New Roman" w:hAnsi="Times New Roman" w:cs="Times New Roman"/>
        </w:rPr>
        <w:fldChar w:fldCharType="separate"/>
      </w:r>
      <w:r w:rsidR="00E032F1" w:rsidRPr="004100CF">
        <w:rPr>
          <w:rFonts w:ascii="Times New Roman" w:hAnsi="Times New Roman" w:cs="Times New Roman"/>
          <w:szCs w:val="24"/>
          <w:vertAlign w:val="superscript"/>
        </w:rPr>
        <w:t>30,31</w:t>
      </w:r>
      <w:r w:rsidR="000062F9" w:rsidRPr="004100CF">
        <w:rPr>
          <w:rFonts w:ascii="Times New Roman" w:hAnsi="Times New Roman" w:cs="Times New Roman"/>
        </w:rPr>
        <w:fldChar w:fldCharType="end"/>
      </w:r>
      <w:r w:rsidRPr="004100CF">
        <w:rPr>
          <w:rFonts w:ascii="Times New Roman" w:hAnsi="Times New Roman" w:cs="Times New Roman"/>
        </w:rPr>
        <w:t xml:space="preserve"> and absolute RT-DOR </w:t>
      </w:r>
      <w:r w:rsidR="001521FB" w:rsidRPr="004100CF">
        <w:rPr>
          <w:rFonts w:ascii="Times New Roman" w:hAnsi="Times New Roman" w:cs="Times New Roman"/>
        </w:rPr>
        <w:t>MM/GBSA</w:t>
      </w:r>
      <w:r w:rsidRPr="004100CF">
        <w:rPr>
          <w:rFonts w:ascii="Times New Roman" w:hAnsi="Times New Roman" w:cs="Times New Roman"/>
        </w:rPr>
        <w:t xml:space="preserve"> energy </w:t>
      </w:r>
      <w:r w:rsidRPr="004100CF">
        <w:rPr>
          <w:rFonts w:ascii="Times New Roman" w:hAnsi="Times New Roman" w:cs="Times New Roman"/>
        </w:rPr>
        <w:lastRenderedPageBreak/>
        <w:t>calculation</w:t>
      </w:r>
      <w:r w:rsidR="000062F9" w:rsidRPr="004100CF">
        <w:rPr>
          <w:rFonts w:ascii="Times New Roman" w:hAnsi="Times New Roman" w:cs="Times New Roman"/>
        </w:rPr>
        <w:t>s</w:t>
      </w:r>
      <w:r w:rsidRPr="004100CF">
        <w:rPr>
          <w:rFonts w:ascii="Times New Roman" w:hAnsi="Times New Roman" w:cs="Times New Roman"/>
        </w:rPr>
        <w:t xml:space="preserve"> using equilibrium MD simulations</w:t>
      </w:r>
      <w:r w:rsidR="00DB01C0" w:rsidRPr="004100CF">
        <w:rPr>
          <w:rFonts w:ascii="Times New Roman" w:hAnsi="Times New Roman" w:cs="Times New Roman"/>
        </w:rPr>
        <w:t xml:space="preserve"> on a curated genotype panel of DOR-associated mutations</w:t>
      </w:r>
      <w:r w:rsidRPr="004100CF">
        <w:rPr>
          <w:rFonts w:ascii="Times New Roman" w:hAnsi="Times New Roman" w:cs="Times New Roman"/>
        </w:rPr>
        <w:t>.</w:t>
      </w:r>
      <w:commentRangeEnd w:id="2"/>
      <w:r w:rsidR="00096ED7" w:rsidRPr="004100CF">
        <w:rPr>
          <w:rStyle w:val="CommentReference"/>
          <w:rFonts w:ascii="Times New Roman" w:hAnsi="Times New Roman" w:cs="Times New Roman"/>
          <w:sz w:val="24"/>
          <w:szCs w:val="21"/>
        </w:rPr>
        <w:commentReference w:id="2"/>
      </w:r>
      <w:r w:rsidRPr="004100CF">
        <w:rPr>
          <w:rFonts w:ascii="Times New Roman" w:hAnsi="Times New Roman" w:cs="Times New Roman"/>
        </w:rPr>
        <w:t xml:space="preserve"> Our results </w:t>
      </w:r>
      <w:r w:rsidR="00DB01C0" w:rsidRPr="004100CF">
        <w:rPr>
          <w:rFonts w:ascii="Times New Roman" w:hAnsi="Times New Roman" w:cs="Times New Roman"/>
        </w:rPr>
        <w:t>demonstrate</w:t>
      </w:r>
      <w:r w:rsidR="00714E97" w:rsidRPr="004100CF">
        <w:rPr>
          <w:rFonts w:ascii="Times New Roman" w:hAnsi="Times New Roman" w:cs="Times New Roman"/>
        </w:rPr>
        <w:t xml:space="preserve"> that </w:t>
      </w:r>
      <w:r w:rsidR="00DB01C0" w:rsidRPr="004100CF">
        <w:rPr>
          <w:rFonts w:ascii="Times New Roman" w:hAnsi="Times New Roman" w:cs="Times New Roman"/>
        </w:rPr>
        <w:t xml:space="preserve">even with a limited sample set, </w:t>
      </w:r>
      <w:r w:rsidR="00714E97" w:rsidRPr="004100CF">
        <w:rPr>
          <w:rFonts w:ascii="Times New Roman" w:hAnsi="Times New Roman" w:cs="Times New Roman"/>
        </w:rPr>
        <w:t xml:space="preserve">relative </w:t>
      </w:r>
      <w:r w:rsidR="00DB01C0" w:rsidRPr="004100CF">
        <w:rPr>
          <w:rFonts w:ascii="Times New Roman" w:hAnsi="Times New Roman" w:cs="Times New Roman"/>
        </w:rPr>
        <w:t xml:space="preserve">RT-DOR </w:t>
      </w:r>
      <w:r w:rsidR="00714E97" w:rsidRPr="004100CF">
        <w:rPr>
          <w:rFonts w:ascii="Times New Roman" w:hAnsi="Times New Roman" w:cs="Times New Roman"/>
        </w:rPr>
        <w:t xml:space="preserve">binding free energy can weakly correlate with </w:t>
      </w:r>
      <w:r w:rsidR="00DB01C0" w:rsidRPr="004100CF">
        <w:rPr>
          <w:rFonts w:ascii="Times New Roman" w:hAnsi="Times New Roman" w:cs="Times New Roman"/>
        </w:rPr>
        <w:t xml:space="preserve">experimentally observed </w:t>
      </w:r>
      <w:r w:rsidR="00E032F1" w:rsidRPr="004100CF">
        <w:rPr>
          <w:rFonts w:ascii="Times New Roman" w:hAnsi="Times New Roman" w:cs="Times New Roman"/>
        </w:rPr>
        <w:t xml:space="preserve">mutation-induced </w:t>
      </w:r>
      <w:r w:rsidR="00DB01C0" w:rsidRPr="004100CF">
        <w:rPr>
          <w:rFonts w:ascii="Times New Roman" w:hAnsi="Times New Roman" w:cs="Times New Roman"/>
        </w:rPr>
        <w:t xml:space="preserve">DOR fold-change in susceptibility. </w:t>
      </w:r>
      <w:r w:rsidR="003874B7" w:rsidRPr="004100CF">
        <w:rPr>
          <w:rFonts w:ascii="Times New Roman" w:hAnsi="Times New Roman" w:cs="Times New Roman"/>
        </w:rPr>
        <w:t xml:space="preserve">However, </w:t>
      </w:r>
      <w:r w:rsidR="001521FB" w:rsidRPr="004100CF">
        <w:rPr>
          <w:rFonts w:ascii="Times New Roman" w:hAnsi="Times New Roman" w:cs="Times New Roman"/>
        </w:rPr>
        <w:t xml:space="preserve">binding free energy or MM/GBSA do not generally demonstrate their utility as a reliably proxy for </w:t>
      </w:r>
      <w:r w:rsidR="001521FB" w:rsidRPr="004100CF">
        <w:rPr>
          <w:rFonts w:ascii="Times New Roman" w:hAnsi="Times New Roman" w:cs="Times New Roman"/>
          <w:i/>
          <w:iCs/>
        </w:rPr>
        <w:t xml:space="preserve">in vitro </w:t>
      </w:r>
      <w:r w:rsidR="000062F9" w:rsidRPr="004100CF">
        <w:rPr>
          <w:rFonts w:ascii="Times New Roman" w:hAnsi="Times New Roman" w:cs="Times New Roman"/>
        </w:rPr>
        <w:t>drug susceptibility experiments</w:t>
      </w:r>
      <w:r w:rsidR="001521FB" w:rsidRPr="004100CF">
        <w:rPr>
          <w:rFonts w:ascii="Times New Roman" w:hAnsi="Times New Roman" w:cs="Times New Roman"/>
        </w:rPr>
        <w:t>.</w:t>
      </w:r>
    </w:p>
    <w:p w14:paraId="2E58D795" w14:textId="6F9D89FA" w:rsidR="004260F0" w:rsidRPr="004100CF" w:rsidRDefault="0006771E" w:rsidP="00423928">
      <w:pPr>
        <w:spacing w:after="240"/>
        <w:rPr>
          <w:rFonts w:ascii="Times New Roman" w:hAnsi="Times New Roman" w:cs="Times New Roman"/>
          <w:b/>
          <w:bCs/>
          <w:sz w:val="28"/>
          <w:szCs w:val="22"/>
        </w:rPr>
      </w:pPr>
      <w:r w:rsidRPr="004100CF">
        <w:rPr>
          <w:rFonts w:ascii="Times New Roman" w:hAnsi="Times New Roman" w:cs="Times New Roman"/>
          <w:b/>
          <w:bCs/>
          <w:sz w:val="28"/>
          <w:szCs w:val="22"/>
        </w:rPr>
        <w:t>Methods</w:t>
      </w:r>
    </w:p>
    <w:p w14:paraId="6E1DB01F" w14:textId="50390BF8" w:rsidR="004260F0" w:rsidRPr="004100CF" w:rsidRDefault="007D7A4D" w:rsidP="004260F0">
      <w:pPr>
        <w:rPr>
          <w:rFonts w:ascii="Times New Roman" w:hAnsi="Times New Roman" w:cs="Times New Roman"/>
          <w:b/>
          <w:bCs/>
          <w:szCs w:val="24"/>
          <w:u w:val="single"/>
        </w:rPr>
      </w:pPr>
      <w:r w:rsidRPr="004100CF">
        <w:rPr>
          <w:rFonts w:ascii="Times New Roman" w:hAnsi="Times New Roman" w:cs="Times New Roman"/>
          <w:b/>
          <w:bCs/>
          <w:szCs w:val="24"/>
          <w:u w:val="single"/>
        </w:rPr>
        <w:t xml:space="preserve">3D </w:t>
      </w:r>
      <w:r w:rsidR="004260F0" w:rsidRPr="004100CF">
        <w:rPr>
          <w:rFonts w:ascii="Times New Roman" w:hAnsi="Times New Roman" w:cs="Times New Roman"/>
          <w:b/>
          <w:bCs/>
          <w:szCs w:val="24"/>
          <w:u w:val="single"/>
        </w:rPr>
        <w:t>Structure Preparation and mutation modeling</w:t>
      </w:r>
    </w:p>
    <w:p w14:paraId="03FA9518" w14:textId="5D9FBF94"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 xml:space="preserve">The starting </w:t>
      </w:r>
      <w:r w:rsidRPr="004100CF">
        <w:rPr>
          <w:rFonts w:ascii="Times New Roman" w:hAnsi="Times New Roman" w:cs="Times New Roman"/>
          <w:i/>
          <w:iCs/>
          <w:szCs w:val="24"/>
        </w:rPr>
        <w:t>holo</w:t>
      </w:r>
      <w:r w:rsidRPr="004100CF">
        <w:rPr>
          <w:rFonts w:ascii="Times New Roman" w:hAnsi="Times New Roman" w:cs="Times New Roman"/>
          <w:szCs w:val="24"/>
        </w:rPr>
        <w:t xml:space="preserve"> structure was the crystal structure of HIV-1 RT bound to doravirine (DOR; PDB ligand residue 2KW) from PDB 4NCG (</w:t>
      </w:r>
      <w:hyperlink r:id="rId9" w:history="1">
        <w:r w:rsidRPr="004100CF">
          <w:rPr>
            <w:rStyle w:val="Hyperlink"/>
            <w:rFonts w:ascii="Times New Roman" w:hAnsi="Times New Roman" w:cs="Times New Roman"/>
            <w:szCs w:val="24"/>
          </w:rPr>
          <w:t>https://www.rcsb.org/structure/4NCG</w:t>
        </w:r>
      </w:hyperlink>
      <w:r w:rsidRPr="004100CF">
        <w:rPr>
          <w:rFonts w:ascii="Times New Roman" w:hAnsi="Times New Roman" w:cs="Times New Roman"/>
          <w:szCs w:val="24"/>
        </w:rPr>
        <w: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Mutant complexes were generated from the WT RT-DOR structure by introducing the selected p66 substitutions </w:t>
      </w:r>
      <w:r w:rsidRPr="004100CF">
        <w:rPr>
          <w:rFonts w:ascii="Times New Roman" w:hAnsi="Times New Roman" w:cs="Times New Roman"/>
          <w:i/>
          <w:iCs/>
          <w:szCs w:val="24"/>
        </w:rPr>
        <w:t>in silico</w:t>
      </w:r>
      <w:r w:rsidRPr="004100CF">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 (</w:t>
      </w:r>
      <w:hyperlink r:id="rId10" w:history="1">
        <w:r w:rsidRPr="004100CF">
          <w:rPr>
            <w:rStyle w:val="Hyperlink"/>
            <w:rFonts w:ascii="Times New Roman" w:hAnsi="Times New Roman" w:cs="Times New Roman"/>
            <w:szCs w:val="24"/>
          </w:rPr>
          <w:t>https://pubchem.ncbi.nlm.nih.gov/compound/Doravirine</w:t>
        </w:r>
      </w:hyperlink>
      <w:r w:rsidRPr="004100CF">
        <w:rPr>
          <w:rFonts w:ascii="Times New Roman" w:hAnsi="Times New Roman" w:cs="Times New Roman"/>
          <w:szCs w:val="24"/>
        </w:rPr>
        <w:t>) and rigidly aligned to the crystallographic ligand heavy atoms by least-squares superposition using the Kabsch algorithm.</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{"citationID":"7W9IyQRi","properties":{"unsorted":false,"formattedCitation":"\\super 32\\nosupersub{}","plainCitation":"32","noteIndex":0},"citationItems":[{"id":222,"uris":["http://zotero.org/users/19404620/items/WA8VTCHT"],"itemData":{"id":222,"type":"article-journal","container-title":"Acta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3F36688D" w14:textId="77777777" w:rsidR="004260F0" w:rsidRPr="004100CF" w:rsidRDefault="004260F0" w:rsidP="004260F0">
      <w:pPr>
        <w:rPr>
          <w:rFonts w:ascii="Times New Roman" w:hAnsi="Times New Roman" w:cs="Times New Roman"/>
          <w:szCs w:val="24"/>
        </w:rPr>
      </w:pPr>
      <w:r w:rsidRPr="004100CF">
        <w:rPr>
          <w:rFonts w:ascii="Times New Roman" w:hAnsi="Times New Roman" w:cs="Times New Roman"/>
          <w:b/>
          <w:bCs/>
          <w:szCs w:val="24"/>
          <w:u w:val="single"/>
        </w:rPr>
        <w:t>Molecular dynamics simulations</w:t>
      </w:r>
    </w:p>
    <w:p w14:paraId="2555B0DB" w14:textId="1620B64D" w:rsidR="004260F0" w:rsidRPr="004100CF" w:rsidRDefault="0045260D" w:rsidP="004260F0">
      <w:pPr>
        <w:spacing w:after="240"/>
        <w:rPr>
          <w:rFonts w:ascii="Times New Roman" w:hAnsi="Times New Roman" w:cs="Times New Roman"/>
          <w:szCs w:val="24"/>
        </w:rPr>
      </w:pPr>
      <w:r w:rsidRPr="004100CF">
        <w:rPr>
          <w:rFonts w:ascii="Times New Roman" w:hAnsi="Times New Roman" w:cs="Times New Roman"/>
          <w:szCs w:val="24"/>
        </w:rPr>
        <w:t>Equilibrium</w:t>
      </w:r>
      <w:r w:rsidR="004260F0" w:rsidRPr="004100CF">
        <w:rPr>
          <w:rFonts w:ascii="Times New Roman" w:hAnsi="Times New Roman" w:cs="Times New Roman"/>
          <w:szCs w:val="24"/>
        </w:rPr>
        <w:t xml:space="preserve"> MD simulations were performed with OpenMM.</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{"citationID":"Z4dhb7v9","properties":{"unsorted":false,"formattedCitation":"\\super 33\\nosupersub{}","plainCitation":"33","noteIndex":0},"citationItems":[{"id":225,"uris":["http://zotero.org/users/19404620/items/VF4HPM48"],"itemData":{"id":225,"type":"article-journal","abstract":"OpenMM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33</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Protein and nucleic-acid parameters were assigned from the Amber14 OpenMM force-field files, using ff14SB for protein,</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{"citationID":"4nmpHmwv","properties":{"unsorted":false,"formattedCitation":"\\super 34\\nosupersub{}","plainCitation":"34","noteIndex":0},"citationItems":[{"id":227,"uris":["http://zotero.org/users/19404620/items/EYI2KZ5Y"],"itemData":{"id":227,"type":"article-journal","abstract":"Molecular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34</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bsc1 for DNA,</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{"citationID":"2ulRPWUZ","properties":{"unsorted":false,"formattedCitation":"\\super 35\\nosupersub{}","plainCitation":"35","noteIndex":0},"citationItems":[{"id":229,"uris":["http://zotero.org/users/19404620/items/YTBAPMJV"],"itemData":{"id":229,"type":"article-journal","abstract":"Parmbsc1,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35</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and TIP3P water.</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{"citationID":"boT0ZgCs","properties":{"unsorted":false,"formattedCitation":"\\super 36\\nosupersub{}","plainCitation":"36","noteIndex":0},"citationItems":[{"id":231,"uris":["http://zotero.org/users/19404620/items/6F4CWEFZ"],"itemData":{"id":231,"type":"article-journal","abstract":"Classical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36</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DOR parameters were generated through the OpenFF/SMIRNOFF template generator using direct chemical perception,</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{"citationID":"UnebaBif","properties":{"unsorted":false,"formattedCitation":"\\super 37\\nosupersub{}","plainCitation":"37","noteIndex":0},"citationItems":[{"id":233,"uris":["http://zotero.org/users/19404620/items/E6BDSEJC"],"itemData":{"id":233,"type":"article-journal","abstract":"Traditional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37</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with Gasteiger partial charges.</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{"citationID":"eGQafwOT","properties":{"unsorted":false,"formattedCitation":"\\super 38\\nosupersub{}","plainCitation":"38","noteIndex":0},"citationItems":[{"id":235,"uris":["http://zotero.org/users/19404620/items/TBIEN3LN"],"itemData":{"id":235,"type":"article-journal","abstract":"A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38</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Each complex was solvated in a TIP3P periodic box with 1.0 nm padding and neutralized at 0.15 M ionic strength. Nonbonded interactions used particle-mesh Ewald electrostatics</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{"citationID":"R2wUPQOt","properties":{"unsorted":false,"formattedCitation":"\\super 39\\nosupersub{}","plainCitation":"39","noteIndex":0},"citationItems":[{"id":237,"uris":["http://zotero.org/users/19404620/items/JJF3VIYX"],"itemData":{"id":237,"type":"article-journal","abstract":"An N</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39</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with a 1.0 nm cutoff, and bonds to hydrogen atoms were constrained.</w:t>
      </w:r>
    </w:p>
    <w:p w14:paraId="636E8DE9" w14:textId="77777777"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w:t>
      </w:r>
      <w:r w:rsidRPr="004100CF">
        <w:rPr>
          <w:rFonts w:ascii="Times New Roman" w:hAnsi="Times New Roman" w:cs="Times New Roman"/>
          <w:szCs w:val="24"/>
          <w:vertAlign w:val="subscript"/>
        </w:rPr>
        <w:t>α</w:t>
      </w:r>
      <w:r w:rsidRPr="004100CF">
        <w:rPr>
          <w:rFonts w:ascii="Times New Roman" w:hAnsi="Times New Roman" w:cs="Times New Roman"/>
          <w:szCs w:val="24"/>
        </w:rPr>
        <w:t>-restrained minimization (1,000 iterations at 50 kcal mol</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Å</w:t>
      </w:r>
      <w:r w:rsidRPr="004100CF">
        <w:rPr>
          <w:rFonts w:ascii="Times New Roman" w:hAnsi="Times New Roman" w:cs="Times New Roman"/>
          <w:szCs w:val="24"/>
          <w:vertAlign w:val="superscript"/>
        </w:rPr>
        <w:t>−2</w:t>
      </w:r>
      <w:r w:rsidRPr="004100CF">
        <w:rPr>
          <w:rFonts w:ascii="Times New Roman" w:hAnsi="Times New Roman" w:cs="Times New Roman"/>
          <w:szCs w:val="24"/>
        </w:rPr>
        <w:t>, 1,000 iterations at 10 kcal mol</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Å</w:t>
      </w:r>
      <w:r w:rsidRPr="004100CF">
        <w:rPr>
          <w:rFonts w:ascii="Times New Roman" w:hAnsi="Times New Roman" w:cs="Times New Roman"/>
          <w:szCs w:val="24"/>
          <w:vertAlign w:val="superscript"/>
        </w:rPr>
        <w:t>−2</w:t>
      </w:r>
      <w:r w:rsidRPr="004100CF">
        <w:rPr>
          <w:rFonts w:ascii="Times New Roman" w:hAnsi="Times New Roman" w:cs="Times New Roman"/>
          <w:szCs w:val="24"/>
        </w:rPr>
        <w:t>, and 5,000 unrestrained iterations). Systems were then heated from 10 K to 300 K over 25 ps under NVT conditions. Production simulations were run at 300 K and 1 bar using the Langevin middle integrator, a 2 fs timestep, 1 ps</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friction coefficient, and a Monte Carlo barostat. State information was written every 2,000 integration steps. For downstream analysis, stripped protein-plus-ligand DCD trajectories were saved at approximately 200 evenly spaced frames per 100 ns production simulation.</w:t>
      </w:r>
    </w:p>
    <w:p w14:paraId="23470102" w14:textId="77777777" w:rsidR="004260F0" w:rsidRPr="004100CF" w:rsidRDefault="004260F0" w:rsidP="004260F0">
      <w:pPr>
        <w:rPr>
          <w:rFonts w:ascii="Times New Roman" w:hAnsi="Times New Roman" w:cs="Times New Roman"/>
          <w:szCs w:val="24"/>
        </w:rPr>
      </w:pPr>
      <w:r w:rsidRPr="004100CF">
        <w:rPr>
          <w:rFonts w:ascii="Times New Roman" w:hAnsi="Times New Roman" w:cs="Times New Roman"/>
          <w:b/>
          <w:bCs/>
          <w:szCs w:val="24"/>
          <w:u w:val="single"/>
        </w:rPr>
        <w:t>Trajectory processing and structural features</w:t>
      </w:r>
    </w:p>
    <w:p w14:paraId="75FE69A3" w14:textId="02542C41"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Trajectory analyses were performed with MDAnalysis</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{"citationID":"dulF9I72","properties":{"unsorted":false,"formattedCitation":"\\super 40\\nosupersub{}","plainCitation":"40","noteIndex":0},"citationItems":[{"id":240,"uris":["http://zotero.org/users/19404620/items/RPEHK5MV"],"itemData":{"id":240,"type":"article-journal","abstract":"MDAnalysis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40</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and MDTraj.</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{"citationID":"MBYMA91P","properties":{"unsorted":false,"formattedCitation":"\\super 41\\nosupersub{}","plainCitation":"41","noteIndex":0},"citationItems":[{"id":243,"uris":["http://zotero.org/users/19404620/items/RFZX7FL3"],"itemData":{"id":243,"type":"article-journal","container-title":"Biophysical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41</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w:t>
      </w:r>
      <w:r w:rsidR="007D7A4D" w:rsidRPr="004100CF">
        <w:rPr>
          <w:rFonts w:ascii="Times New Roman" w:hAnsi="Times New Roman" w:cs="Times New Roman"/>
          <w:szCs w:val="24"/>
        </w:rPr>
        <w:t>crystal structure</w:t>
      </w:r>
      <w:r w:rsidRPr="004100CF">
        <w:rPr>
          <w:rFonts w:ascii="Times New Roman" w:hAnsi="Times New Roman" w:cs="Times New Roman"/>
          <w:szCs w:val="24"/>
        </w:rPr>
        <w:t xml:space="preserve"> reference using C</w:t>
      </w:r>
      <w:r w:rsidR="007D7A4D" w:rsidRPr="004100CF">
        <w:rPr>
          <w:rFonts w:ascii="Times New Roman" w:hAnsi="Times New Roman" w:cs="Times New Roman"/>
          <w:szCs w:val="24"/>
          <w:vertAlign w:val="subscript"/>
        </w:rPr>
        <w:t>α</w:t>
      </w:r>
      <w:r w:rsidRPr="004100CF">
        <w:rPr>
          <w:rFonts w:ascii="Times New Roman" w:hAnsi="Times New Roman" w:cs="Times New Roman"/>
          <w:szCs w:val="24"/>
        </w:rPr>
        <w:t xml:space="preserve"> atoms. DOR pose </w:t>
      </w:r>
      <w:r w:rsidR="0087658B" w:rsidRPr="004100CF">
        <w:rPr>
          <w:rFonts w:ascii="Times New Roman" w:hAnsi="Times New Roman" w:cs="Times New Roman"/>
          <w:szCs w:val="24"/>
        </w:rPr>
        <w:t>root mean squared deviation (</w:t>
      </w:r>
      <w:r w:rsidRPr="004100CF">
        <w:rPr>
          <w:rFonts w:ascii="Times New Roman" w:hAnsi="Times New Roman" w:cs="Times New Roman"/>
          <w:szCs w:val="24"/>
        </w:rPr>
        <w:t>RMSD</w:t>
      </w:r>
      <w:r w:rsidR="0087658B" w:rsidRPr="004100CF">
        <w:rPr>
          <w:rFonts w:ascii="Times New Roman" w:hAnsi="Times New Roman" w:cs="Times New Roman"/>
          <w:szCs w:val="24"/>
        </w:rPr>
        <w:t>)</w:t>
      </w:r>
      <w:r w:rsidRPr="004100CF">
        <w:rPr>
          <w:rFonts w:ascii="Times New Roman" w:hAnsi="Times New Roman" w:cs="Times New Roman"/>
          <w:szCs w:val="24"/>
        </w:rPr>
        <w:t xml:space="preserve"> was computed after protein-pocket alignment from DOR heavy atoms relative to the </w:t>
      </w:r>
      <w:r w:rsidRPr="004100CF">
        <w:rPr>
          <w:rFonts w:ascii="Times New Roman" w:hAnsi="Times New Roman" w:cs="Times New Roman"/>
          <w:szCs w:val="24"/>
        </w:rPr>
        <w:lastRenderedPageBreak/>
        <w:t xml:space="preserve">crystallographic pose. Residue-DOR proximity features were computed as the minimum heavy-atom distance between DOR and each specified RT residue in each analyzed frame. </w:t>
      </w:r>
    </w:p>
    <w:p w14:paraId="3C279018" w14:textId="3ACC783C" w:rsidR="004260F0" w:rsidRPr="004100CF" w:rsidRDefault="004260F0" w:rsidP="004260F0">
      <w:pPr>
        <w:rPr>
          <w:rFonts w:ascii="Times New Roman" w:hAnsi="Times New Roman" w:cs="Times New Roman"/>
          <w:b/>
          <w:bCs/>
          <w:szCs w:val="24"/>
          <w:u w:val="single"/>
        </w:rPr>
      </w:pPr>
      <w:r w:rsidRPr="004100CF">
        <w:rPr>
          <w:rFonts w:ascii="Times New Roman" w:hAnsi="Times New Roman" w:cs="Times New Roman"/>
          <w:b/>
          <w:bCs/>
          <w:szCs w:val="24"/>
          <w:u w:val="single"/>
        </w:rPr>
        <w:t>MM/GBSA Calculations</w:t>
      </w:r>
    </w:p>
    <w:p w14:paraId="273046E2" w14:textId="6D05369D" w:rsidR="009D375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For each replicate trajectory, MM/GBSA-style binding-energy components were computed from solute-only snapshots of the explicit-solvent simulations.</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{"citationID":"wtMETtvS","properties":{"unsorted":false,"formattedCitation":"\\super 42\\nosupersub{}","plainCitation":"42","noteIndex":0},"citationItems":[{"id":246,"uris":["http://zotero.org/users/19404620/items/PXXKNW8K"],"itemData":{"id":246,"type":"article-journal","abstract":"Significant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analysis used the same molecular-mechanics parameters as the production simulations. We evaluated complex, receptor, and ligand energies separately, and computed binding components as </w:t>
      </w:r>
    </w:p>
    <w:p w14:paraId="08A9D11D" w14:textId="75C7E96D" w:rsidR="009D3750" w:rsidRPr="004100CF" w:rsidRDefault="004260F0" w:rsidP="009D3750">
      <w:pPr>
        <w:spacing w:after="240"/>
        <w:jc w:val="center"/>
        <w:rPr>
          <w:rFonts w:ascii="Times New Roman" w:hAnsi="Times New Roman" w:cs="Times New Roman"/>
          <w:szCs w:val="24"/>
        </w:rPr>
      </w:pPr>
      <w:r w:rsidRPr="004100CF">
        <w:rPr>
          <w:rFonts w:ascii="Times New Roman" w:hAnsi="Times New Roman" w:cs="Times New Roman"/>
          <w:szCs w:val="24"/>
        </w:rPr>
        <w:t>∆E = E</w:t>
      </w:r>
      <w:r w:rsidRPr="004100CF">
        <w:rPr>
          <w:rFonts w:ascii="Times New Roman" w:hAnsi="Times New Roman" w:cs="Times New Roman"/>
          <w:szCs w:val="24"/>
          <w:vertAlign w:val="subscript"/>
        </w:rPr>
        <w:t>complex</w:t>
      </w:r>
      <w:r w:rsidRPr="004100CF">
        <w:rPr>
          <w:rFonts w:ascii="Times New Roman" w:hAnsi="Times New Roman" w:cs="Times New Roman"/>
          <w:szCs w:val="24"/>
        </w:rPr>
        <w:t xml:space="preserve"> − E</w:t>
      </w:r>
      <w:r w:rsidRPr="004100CF">
        <w:rPr>
          <w:rFonts w:ascii="Times New Roman" w:hAnsi="Times New Roman" w:cs="Times New Roman"/>
          <w:szCs w:val="24"/>
          <w:vertAlign w:val="subscript"/>
        </w:rPr>
        <w:t>receptor</w:t>
      </w:r>
      <w:r w:rsidRPr="004100CF">
        <w:rPr>
          <w:rFonts w:ascii="Times New Roman" w:hAnsi="Times New Roman" w:cs="Times New Roman"/>
          <w:szCs w:val="24"/>
        </w:rPr>
        <w:t xml:space="preserve"> − E</w:t>
      </w:r>
      <w:r w:rsidRPr="004100CF">
        <w:rPr>
          <w:rFonts w:ascii="Times New Roman" w:hAnsi="Times New Roman" w:cs="Times New Roman"/>
          <w:szCs w:val="24"/>
          <w:vertAlign w:val="subscript"/>
        </w:rPr>
        <w:t>ligand</w:t>
      </w:r>
      <w:r w:rsidRPr="004100CF">
        <w:rPr>
          <w:rFonts w:ascii="Times New Roman" w:hAnsi="Times New Roman" w:cs="Times New Roman"/>
          <w:szCs w:val="24"/>
        </w:rPr>
        <w:t>.</w:t>
      </w:r>
    </w:p>
    <w:p w14:paraId="21719071" w14:textId="36AE1D6B" w:rsidR="00904E1B"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Van der Waals and electrostatic molecular-mechanics terms were evaluated separately by selectively zeroing the complementary nonbonded parameters. Polar solvation was computed with the Onufriev-Bashford-Case generalized Born model,</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{"citationID":"zMKShQIN","properties":{"unsorted":false,"formattedCitation":"\\super 43\\nosupersub{}","plainCitation":"43","noteIndex":0},"citationItems":[{"id":248,"uris":["http://zotero.org/users/19404620/items/NR457Q7X"],"itemData":{"id":248,"type":"article-journal","abstract":"Implicit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43</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and the nonpolar surface-area term was computed from the GBSA surface-area contribution. </w:t>
      </w:r>
      <w:r w:rsidR="00BE1E8F" w:rsidRPr="004100CF">
        <w:rPr>
          <w:rFonts w:ascii="Times New Roman" w:hAnsi="Times New Roman" w:cs="Times New Roman"/>
          <w:szCs w:val="24"/>
        </w:rPr>
        <w:t xml:space="preserve">Each snapshot was energy-minimized for 100 iterations with all atoms free before energy evaluation, to relieve steric overlaps that would otherwise dominate the van der Waals term. Replicate means are reported from the final 20 saved frames of each trajectory, corresponding to approximately the final 10 ns. WT-referenced shifts were calculated as </w:t>
      </w:r>
    </w:p>
    <w:p w14:paraId="65F7A4DE" w14:textId="05DD1D48" w:rsidR="00904E1B" w:rsidRPr="004100CF" w:rsidRDefault="00BE1E8F" w:rsidP="00904E1B">
      <w:pPr>
        <w:spacing w:after="240"/>
        <w:jc w:val="center"/>
        <w:rPr>
          <w:rFonts w:ascii="Times New Roman" w:hAnsi="Times New Roman" w:cs="Times New Roman"/>
          <w:szCs w:val="24"/>
        </w:rPr>
      </w:pPr>
      <w:r w:rsidRPr="004100CF">
        <w:rPr>
          <w:rFonts w:ascii="Times New Roman" w:hAnsi="Times New Roman" w:cs="Times New Roman"/>
          <w:szCs w:val="24"/>
        </w:rPr>
        <w:t>∆∆E = ∆E</w:t>
      </w:r>
      <w:r w:rsidR="00904E1B" w:rsidRPr="004100CF">
        <w:rPr>
          <w:rFonts w:ascii="Times New Roman" w:hAnsi="Times New Roman" w:cs="Times New Roman"/>
          <w:szCs w:val="24"/>
          <w:vertAlign w:val="subscript"/>
        </w:rPr>
        <w:t>M</w:t>
      </w:r>
      <w:r w:rsidRPr="004100CF">
        <w:rPr>
          <w:rFonts w:ascii="Times New Roman" w:hAnsi="Times New Roman" w:cs="Times New Roman"/>
          <w:szCs w:val="24"/>
          <w:vertAlign w:val="subscript"/>
        </w:rPr>
        <w:t>ut</w:t>
      </w:r>
      <w:r w:rsidRPr="004100CF">
        <w:rPr>
          <w:rFonts w:ascii="Times New Roman" w:hAnsi="Times New Roman" w:cs="Times New Roman"/>
          <w:szCs w:val="24"/>
        </w:rPr>
        <w:t xml:space="preserve"> − </w:t>
      </w:r>
      <w:r w:rsidRPr="004100CF">
        <w:rPr>
          <w:rFonts w:ascii="Cambria Math" w:hAnsi="Cambria Math" w:cs="Cambria Math"/>
          <w:szCs w:val="24"/>
        </w:rPr>
        <w:t>⟨</w:t>
      </w:r>
      <w:r w:rsidRPr="004100CF">
        <w:rPr>
          <w:rFonts w:ascii="Times New Roman" w:hAnsi="Times New Roman" w:cs="Times New Roman"/>
          <w:szCs w:val="24"/>
        </w:rPr>
        <w:t>∆E</w:t>
      </w:r>
      <w:r w:rsidRPr="004100CF">
        <w:rPr>
          <w:rFonts w:ascii="Times New Roman" w:hAnsi="Times New Roman" w:cs="Times New Roman"/>
          <w:szCs w:val="24"/>
          <w:vertAlign w:val="subscript"/>
        </w:rPr>
        <w:t>WT</w:t>
      </w:r>
      <w:r w:rsidRPr="004100CF">
        <w:rPr>
          <w:rFonts w:ascii="Cambria Math" w:hAnsi="Cambria Math" w:cs="Cambria Math"/>
          <w:szCs w:val="24"/>
        </w:rPr>
        <w:t>⟩</w:t>
      </w:r>
      <w:r w:rsidRPr="004100CF">
        <w:rPr>
          <w:rFonts w:ascii="Times New Roman" w:hAnsi="Times New Roman" w:cs="Times New Roman"/>
          <w:szCs w:val="24"/>
        </w:rPr>
        <w:t>,</w:t>
      </w:r>
    </w:p>
    <w:p w14:paraId="54CFC88D" w14:textId="1CBEFCDE" w:rsidR="004260F0" w:rsidRPr="004100CF" w:rsidRDefault="00BE1E8F" w:rsidP="004260F0">
      <w:pPr>
        <w:spacing w:after="240"/>
        <w:rPr>
          <w:rFonts w:ascii="Times New Roman" w:hAnsi="Times New Roman" w:cs="Times New Roman"/>
          <w:szCs w:val="24"/>
        </w:rPr>
      </w:pPr>
      <w:r w:rsidRPr="004100CF">
        <w:rPr>
          <w:rFonts w:ascii="Times New Roman" w:hAnsi="Times New Roman" w:cs="Times New Roman"/>
          <w:szCs w:val="24"/>
        </w:rPr>
        <w:t>referencing each mutant replicate to the mean of the three WT replicates, for total MM/GBSA energy and for van der Waals, electrostatic, GB polar-solvation, and nonpolar surface-area components</w:t>
      </w:r>
    </w:p>
    <w:p w14:paraId="524CF9F3" w14:textId="68543F18" w:rsidR="004260F0" w:rsidRPr="004100CF" w:rsidRDefault="00E50017" w:rsidP="0006771E">
      <w:pPr>
        <w:rPr>
          <w:rFonts w:ascii="Times New Roman" w:hAnsi="Times New Roman" w:cs="Times New Roman"/>
          <w:b/>
          <w:bCs/>
          <w:u w:val="single"/>
        </w:rPr>
      </w:pPr>
      <w:r w:rsidRPr="004100CF">
        <w:rPr>
          <w:rFonts w:ascii="Times New Roman" w:hAnsi="Times New Roman" w:cs="Times New Roman"/>
          <w:b/>
          <w:bCs/>
          <w:u w:val="single"/>
        </w:rPr>
        <w:t>Free Energy Perturbation Calculations</w:t>
      </w:r>
    </w:p>
    <w:p w14:paraId="35275A55" w14:textId="77777777" w:rsidR="009D3750" w:rsidRPr="004100CF" w:rsidRDefault="00E50017" w:rsidP="00E50017">
      <w:pPr>
        <w:pStyle w:val="NormalWeb"/>
        <w:spacing w:before="0" w:beforeAutospacing="0"/>
      </w:pPr>
      <w:r w:rsidRPr="004100CF">
        <w:t xml:space="preserve">For each genotype, the change in DOR binding free energy was computed from a thermodynamic cycle in which the p66 substitution was introduced alchemically in both the DOR-bound and the ligand-free enzyme, </w:t>
      </w:r>
    </w:p>
    <w:p w14:paraId="2DFE78CE" w14:textId="166D31BC" w:rsidR="009D3750" w:rsidRPr="004100CF" w:rsidRDefault="00E50017" w:rsidP="009D3750">
      <w:pPr>
        <w:pStyle w:val="NormalWeb"/>
        <w:spacing w:before="0" w:beforeAutospacing="0"/>
        <w:jc w:val="center"/>
      </w:pPr>
      <w:r w:rsidRPr="004100CF">
        <w:t>∆∆G</w:t>
      </w:r>
      <w:r w:rsidR="00904E1B" w:rsidRPr="004100CF">
        <w:rPr>
          <w:vertAlign w:val="subscript"/>
        </w:rPr>
        <w:t>bind</w:t>
      </w:r>
      <w:r w:rsidRPr="004100CF">
        <w:t xml:space="preserve"> = ∆G</w:t>
      </w:r>
      <w:r w:rsidRPr="004100CF">
        <w:rPr>
          <w:vertAlign w:val="subscript"/>
        </w:rPr>
        <w:t>holo</w:t>
      </w:r>
      <w:r w:rsidRPr="004100CF">
        <w:t xml:space="preserve"> − ∆G</w:t>
      </w:r>
      <w:r w:rsidRPr="004100CF">
        <w:rPr>
          <w:vertAlign w:val="subscript"/>
        </w:rPr>
        <w:t>apo</w:t>
      </w:r>
      <w:r w:rsidRPr="004100CF">
        <w:t>,</w:t>
      </w:r>
    </w:p>
    <w:p w14:paraId="229E5BC5" w14:textId="7BD02D1F" w:rsidR="00E50017" w:rsidRPr="004100CF" w:rsidRDefault="00E50017" w:rsidP="00E50017">
      <w:pPr>
        <w:pStyle w:val="NormalWeb"/>
        <w:spacing w:before="0" w:beforeAutospacing="0"/>
      </w:pPr>
      <w:r w:rsidRPr="004100CF">
        <w:t>so that positive values correspond to weaker DOR binding. Multipl</w:t>
      </w:r>
      <w:r w:rsidR="009D3750" w:rsidRPr="004100CF">
        <w:t>e</w:t>
      </w:r>
      <w:r w:rsidRPr="004100CF">
        <w:t xml:space="preserve"> substituted genotypes were decomposed into sequential single-residue legs (e.g. WT→K103N, then K103N→K103N+M230L), whose values were summed and standard errors combined in quadrature. Wild-type and mutant end states were connected by pmx hybrid residues,</w:t>
      </w:r>
      <w:r w:rsidR="007842CF" w:rsidRPr="004100CF">
        <w:fldChar w:fldCharType="begin"/>
      </w:r>
      <w:r w:rsidR="00E032F1" w:rsidRPr="004100CF">
        <w:instrText xml:space="preserve"> ADDIN ZOTERO_ITEM CSL_CITATION {"citationID":"38VucYMR","properties":{"unsorted":false,"formattedCitation":"\\super 44\\nosupersub{}","plainCitation":"44","noteIndex":0},"citationItems":[{"id":273,"uris":["http://zotero.org/users/19404620/items/P4QQPRMC"],"itemData":{"id":273,"type":"article-journal","abstract":"Computational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 2014 The Authors Journal of Computational Chemistry Published by Wiley Periodicals, Inc.","container-title":"Journal of Computational Chemistry","DOI":"10.1002/jcc.23804","ISSN":"1096-987X","issue":"5","language":"en","license":"©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rsidR="007842CF" w:rsidRPr="004100CF">
        <w:fldChar w:fldCharType="separate"/>
      </w:r>
      <w:r w:rsidR="00E032F1" w:rsidRPr="004100CF">
        <w:rPr>
          <w:vertAlign w:val="superscript"/>
        </w:rPr>
        <w:t>44</w:t>
      </w:r>
      <w:r w:rsidR="007842CF" w:rsidRPr="004100CF">
        <w:fldChar w:fldCharType="end"/>
      </w:r>
      <w:r w:rsidRPr="004100CF">
        <w:t xml:space="preserve"> which share a common backbone and carry dummy atoms only where the two side chains differ, built with the amber14sbmut mutation force field to match the ff14SB parameters used for MD; DOR parameters were carried over from the same OpenFF 2.0.0 assignment and exported to GROMACS format through OpenFF Interchange. Hybrid systems were built in GROMACS 2023.1,</w:t>
      </w:r>
      <w:r w:rsidR="007842CF" w:rsidRPr="004100CF">
        <w:fldChar w:fldCharType="begin"/>
      </w:r>
      <w:r w:rsidR="00E032F1" w:rsidRPr="004100CF">
        <w:instrText xml:space="preserve"> ADDIN ZOTERO_ITEM CSL_CITATION {"citationID":"BLHWYYFl","properties":{"unsorted":false,"formattedCitation":"\\super 45\\nosupersub{}","plainCitation":"45","noteIndex":0},"citationItems":[{"id":276,"uris":["http://zotero.org/users/19404620/items/TBLRHTLF"],"itemData":{"id":276,"type":"article-journal","abstract":"GROMACS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C."},{"family":"Hess","given":"Berk"},{"family":"Lindahl","given":"Erik"}],"issued":{"date-parts":[["2015",9,1]]}}}],"schema":"https://github.com/citation-style-language/schema/raw/master/csl-citation.json"} </w:instrText>
      </w:r>
      <w:r w:rsidR="007842CF" w:rsidRPr="004100CF">
        <w:fldChar w:fldCharType="separate"/>
      </w:r>
      <w:r w:rsidR="00E032F1" w:rsidRPr="004100CF">
        <w:rPr>
          <w:vertAlign w:val="superscript"/>
        </w:rPr>
        <w:t>45</w:t>
      </w:r>
      <w:r w:rsidR="007842CF" w:rsidRPr="004100CF">
        <w:fldChar w:fldCharType="end"/>
      </w:r>
      <w:r w:rsidRPr="004100CF">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rsidR="00100DCA" w:rsidRPr="004100CF">
        <w:fldChar w:fldCharType="begin"/>
      </w:r>
      <w:r w:rsidR="00E032F1" w:rsidRPr="004100CF">
        <w:instrText xml:space="preserve"> ADDIN ZOTERO_ITEM CSL_CITATION {"citationID":"1FfJh2e5","properties":{"unsorted":false,"formattedCitation":"\\super 46\\nosupersub{}","plainCitation":"46","noteIndex":0},"citationItems":[{"id":278,"uris":["http://zotero.org/users/19404620/items/2KSP6TK6"],"itemData":{"id":278,"type":"article-journal","abstract":"The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rsidR="00100DCA" w:rsidRPr="004100CF">
        <w:fldChar w:fldCharType="separate"/>
      </w:r>
      <w:r w:rsidR="00E032F1" w:rsidRPr="004100CF">
        <w:rPr>
          <w:vertAlign w:val="superscript"/>
        </w:rPr>
        <w:t>46</w:t>
      </w:r>
      <w:r w:rsidR="00100DCA" w:rsidRPr="004100CF">
        <w:fldChar w:fldCharType="end"/>
      </w:r>
      <w:r w:rsidRPr="004100CF">
        <w:t xml:space="preserve"> Each replicate was seeded from the corresponding equilibrated MD starting structure.</w:t>
      </w:r>
    </w:p>
    <w:p w14:paraId="154D9409" w14:textId="5DF32138" w:rsidR="0006771E" w:rsidRPr="004100CF" w:rsidRDefault="007E05DC">
      <w:pPr>
        <w:rPr>
          <w:rFonts w:ascii="Times New Roman" w:hAnsi="Times New Roman" w:cs="Times New Roman"/>
        </w:rPr>
      </w:pPr>
      <w:r w:rsidRPr="004100CF">
        <w:rPr>
          <w:rFonts w:ascii="Times New Roman" w:hAnsi="Times New Roman" w:cs="Times New Roman"/>
        </w:rPr>
        <w:lastRenderedPageBreak/>
        <w:t>Non-equilibrium switching</w:t>
      </w:r>
      <w:r w:rsidRPr="004100CF">
        <w:rPr>
          <w:rFonts w:ascii="Times New Roman" w:hAnsi="Times New Roman" w:cs="Times New Roman"/>
        </w:rPr>
        <w:fldChar w:fldCharType="begin"/>
      </w:r>
      <w:r w:rsidRPr="004100CF">
        <w:rPr>
          <w:rFonts w:ascii="Times New Roman" w:hAnsi="Times New Roman" w:cs="Times New Roman"/>
        </w:rPr>
        <w:instrText xml:space="preserve"> ADDIN ZOTERO_ITEM CSL_CITATION {"citationID":"sRqAcJeQ","properties":{"unsorted":false,"formattedCitation":"\\super 47,48\\nosupersub{}","plainCitation":"47,48","noteIndex":0},"citationItems":[{"id":280,"uris":["http://zotero.org/users/19404620/items/B29ZBTET"],"itemData":{"id":280,"type":"article-journal","abstract":"An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Pr="004100CF">
        <w:rPr>
          <w:rFonts w:ascii="Times New Roman" w:hAnsi="Times New Roman" w:cs="Times New Roman"/>
        </w:rPr>
        <w:fldChar w:fldCharType="separate"/>
      </w:r>
      <w:r w:rsidRPr="004100CF">
        <w:rPr>
          <w:rFonts w:ascii="Times New Roman" w:hAnsi="Times New Roman" w:cs="Times New Roman"/>
          <w:vertAlign w:val="superscript"/>
        </w:rPr>
        <w:t>47,48</w:t>
      </w:r>
      <w:r w:rsidRPr="004100CF">
        <w:rPr>
          <w:rFonts w:ascii="Times New Roman" w:hAnsi="Times New Roman" w:cs="Times New Roman"/>
        </w:rPr>
        <w:fldChar w:fldCharType="end"/>
      </w:r>
      <w:r w:rsidRPr="004100CF">
        <w:rPr>
          <w:rFonts w:ascii="Times New Roman" w:hAnsi="Times New Roman" w:cs="Times New Roman"/>
        </w:rPr>
        <w:t xml:space="preserve"> requires sampling only at the two physical end states. Each end state (λ = 0, wild type; λ = 1, mutant) was minimized with the free-energy Hamiltonian active at that λ so that dummy atoms relax, warmed for 500 ps under a C-rescale barostat,</w:t>
      </w:r>
      <w:r w:rsidRPr="004100CF">
        <w:rPr>
          <w:rFonts w:ascii="Times New Roman" w:hAnsi="Times New Roman" w:cs="Times New Roman"/>
        </w:rPr>
        <w:fldChar w:fldCharType="begin"/>
      </w:r>
      <w:r w:rsidRPr="004100CF">
        <w:rPr>
          <w:rFonts w:ascii="Times New Roman" w:hAnsi="Times New Roman" w:cs="Times New Roman"/>
        </w:rPr>
        <w:instrText xml:space="preserve"> ADDIN ZOTERO_ITEM CSL_CITATION {"citationID":"g1dxHzMV","properties":{"unsorted":false,"formattedCitation":"\\super 49\\nosupersub{}","plainCitation":"49","noteIndex":0},"citationItems":[{"id":286,"uris":["http://zotero.org/users/19404620/items/KHLJJE3I"],"itemData":{"id":286,"type":"article-journal","abstract":"Molecular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rsidRPr="004100CF">
        <w:rPr>
          <w:rFonts w:ascii="Times New Roman" w:hAnsi="Times New Roman" w:cs="Times New Roman"/>
        </w:rPr>
        <w:fldChar w:fldCharType="separate"/>
      </w:r>
      <w:r w:rsidRPr="004100CF">
        <w:rPr>
          <w:rFonts w:ascii="Times New Roman" w:hAnsi="Times New Roman" w:cs="Times New Roman"/>
          <w:vertAlign w:val="superscript"/>
        </w:rPr>
        <w:t>49</w:t>
      </w:r>
      <w:r w:rsidRPr="004100CF">
        <w:rPr>
          <w:rFonts w:ascii="Times New Roman" w:hAnsi="Times New Roman" w:cs="Times New Roman"/>
        </w:rPr>
        <w:fldChar w:fldCharType="end"/>
      </w:r>
      <w:r w:rsidRPr="004100CF">
        <w:rPr>
          <w:rFonts w:ascii="Times New Roman" w:hAnsi="Times New Roman" w:cs="Times New Roman"/>
        </w:rPr>
        <w:t xml:space="preserve"> and then sampled for 5 ns at 300 K and 1 bar with velocity-rescaling temperature coupling and a Parrinello-Rahman barostat.</w:t>
      </w:r>
    </w:p>
    <w:p w14:paraId="500F3A1F" w14:textId="26F30E17" w:rsidR="000E15E2" w:rsidRPr="004100CF" w:rsidRDefault="004917E3" w:rsidP="004917E3">
      <w:pPr>
        <w:spacing w:after="240"/>
        <w:rPr>
          <w:rFonts w:ascii="Times New Roman" w:hAnsi="Times New Roman" w:cs="Times New Roman"/>
          <w:sz w:val="22"/>
          <w:szCs w:val="22"/>
        </w:rPr>
      </w:pPr>
      <w:r w:rsidRPr="004100CF">
        <w:rPr>
          <w:rFonts w:ascii="Times New Roman" w:hAnsi="Times New Roman" w:cs="Times New Roman"/>
          <w:b/>
          <w:bCs/>
          <w:noProof/>
          <w:sz w:val="22"/>
          <w:szCs w:val="22"/>
        </w:rPr>
        <w:drawing>
          <wp:inline distT="0" distB="0" distL="0" distR="0" wp14:anchorId="1EAD4FF4" wp14:editId="2251E734">
            <wp:extent cx="5943600" cy="6109335"/>
            <wp:effectExtent l="0" t="0" r="0" b="0"/>
            <wp:docPr id="1309979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9249" name="Picture 13099792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r w:rsidRPr="004100CF">
        <w:rPr>
          <w:rFonts w:ascii="Times New Roman" w:hAnsi="Times New Roman" w:cs="Times New Roman"/>
          <w:b/>
          <w:bCs/>
          <w:sz w:val="22"/>
          <w:szCs w:val="22"/>
        </w:rPr>
        <w:t>Figure 1: Crystal structure of DOR bound to WT RT (PDB ID: 4NCG).</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(A)</w:t>
      </w:r>
      <w:r w:rsidRPr="004100CF">
        <w:rPr>
          <w:rFonts w:ascii="Times New Roman" w:hAnsi="Times New Roman" w:cs="Times New Roman"/>
          <w:sz w:val="22"/>
          <w:szCs w:val="22"/>
        </w:rPr>
        <w:t xml:space="preserve"> Annotated structure of WT RT in complex with DOR simulated in this work. The NNIBP including DOR is highlighted in a light gray oval. </w:t>
      </w:r>
      <w:r w:rsidRPr="004100CF">
        <w:rPr>
          <w:rFonts w:ascii="Times New Roman" w:hAnsi="Times New Roman" w:cs="Times New Roman"/>
          <w:b/>
          <w:bCs/>
          <w:sz w:val="22"/>
          <w:szCs w:val="22"/>
        </w:rPr>
        <w:t xml:space="preserve">(B) </w:t>
      </w:r>
      <w:r w:rsidRPr="004100CF">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Pr="004100CF">
        <w:rPr>
          <w:rFonts w:ascii="Times New Roman" w:hAnsi="Times New Roman" w:cs="Times New Roman"/>
          <w:b/>
          <w:bCs/>
          <w:sz w:val="22"/>
          <w:szCs w:val="22"/>
        </w:rPr>
        <w:t>(C)</w:t>
      </w:r>
      <w:r w:rsidRPr="004100CF">
        <w:rPr>
          <w:rFonts w:ascii="Times New Roman" w:hAnsi="Times New Roman" w:cs="Times New Roman"/>
          <w:i/>
          <w:iCs/>
          <w:sz w:val="22"/>
          <w:szCs w:val="22"/>
        </w:rPr>
        <w:t xml:space="preserve"> </w:t>
      </w:r>
      <w:r w:rsidRPr="004100CF">
        <w:rPr>
          <w:rFonts w:ascii="Times New Roman" w:hAnsi="Times New Roman" w:cs="Times New Roman"/>
          <w:sz w:val="22"/>
          <w:szCs w:val="22"/>
        </w:rPr>
        <w:t>Minimum heavy atom distances between DOR (yellow) and eight key NNIBP residues (pink).</w:t>
      </w:r>
    </w:p>
    <w:p w14:paraId="5AF0D3FE" w14:textId="5761C39A" w:rsidR="007E05DC" w:rsidRPr="004100CF" w:rsidRDefault="007E05DC" w:rsidP="007E05DC">
      <w:pPr>
        <w:pStyle w:val="NormalWeb"/>
      </w:pPr>
      <w:r w:rsidRPr="004100CF">
        <w:lastRenderedPageBreak/>
        <w:t>From each end-state trajectory, 100 evenly spaced frames were extracted after discarding the first 100 ps; each seeded an independent simulation in which λ was driven linearly to the opposite end state, giving 100 forward and 100 reverse work values per phase per replicate. Switching times were 100 ps, or 500 ps for legs with widely separated forward and reverse work distributions (e.g. charge-changing WT→K103N leg inherited by the K103N-containing genotypes); control runs on neutral legs gave ∆G values invariant to switching time. Free energies were estimated with the Bennett acceptance ratio</w:t>
      </w:r>
      <w:r w:rsidRPr="004100CF">
        <w:fldChar w:fldCharType="begin"/>
      </w:r>
      <w:r w:rsidRPr="004100CF">
        <w:instrText xml:space="preserve"> ADDIN ZOTERO_ITEM CSL_CITATION {"citationID":"xyDqDfup","properties":{"unsorted":false,"formattedCitation":"\\super 50\\nosupersub{}","plainCitation":"50","noteIndex":0},"citationItems":[{"id":289,"uris":["http://zotero.org/users/19404620/items/DLL2VZVI"],"itemData":{"id":289,"type":"article-journal","abstract":"Near-optimal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rsidRPr="004100CF">
        <w:fldChar w:fldCharType="separate"/>
      </w:r>
      <w:r w:rsidRPr="004100CF">
        <w:rPr>
          <w:vertAlign w:val="superscript"/>
        </w:rPr>
        <w:t>50</w:t>
      </w:r>
      <w:r w:rsidRPr="004100CF">
        <w:fldChar w:fldCharType="end"/>
      </w:r>
      <w:r w:rsidRPr="004100CF">
        <w:t xml:space="preserve"> as implemented in pmx (100 bootstrap resamples, 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WT→G190E), we employed an analytical finite-size periodicity correction post hoc;</w:t>
      </w:r>
      <w:r w:rsidRPr="004100CF">
        <w:fldChar w:fldCharType="begin"/>
      </w:r>
      <w:r w:rsidRPr="004100CF">
        <w:instrText xml:space="preserve"> ADDIN ZOTERO_ITEM CSL_CITATION {"citationID":"32E8oipi","properties":{"unsorted":false,"formattedCitation":"\\super 51\\nosupersub{}","plainCitation":"51","noteIndex":0},"citationItems":[{"id":291,"uris":["http://zotero.org/users/19404620/items/AM8GLI8P"],"itemData":{"id":291,"type":"article-journal","abstract":"The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A."},{"family":"Hünenberger","given":"Philippe H."}],"issued":{"date-parts":[["2013",11,8]]}}}],"schema":"https://github.com/citation-style-language/schema/raw/master/csl-citation.json"} </w:instrText>
      </w:r>
      <w:r w:rsidRPr="004100CF">
        <w:fldChar w:fldCharType="separate"/>
      </w:r>
      <w:r w:rsidRPr="004100CF">
        <w:rPr>
          <w:vertAlign w:val="superscript"/>
        </w:rPr>
        <w:t>51</w:t>
      </w:r>
      <w:r w:rsidRPr="004100CF">
        <w:fldChar w:fldCharType="end"/>
      </w:r>
      <w:r w:rsidRPr="004100CF">
        <w:t xml:space="preserve"> because </w:t>
      </w:r>
      <w:r w:rsidRPr="004100CF">
        <w:rPr>
          <w:i/>
          <w:iCs/>
        </w:rPr>
        <w:t>holo</w:t>
      </w:r>
      <w:r w:rsidRPr="004100CF">
        <w:t xml:space="preserve"> and </w:t>
      </w:r>
      <w:r w:rsidRPr="004100CF">
        <w:rPr>
          <w:i/>
          <w:iCs/>
        </w:rPr>
        <w:t>apo</w:t>
      </w:r>
      <w:r w:rsidRPr="004100CF">
        <w:t xml:space="preserve"> box volumes differ by less than 1%, this correction cancels to below 10⁻³ kcal/mol in ∆∆G.</w:t>
      </w:r>
    </w:p>
    <w:p w14:paraId="6CB859D3" w14:textId="137B854A" w:rsidR="000E15E2" w:rsidRPr="00C06CDC" w:rsidRDefault="00831C83" w:rsidP="00C06CDC">
      <w:pPr>
        <w:spacing w:after="240"/>
        <w:rPr>
          <w:rFonts w:ascii="Times New Roman" w:hAnsi="Times New Roman" w:cs="Times New Roman"/>
          <w:b/>
          <w:bCs/>
          <w:sz w:val="28"/>
          <w:szCs w:val="22"/>
        </w:rPr>
      </w:pPr>
      <w:r w:rsidRPr="004100CF">
        <w:rPr>
          <w:rFonts w:ascii="Times New Roman" w:hAnsi="Times New Roman" w:cs="Times New Roman"/>
          <w:b/>
          <w:bCs/>
          <w:sz w:val="28"/>
          <w:szCs w:val="22"/>
        </w:rPr>
        <w:t>Results</w:t>
      </w:r>
    </w:p>
    <w:p w14:paraId="3BCD8929" w14:textId="083A566B" w:rsidR="00BA0839" w:rsidRPr="004100CF" w:rsidRDefault="00BA0839" w:rsidP="00BA0839">
      <w:pPr>
        <w:rPr>
          <w:rFonts w:ascii="Times New Roman" w:hAnsi="Times New Roman" w:cs="Times New Roman"/>
          <w:b/>
          <w:bCs/>
          <w:szCs w:val="24"/>
          <w:u w:val="single"/>
        </w:rPr>
      </w:pPr>
      <w:r w:rsidRPr="004100CF">
        <w:rPr>
          <w:rFonts w:ascii="Times New Roman" w:hAnsi="Times New Roman" w:cs="Times New Roman"/>
          <w:b/>
          <w:bCs/>
          <w:szCs w:val="24"/>
          <w:u w:val="single"/>
        </w:rPr>
        <w:t xml:space="preserve">DOR </w:t>
      </w:r>
      <w:r w:rsidR="008D0E12" w:rsidRPr="004100CF">
        <w:rPr>
          <w:rFonts w:ascii="Times New Roman" w:hAnsi="Times New Roman" w:cs="Times New Roman"/>
          <w:b/>
          <w:bCs/>
          <w:szCs w:val="24"/>
          <w:u w:val="single"/>
        </w:rPr>
        <w:t>p</w:t>
      </w:r>
      <w:r w:rsidRPr="004100CF">
        <w:rPr>
          <w:rFonts w:ascii="Times New Roman" w:hAnsi="Times New Roman" w:cs="Times New Roman"/>
          <w:b/>
          <w:bCs/>
          <w:szCs w:val="24"/>
          <w:u w:val="single"/>
        </w:rPr>
        <w:t>henotypic susceptibility landscape</w:t>
      </w:r>
    </w:p>
    <w:p w14:paraId="5713CBC0" w14:textId="77777777" w:rsidR="00BA0839" w:rsidRPr="004100CF" w:rsidRDefault="00BA0839" w:rsidP="00BA0839">
      <w:pPr>
        <w:spacing w:after="240"/>
        <w:rPr>
          <w:rFonts w:ascii="Times New Roman" w:hAnsi="Times New Roman" w:cs="Times New Roman"/>
          <w:szCs w:val="24"/>
        </w:rPr>
      </w:pPr>
      <w:r w:rsidRPr="004100CF">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7C6722"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Susceptible phenotype</w:t>
      </w:r>
      <w:r w:rsidRPr="004100CF">
        <w:rPr>
          <w:rFonts w:ascii="Times New Roman" w:hAnsi="Times New Roman" w:cs="Times New Roman"/>
          <w:szCs w:val="24"/>
        </w:rPr>
        <w:t xml:space="preserve">: well-established low-impact control mutations associated with little, if any, reduction in DOR susceptibility. These include K103N, V106I, Y181C, and G190A. </w:t>
      </w:r>
    </w:p>
    <w:p w14:paraId="188D49C9"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Resistant phenotype</w:t>
      </w:r>
      <w:r w:rsidRPr="004100CF">
        <w:rPr>
          <w:rFonts w:ascii="Times New Roman" w:hAnsi="Times New Roman" w:cs="Times New Roman"/>
          <w:szCs w:val="24"/>
        </w:rPr>
        <w:t>: canonical DOR-associated resistance mutations and mutation patterns, consistently associated with reduced susceptibility. These were chosen to be K103N+M230L, V106A, Y188L, Y318F, A98G+F227C, V106A+F227L, V106A+L234I, V106A+P225H, and V106I+F227C.</w:t>
      </w:r>
    </w:p>
    <w:p w14:paraId="7F5473F7"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Uncertain phenotype</w:t>
      </w:r>
      <w:r w:rsidRPr="004100CF">
        <w:rPr>
          <w:rFonts w:ascii="Times New Roman" w:hAnsi="Times New Roman" w:cs="Times New Roman"/>
          <w:szCs w:val="24"/>
        </w:rPr>
        <w:t xml:space="preserve">: mutations and mutation patterns associated with limited or inconsistent reductions in susceptibility. These were K103N+L100I, K103N+P225H, V106M, G190E, and G190S. </w:t>
      </w:r>
    </w:p>
    <w:p w14:paraId="65F1C3AA" w14:textId="77777777" w:rsidR="00BA0839" w:rsidRPr="004100CF" w:rsidRDefault="00BA0839" w:rsidP="00BA0839">
      <w:pPr>
        <w:spacing w:before="240" w:after="240"/>
        <w:rPr>
          <w:rFonts w:ascii="Times New Roman" w:hAnsi="Times New Roman" w:cs="Times New Roman"/>
          <w:szCs w:val="24"/>
        </w:rPr>
      </w:pPr>
      <w:r w:rsidRPr="004100CF">
        <w:rPr>
          <w:rFonts w:ascii="Times New Roman" w:hAnsi="Times New Roman" w:cs="Times New Roman"/>
          <w:szCs w:val="24"/>
        </w:rPr>
        <w:t>Table 1 summarizes the median fold-change in DOR susceptibility used to define the panel and Supplementary Table 1 traces the isolate-level data indexed in the Stanford HIVDB (</w:t>
      </w:r>
      <w:hyperlink r:id="rId12" w:history="1">
        <w:r w:rsidRPr="004100CF">
          <w:rPr>
            <w:rStyle w:val="Hyperlink"/>
            <w:rFonts w:ascii="Times New Roman" w:hAnsi="Times New Roman" w:cs="Times New Roman"/>
            <w:szCs w:val="24"/>
          </w:rPr>
          <w:t>https://hivdb.stanford.edu/</w:t>
        </w:r>
      </w:hyperlink>
      <w:r w:rsidRPr="004100CF">
        <w:rPr>
          <w:rFonts w:ascii="Times New Roman" w:hAnsi="Times New Roman" w:cs="Times New Roman"/>
          <w:szCs w:val="24"/>
        </w:rPr>
        <w:t xml:space="preserve">). These susceptibility data were derived from assays performed using the Monogram PhenoSense assay and the relatively similar Merck reporter-gene assay. Isolates undergoing testing were either site-directed mutants or clinical isolates for which known NNRTI-resistance mutations were specified.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BA0839" w:rsidRPr="004100CF" w14:paraId="2E223622" w14:textId="77777777" w:rsidTr="005A06D4">
        <w:trPr>
          <w:trHeight w:val="260"/>
        </w:trPr>
        <w:tc>
          <w:tcPr>
            <w:tcW w:w="9558" w:type="dxa"/>
            <w:gridSpan w:val="6"/>
            <w:tcBorders>
              <w:bottom w:val="single" w:sz="4" w:space="0" w:color="auto"/>
            </w:tcBorders>
          </w:tcPr>
          <w:p w14:paraId="06EC310B" w14:textId="77777777" w:rsidR="00BA0839" w:rsidRPr="004100CF" w:rsidRDefault="00BA0839" w:rsidP="005A06D4">
            <w:pPr>
              <w:rPr>
                <w:rFonts w:ascii="Times New Roman" w:hAnsi="Times New Roman" w:cs="Times New Roman"/>
                <w:b/>
                <w:bCs/>
                <w:color w:val="000000"/>
                <w:szCs w:val="24"/>
              </w:rPr>
            </w:pPr>
            <w:r w:rsidRPr="004100CF">
              <w:rPr>
                <w:rFonts w:ascii="Times New Roman" w:hAnsi="Times New Roman" w:cs="Times New Roman"/>
                <w:b/>
                <w:bCs/>
                <w:color w:val="000000"/>
                <w:szCs w:val="24"/>
              </w:rPr>
              <w:t>Table 1. Fold-change in DOR susceptibility associated with selected genotypes</w:t>
            </w:r>
          </w:p>
        </w:tc>
      </w:tr>
      <w:tr w:rsidR="00BA0839" w:rsidRPr="004100CF" w14:paraId="11E8D943" w14:textId="77777777" w:rsidTr="005A06D4">
        <w:trPr>
          <w:trHeight w:val="539"/>
        </w:trPr>
        <w:tc>
          <w:tcPr>
            <w:tcW w:w="1206" w:type="dxa"/>
            <w:tcBorders>
              <w:top w:val="single" w:sz="4" w:space="0" w:color="auto"/>
              <w:bottom w:val="single" w:sz="4" w:space="0" w:color="auto"/>
            </w:tcBorders>
            <w:hideMark/>
          </w:tcPr>
          <w:p w14:paraId="71838699"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Mutation category</w:t>
            </w:r>
          </w:p>
        </w:tc>
        <w:tc>
          <w:tcPr>
            <w:tcW w:w="1648" w:type="dxa"/>
            <w:tcBorders>
              <w:top w:val="single" w:sz="4" w:space="0" w:color="auto"/>
              <w:bottom w:val="single" w:sz="4" w:space="0" w:color="auto"/>
            </w:tcBorders>
            <w:hideMark/>
          </w:tcPr>
          <w:p w14:paraId="5DCF8A06" w14:textId="77777777" w:rsidR="00BA0839" w:rsidRPr="004100CF" w:rsidRDefault="00BA0839" w:rsidP="005A06D4">
            <w:pPr>
              <w:spacing w:line="480" w:lineRule="auto"/>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7DEEFE57"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54A03A9A"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Number of isolates</w:t>
            </w:r>
          </w:p>
        </w:tc>
        <w:tc>
          <w:tcPr>
            <w:tcW w:w="2151" w:type="dxa"/>
            <w:tcBorders>
              <w:top w:val="single" w:sz="4" w:space="0" w:color="auto"/>
              <w:bottom w:val="single" w:sz="4" w:space="0" w:color="auto"/>
            </w:tcBorders>
            <w:hideMark/>
          </w:tcPr>
          <w:p w14:paraId="21F50E79"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Raw fold-change values</w:t>
            </w:r>
          </w:p>
        </w:tc>
        <w:tc>
          <w:tcPr>
            <w:tcW w:w="2050" w:type="dxa"/>
            <w:tcBorders>
              <w:top w:val="single" w:sz="4" w:space="0" w:color="auto"/>
              <w:bottom w:val="single" w:sz="4" w:space="0" w:color="auto"/>
            </w:tcBorders>
            <w:hideMark/>
          </w:tcPr>
          <w:p w14:paraId="5138FA58"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Primary source studies</w:t>
            </w:r>
          </w:p>
        </w:tc>
      </w:tr>
      <w:tr w:rsidR="00BA0839" w:rsidRPr="004100CF" w14:paraId="444A1F00" w14:textId="77777777" w:rsidTr="005A06D4">
        <w:trPr>
          <w:trHeight w:val="340"/>
        </w:trPr>
        <w:tc>
          <w:tcPr>
            <w:tcW w:w="1206" w:type="dxa"/>
            <w:vMerge w:val="restart"/>
            <w:tcBorders>
              <w:top w:val="single" w:sz="4" w:space="0" w:color="auto"/>
            </w:tcBorders>
            <w:vAlign w:val="center"/>
            <w:hideMark/>
          </w:tcPr>
          <w:p w14:paraId="2CE3AA45"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Susceptible</w:t>
            </w:r>
          </w:p>
        </w:tc>
        <w:tc>
          <w:tcPr>
            <w:tcW w:w="1648" w:type="dxa"/>
            <w:tcBorders>
              <w:top w:val="single" w:sz="4" w:space="0" w:color="auto"/>
            </w:tcBorders>
            <w:hideMark/>
          </w:tcPr>
          <w:p w14:paraId="3507E51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V106I</w:t>
            </w:r>
          </w:p>
        </w:tc>
        <w:tc>
          <w:tcPr>
            <w:tcW w:w="1504" w:type="dxa"/>
            <w:tcBorders>
              <w:top w:val="single" w:sz="4" w:space="0" w:color="auto"/>
            </w:tcBorders>
            <w:hideMark/>
          </w:tcPr>
          <w:p w14:paraId="0AED97C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1.1</w:t>
            </w:r>
          </w:p>
        </w:tc>
        <w:tc>
          <w:tcPr>
            <w:tcW w:w="999" w:type="dxa"/>
            <w:tcBorders>
              <w:top w:val="single" w:sz="4" w:space="0" w:color="auto"/>
            </w:tcBorders>
            <w:hideMark/>
          </w:tcPr>
          <w:p w14:paraId="57E3712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2</w:t>
            </w:r>
          </w:p>
        </w:tc>
        <w:tc>
          <w:tcPr>
            <w:tcW w:w="2151" w:type="dxa"/>
            <w:tcBorders>
              <w:top w:val="single" w:sz="4" w:space="0" w:color="auto"/>
            </w:tcBorders>
            <w:hideMark/>
          </w:tcPr>
          <w:p w14:paraId="4B7894D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[0.8, 1.4]</w:t>
            </w:r>
          </w:p>
        </w:tc>
        <w:tc>
          <w:tcPr>
            <w:tcW w:w="2050" w:type="dxa"/>
            <w:tcBorders>
              <w:top w:val="single" w:sz="4" w:space="0" w:color="auto"/>
            </w:tcBorders>
            <w:hideMark/>
          </w:tcPr>
          <w:p w14:paraId="6BF22A3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45B018FF" w14:textId="77777777" w:rsidTr="005A06D4">
        <w:trPr>
          <w:trHeight w:val="340"/>
        </w:trPr>
        <w:tc>
          <w:tcPr>
            <w:tcW w:w="1206" w:type="dxa"/>
            <w:vMerge/>
            <w:hideMark/>
          </w:tcPr>
          <w:p w14:paraId="6A94247B"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5048689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w:t>
            </w:r>
          </w:p>
        </w:tc>
        <w:tc>
          <w:tcPr>
            <w:tcW w:w="1504" w:type="dxa"/>
            <w:hideMark/>
          </w:tcPr>
          <w:p w14:paraId="04E11D8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1.2</w:t>
            </w:r>
          </w:p>
        </w:tc>
        <w:tc>
          <w:tcPr>
            <w:tcW w:w="999" w:type="dxa"/>
            <w:hideMark/>
          </w:tcPr>
          <w:p w14:paraId="4B36B87B"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w:t>
            </w:r>
          </w:p>
        </w:tc>
        <w:tc>
          <w:tcPr>
            <w:tcW w:w="2151" w:type="dxa"/>
            <w:hideMark/>
          </w:tcPr>
          <w:p w14:paraId="0D502AD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[0.6, 1.2, 1.2, 1.3, 2.8, 3.0]</w:t>
            </w:r>
          </w:p>
        </w:tc>
        <w:tc>
          <w:tcPr>
            <w:tcW w:w="2050" w:type="dxa"/>
            <w:hideMark/>
          </w:tcPr>
          <w:p w14:paraId="5789348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364BFFB7" w14:textId="77777777" w:rsidTr="005A06D4">
        <w:trPr>
          <w:trHeight w:val="340"/>
        </w:trPr>
        <w:tc>
          <w:tcPr>
            <w:tcW w:w="1206" w:type="dxa"/>
            <w:vMerge/>
            <w:hideMark/>
          </w:tcPr>
          <w:p w14:paraId="0FBBCA34"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3248DF0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Y181C</w:t>
            </w:r>
          </w:p>
        </w:tc>
        <w:tc>
          <w:tcPr>
            <w:tcW w:w="1504" w:type="dxa"/>
            <w:hideMark/>
          </w:tcPr>
          <w:p w14:paraId="30A08A2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1.4</w:t>
            </w:r>
          </w:p>
        </w:tc>
        <w:tc>
          <w:tcPr>
            <w:tcW w:w="999" w:type="dxa"/>
            <w:hideMark/>
          </w:tcPr>
          <w:p w14:paraId="19E0AAA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4</w:t>
            </w:r>
          </w:p>
        </w:tc>
        <w:tc>
          <w:tcPr>
            <w:tcW w:w="2151" w:type="dxa"/>
            <w:hideMark/>
          </w:tcPr>
          <w:p w14:paraId="5AFF69C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[1.2, 1.3, 1.5, 6.0]</w:t>
            </w:r>
          </w:p>
        </w:tc>
        <w:tc>
          <w:tcPr>
            <w:tcW w:w="2050" w:type="dxa"/>
            <w:hideMark/>
          </w:tcPr>
          <w:p w14:paraId="138A28C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2EDC8A79" w14:textId="77777777" w:rsidTr="005A06D4">
        <w:trPr>
          <w:trHeight w:val="359"/>
        </w:trPr>
        <w:tc>
          <w:tcPr>
            <w:tcW w:w="1206" w:type="dxa"/>
            <w:vMerge/>
            <w:tcBorders>
              <w:bottom w:val="single" w:sz="4" w:space="0" w:color="auto"/>
            </w:tcBorders>
            <w:hideMark/>
          </w:tcPr>
          <w:p w14:paraId="1C9DCEA6" w14:textId="77777777" w:rsidR="00BA0839" w:rsidRPr="004100CF" w:rsidRDefault="00BA0839" w:rsidP="005A06D4">
            <w:pPr>
              <w:rPr>
                <w:rFonts w:ascii="Times New Roman" w:hAnsi="Times New Roman" w:cs="Times New Roman"/>
                <w:color w:val="000000"/>
                <w:sz w:val="22"/>
                <w:szCs w:val="22"/>
              </w:rPr>
            </w:pPr>
          </w:p>
        </w:tc>
        <w:tc>
          <w:tcPr>
            <w:tcW w:w="1648" w:type="dxa"/>
            <w:tcBorders>
              <w:bottom w:val="single" w:sz="4" w:space="0" w:color="auto"/>
            </w:tcBorders>
            <w:hideMark/>
          </w:tcPr>
          <w:p w14:paraId="6D0D6E8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G190A</w:t>
            </w:r>
          </w:p>
        </w:tc>
        <w:tc>
          <w:tcPr>
            <w:tcW w:w="1504" w:type="dxa"/>
            <w:tcBorders>
              <w:bottom w:val="single" w:sz="4" w:space="0" w:color="auto"/>
            </w:tcBorders>
            <w:hideMark/>
          </w:tcPr>
          <w:p w14:paraId="3755072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2.7</w:t>
            </w:r>
          </w:p>
        </w:tc>
        <w:tc>
          <w:tcPr>
            <w:tcW w:w="999" w:type="dxa"/>
            <w:tcBorders>
              <w:bottom w:val="single" w:sz="4" w:space="0" w:color="auto"/>
            </w:tcBorders>
            <w:hideMark/>
          </w:tcPr>
          <w:p w14:paraId="5401521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tcBorders>
              <w:bottom w:val="single" w:sz="4" w:space="0" w:color="auto"/>
            </w:tcBorders>
            <w:hideMark/>
          </w:tcPr>
          <w:p w14:paraId="51B7292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[1.8, 3.6]</w:t>
            </w:r>
          </w:p>
        </w:tc>
        <w:tc>
          <w:tcPr>
            <w:tcW w:w="2050" w:type="dxa"/>
            <w:tcBorders>
              <w:bottom w:val="single" w:sz="4" w:space="0" w:color="auto"/>
            </w:tcBorders>
            <w:hideMark/>
          </w:tcPr>
          <w:p w14:paraId="7AB28D1D" w14:textId="77777777" w:rsidR="00BA0839" w:rsidRPr="004100CF" w:rsidRDefault="00BA0839" w:rsidP="005A06D4">
            <w:pPr>
              <w:jc w:val="center"/>
              <w:rPr>
                <w:rFonts w:ascii="Times New Roman" w:hAnsi="Times New Roman" w:cs="Times New Roman"/>
                <w:color w:val="000000"/>
                <w:sz w:val="22"/>
                <w:szCs w:val="22"/>
              </w:rPr>
            </w:pPr>
            <w:bookmarkStart w:id="3" w:name="_Hlk230520854"/>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bookmarkEnd w:id="3"/>
          </w:p>
        </w:tc>
      </w:tr>
      <w:tr w:rsidR="00BA0839" w:rsidRPr="004100CF" w14:paraId="7593CF3D" w14:textId="77777777" w:rsidTr="005A06D4">
        <w:trPr>
          <w:trHeight w:val="340"/>
        </w:trPr>
        <w:tc>
          <w:tcPr>
            <w:tcW w:w="1206" w:type="dxa"/>
            <w:vMerge w:val="restart"/>
            <w:tcBorders>
              <w:top w:val="single" w:sz="4" w:space="0" w:color="auto"/>
            </w:tcBorders>
            <w:vAlign w:val="center"/>
            <w:hideMark/>
          </w:tcPr>
          <w:p w14:paraId="5DB8FDE0"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Resistant</w:t>
            </w:r>
          </w:p>
        </w:tc>
        <w:tc>
          <w:tcPr>
            <w:tcW w:w="1648" w:type="dxa"/>
            <w:tcBorders>
              <w:top w:val="single" w:sz="4" w:space="0" w:color="auto"/>
            </w:tcBorders>
            <w:hideMark/>
          </w:tcPr>
          <w:p w14:paraId="1CF063E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Y318F</w:t>
            </w:r>
          </w:p>
        </w:tc>
        <w:tc>
          <w:tcPr>
            <w:tcW w:w="1504" w:type="dxa"/>
            <w:tcBorders>
              <w:top w:val="single" w:sz="4" w:space="0" w:color="auto"/>
            </w:tcBorders>
            <w:hideMark/>
          </w:tcPr>
          <w:p w14:paraId="4D34589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11</w:t>
            </w:r>
          </w:p>
        </w:tc>
        <w:tc>
          <w:tcPr>
            <w:tcW w:w="999" w:type="dxa"/>
            <w:tcBorders>
              <w:top w:val="single" w:sz="4" w:space="0" w:color="auto"/>
            </w:tcBorders>
            <w:hideMark/>
          </w:tcPr>
          <w:p w14:paraId="6C38BA3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w:t>
            </w:r>
          </w:p>
        </w:tc>
        <w:tc>
          <w:tcPr>
            <w:tcW w:w="2151" w:type="dxa"/>
            <w:tcBorders>
              <w:top w:val="single" w:sz="4" w:space="0" w:color="auto"/>
            </w:tcBorders>
            <w:hideMark/>
          </w:tcPr>
          <w:p w14:paraId="574C53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61B04CC" w14:textId="209EE689"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Asante-Appiah et al (2021)</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{"citationID":"EX1gvYm7","properties":{"unsorted":false,"formattedCitation":"\\super 52\\nosupersub{}","plainCitation":"52","noteIndex":0},"citationItems":[{"id":131,"uris":["http://zotero.org/users/19404620/items/B8KKE9VH"],"itemData":{"id":131,"type":"article-journal","abstract":"Clinical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52</w:t>
            </w:r>
            <w:r w:rsidRPr="004100CF">
              <w:rPr>
                <w:rFonts w:ascii="Times New Roman" w:hAnsi="Times New Roman" w:cs="Times New Roman"/>
                <w:color w:val="000000"/>
                <w:sz w:val="22"/>
                <w:szCs w:val="22"/>
              </w:rPr>
              <w:fldChar w:fldCharType="end"/>
            </w:r>
          </w:p>
        </w:tc>
      </w:tr>
      <w:tr w:rsidR="00BA0839" w:rsidRPr="004100CF" w14:paraId="6B6C2A64" w14:textId="77777777" w:rsidTr="005A06D4">
        <w:trPr>
          <w:trHeight w:val="340"/>
        </w:trPr>
        <w:tc>
          <w:tcPr>
            <w:tcW w:w="1206" w:type="dxa"/>
            <w:vMerge/>
            <w:hideMark/>
          </w:tcPr>
          <w:p w14:paraId="42823BCA"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193C8C2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w:t>
            </w:r>
          </w:p>
        </w:tc>
        <w:tc>
          <w:tcPr>
            <w:tcW w:w="1504" w:type="dxa"/>
            <w:hideMark/>
          </w:tcPr>
          <w:p w14:paraId="42D8760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9.6</w:t>
            </w:r>
          </w:p>
        </w:tc>
        <w:tc>
          <w:tcPr>
            <w:tcW w:w="999" w:type="dxa"/>
            <w:hideMark/>
          </w:tcPr>
          <w:p w14:paraId="0533B7B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C1AC50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[7.1, 9.6, 28]</w:t>
            </w:r>
          </w:p>
        </w:tc>
        <w:tc>
          <w:tcPr>
            <w:tcW w:w="2050" w:type="dxa"/>
            <w:hideMark/>
          </w:tcPr>
          <w:p w14:paraId="1A05CBE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Feng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17</w:t>
            </w:r>
            <w:r w:rsidRPr="004100CF">
              <w:rPr>
                <w:rFonts w:ascii="Times New Roman" w:hAnsi="Times New Roman" w:cs="Times New Roman"/>
                <w:color w:val="000000"/>
                <w:sz w:val="22"/>
                <w:szCs w:val="22"/>
              </w:rPr>
              <w:fldChar w:fldCharType="end"/>
            </w:r>
          </w:p>
        </w:tc>
      </w:tr>
      <w:tr w:rsidR="00BA0839" w:rsidRPr="004100CF" w14:paraId="690257E9" w14:textId="77777777" w:rsidTr="005A06D4">
        <w:trPr>
          <w:trHeight w:val="340"/>
        </w:trPr>
        <w:tc>
          <w:tcPr>
            <w:tcW w:w="1206" w:type="dxa"/>
            <w:vMerge/>
            <w:hideMark/>
          </w:tcPr>
          <w:p w14:paraId="2FA3377D"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2394855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A98G+F227C</w:t>
            </w:r>
          </w:p>
        </w:tc>
        <w:tc>
          <w:tcPr>
            <w:tcW w:w="1504" w:type="dxa"/>
            <w:hideMark/>
          </w:tcPr>
          <w:p w14:paraId="13CB0BC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93</w:t>
            </w:r>
          </w:p>
        </w:tc>
        <w:tc>
          <w:tcPr>
            <w:tcW w:w="999" w:type="dxa"/>
            <w:hideMark/>
          </w:tcPr>
          <w:p w14:paraId="6F90AB1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1C004F4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[93]</w:t>
            </w:r>
          </w:p>
        </w:tc>
        <w:tc>
          <w:tcPr>
            <w:tcW w:w="2050" w:type="dxa"/>
            <w:hideMark/>
          </w:tcPr>
          <w:p w14:paraId="52ECFF13" w14:textId="7A3DE35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{"citationID":"A8Oinhsw","properties":{"unsorted":false,"formattedCitation":"\\super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7D604EA1" w14:textId="77777777" w:rsidTr="005A06D4">
        <w:trPr>
          <w:trHeight w:val="340"/>
        </w:trPr>
        <w:tc>
          <w:tcPr>
            <w:tcW w:w="1206" w:type="dxa"/>
            <w:vMerge/>
            <w:hideMark/>
          </w:tcPr>
          <w:p w14:paraId="19F387F3"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2EB323E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V106I+F227C</w:t>
            </w:r>
          </w:p>
        </w:tc>
        <w:tc>
          <w:tcPr>
            <w:tcW w:w="1504" w:type="dxa"/>
            <w:hideMark/>
          </w:tcPr>
          <w:p w14:paraId="29746E3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105</w:t>
            </w:r>
          </w:p>
        </w:tc>
        <w:tc>
          <w:tcPr>
            <w:tcW w:w="999" w:type="dxa"/>
            <w:hideMark/>
          </w:tcPr>
          <w:p w14:paraId="72B4268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0436723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[105]</w:t>
            </w:r>
          </w:p>
        </w:tc>
        <w:tc>
          <w:tcPr>
            <w:tcW w:w="2050" w:type="dxa"/>
            <w:hideMark/>
          </w:tcPr>
          <w:p w14:paraId="37C78C5B" w14:textId="0548187B"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{"citationID":"lcT7Ijjb","properties":{"unsorted":false,"formattedCitation":"\\super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4AEA0215" w14:textId="77777777" w:rsidTr="005A06D4">
        <w:trPr>
          <w:trHeight w:val="340"/>
        </w:trPr>
        <w:tc>
          <w:tcPr>
            <w:tcW w:w="1206" w:type="dxa"/>
            <w:vMerge/>
            <w:hideMark/>
          </w:tcPr>
          <w:p w14:paraId="72B572F1"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36077C8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V106A+F227L</w:t>
            </w:r>
          </w:p>
        </w:tc>
        <w:tc>
          <w:tcPr>
            <w:tcW w:w="1504" w:type="dxa"/>
            <w:hideMark/>
          </w:tcPr>
          <w:p w14:paraId="58409C4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106</w:t>
            </w:r>
          </w:p>
        </w:tc>
        <w:tc>
          <w:tcPr>
            <w:tcW w:w="999" w:type="dxa"/>
            <w:hideMark/>
          </w:tcPr>
          <w:p w14:paraId="41B774A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360415D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[106]</w:t>
            </w:r>
          </w:p>
        </w:tc>
        <w:tc>
          <w:tcPr>
            <w:tcW w:w="2050" w:type="dxa"/>
            <w:hideMark/>
          </w:tcPr>
          <w:p w14:paraId="55C6E91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597C7E73" w14:textId="77777777" w:rsidTr="005A06D4">
        <w:trPr>
          <w:trHeight w:val="340"/>
        </w:trPr>
        <w:tc>
          <w:tcPr>
            <w:tcW w:w="1206" w:type="dxa"/>
            <w:vMerge/>
            <w:hideMark/>
          </w:tcPr>
          <w:p w14:paraId="0E5EC5D6"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64D84CE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Y188L</w:t>
            </w:r>
          </w:p>
        </w:tc>
        <w:tc>
          <w:tcPr>
            <w:tcW w:w="1504" w:type="dxa"/>
            <w:hideMark/>
          </w:tcPr>
          <w:p w14:paraId="590C04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149</w:t>
            </w:r>
          </w:p>
        </w:tc>
        <w:tc>
          <w:tcPr>
            <w:tcW w:w="999" w:type="dxa"/>
            <w:hideMark/>
          </w:tcPr>
          <w:p w14:paraId="3D044C6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w:t>
            </w:r>
          </w:p>
        </w:tc>
        <w:tc>
          <w:tcPr>
            <w:tcW w:w="2151" w:type="dxa"/>
            <w:hideMark/>
          </w:tcPr>
          <w:p w14:paraId="68F3D18C"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[95, 116, 116, 181, 181, 182]</w:t>
            </w:r>
          </w:p>
        </w:tc>
        <w:tc>
          <w:tcPr>
            <w:tcW w:w="2050" w:type="dxa"/>
            <w:hideMark/>
          </w:tcPr>
          <w:p w14:paraId="6CBAE8A9" w14:textId="5FF2716F"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Hazuda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{"citationID":"iEuvspek","properties":{"unsorted":false,"formattedCitation":"\\super 54\\nosupersub{}","plainCitation":"54","noteIndex":0},"citationItems":[{"id":210,"uris":["http://zotero.org/users/19404620/items/JW4TMFXK"],"itemData":{"id":210,"type":"webpage","publisher":"22nd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54</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{"citationID":"r5HkVSPs","properties":{"unsorted":false,"formattedCitation":"\\super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63DB64DE" w14:textId="77777777" w:rsidTr="005A06D4">
        <w:trPr>
          <w:trHeight w:val="340"/>
        </w:trPr>
        <w:tc>
          <w:tcPr>
            <w:tcW w:w="1206" w:type="dxa"/>
            <w:vMerge/>
            <w:hideMark/>
          </w:tcPr>
          <w:p w14:paraId="180BE090"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1AB2C58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V106A+P225H</w:t>
            </w:r>
          </w:p>
        </w:tc>
        <w:tc>
          <w:tcPr>
            <w:tcW w:w="1504" w:type="dxa"/>
            <w:hideMark/>
          </w:tcPr>
          <w:p w14:paraId="5750EEB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153</w:t>
            </w:r>
          </w:p>
        </w:tc>
        <w:tc>
          <w:tcPr>
            <w:tcW w:w="999" w:type="dxa"/>
            <w:hideMark/>
          </w:tcPr>
          <w:p w14:paraId="56E2A31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4F96B30B"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[95, 210]</w:t>
            </w:r>
          </w:p>
        </w:tc>
        <w:tc>
          <w:tcPr>
            <w:tcW w:w="2050" w:type="dxa"/>
            <w:hideMark/>
          </w:tcPr>
          <w:p w14:paraId="635F8E1A" w14:textId="4825199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{"citationID":"y9MGbkL3","properties":{"unsorted":false,"formattedCitation":"\\super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131FEAA4" w14:textId="77777777" w:rsidTr="005A06D4">
        <w:trPr>
          <w:trHeight w:val="386"/>
        </w:trPr>
        <w:tc>
          <w:tcPr>
            <w:tcW w:w="1206" w:type="dxa"/>
            <w:vMerge/>
            <w:hideMark/>
          </w:tcPr>
          <w:p w14:paraId="72B9884A"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52AE717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V106A+L234I</w:t>
            </w:r>
          </w:p>
        </w:tc>
        <w:tc>
          <w:tcPr>
            <w:tcW w:w="1504" w:type="dxa"/>
            <w:hideMark/>
          </w:tcPr>
          <w:p w14:paraId="09431848"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161</w:t>
            </w:r>
          </w:p>
        </w:tc>
        <w:tc>
          <w:tcPr>
            <w:tcW w:w="999" w:type="dxa"/>
            <w:hideMark/>
          </w:tcPr>
          <w:p w14:paraId="6E072AE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4064C0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[150, 173]</w:t>
            </w:r>
          </w:p>
        </w:tc>
        <w:tc>
          <w:tcPr>
            <w:tcW w:w="2050" w:type="dxa"/>
            <w:hideMark/>
          </w:tcPr>
          <w:p w14:paraId="209F1CC8" w14:textId="33CEC51C"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Feng et al (2014)</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{"citationID":"DnX8jZfI","properties":{"unsorted":false,"formattedCitation":"\\super 55\\nosupersub{}","plainCitation":"55","noteIndex":0},"citationItems":[{"id":212,"uris":["http://zotero.org/users/19404620/items/HLTMG9NM"],"itemData":{"id":212,"type":"article-journal","abstract":"Background: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55</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Smith et al (2016)</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{"citationID":"jt8k6vke","properties":{"unsorted":false,"formattedCitation":"\\super 55\\nosupersub{}","plainCitation":"55","noteIndex":0},"citationItems":[{"id":212,"uris":["http://zotero.org/users/19404620/items/HLTMG9NM"],"itemData":{"id":212,"type":"article-journal","abstract":"Background: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55</w:t>
            </w:r>
            <w:r w:rsidRPr="004100CF">
              <w:rPr>
                <w:rFonts w:ascii="Times New Roman" w:hAnsi="Times New Roman" w:cs="Times New Roman"/>
                <w:color w:val="000000"/>
                <w:sz w:val="22"/>
                <w:szCs w:val="22"/>
              </w:rPr>
              <w:fldChar w:fldCharType="end"/>
            </w:r>
          </w:p>
        </w:tc>
      </w:tr>
      <w:tr w:rsidR="00BA0839" w:rsidRPr="004100CF" w14:paraId="30170A6A" w14:textId="77777777" w:rsidTr="005A06D4">
        <w:trPr>
          <w:trHeight w:val="386"/>
        </w:trPr>
        <w:tc>
          <w:tcPr>
            <w:tcW w:w="1206" w:type="dxa"/>
            <w:tcBorders>
              <w:bottom w:val="single" w:sz="4" w:space="0" w:color="auto"/>
            </w:tcBorders>
          </w:tcPr>
          <w:p w14:paraId="4A796214" w14:textId="77777777" w:rsidR="00BA0839" w:rsidRPr="004100CF" w:rsidRDefault="00BA0839" w:rsidP="005A06D4">
            <w:pPr>
              <w:rPr>
                <w:rFonts w:ascii="Times New Roman" w:hAnsi="Times New Roman" w:cs="Times New Roman"/>
                <w:color w:val="000000"/>
                <w:sz w:val="22"/>
                <w:szCs w:val="22"/>
              </w:rPr>
            </w:pPr>
          </w:p>
        </w:tc>
        <w:tc>
          <w:tcPr>
            <w:tcW w:w="1648" w:type="dxa"/>
            <w:tcBorders>
              <w:bottom w:val="single" w:sz="4" w:space="0" w:color="auto"/>
            </w:tcBorders>
          </w:tcPr>
          <w:p w14:paraId="2DB48490"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K103N+M230L</w:t>
            </w:r>
          </w:p>
        </w:tc>
        <w:tc>
          <w:tcPr>
            <w:tcW w:w="1504" w:type="dxa"/>
            <w:tcBorders>
              <w:bottom w:val="single" w:sz="4" w:space="0" w:color="auto"/>
            </w:tcBorders>
          </w:tcPr>
          <w:p w14:paraId="014E665A"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36</w:t>
            </w:r>
          </w:p>
        </w:tc>
        <w:tc>
          <w:tcPr>
            <w:tcW w:w="999" w:type="dxa"/>
            <w:tcBorders>
              <w:bottom w:val="single" w:sz="4" w:space="0" w:color="auto"/>
            </w:tcBorders>
          </w:tcPr>
          <w:p w14:paraId="37B93C99"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w:t>
            </w:r>
          </w:p>
        </w:tc>
        <w:tc>
          <w:tcPr>
            <w:tcW w:w="2151" w:type="dxa"/>
            <w:tcBorders>
              <w:bottom w:val="single" w:sz="4" w:space="0" w:color="auto"/>
            </w:tcBorders>
          </w:tcPr>
          <w:p w14:paraId="5856925F"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[36]</w:t>
            </w:r>
          </w:p>
        </w:tc>
        <w:tc>
          <w:tcPr>
            <w:tcW w:w="2050" w:type="dxa"/>
            <w:tcBorders>
              <w:bottom w:val="single" w:sz="4" w:space="0" w:color="auto"/>
            </w:tcBorders>
          </w:tcPr>
          <w:p w14:paraId="0C3A352F" w14:textId="6BAC7D10"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{"citationID":"0N5BrjjB","properties":{"unsorted":false,"formattedCitation":"\\super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475CE906" w14:textId="77777777" w:rsidTr="005A06D4">
        <w:trPr>
          <w:trHeight w:val="340"/>
        </w:trPr>
        <w:tc>
          <w:tcPr>
            <w:tcW w:w="1206" w:type="dxa"/>
            <w:vMerge w:val="restart"/>
            <w:tcBorders>
              <w:top w:val="single" w:sz="4" w:space="0" w:color="auto"/>
            </w:tcBorders>
            <w:vAlign w:val="center"/>
            <w:hideMark/>
          </w:tcPr>
          <w:p w14:paraId="7EF76324"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 xml:space="preserve">Uncertain </w:t>
            </w:r>
          </w:p>
        </w:tc>
        <w:tc>
          <w:tcPr>
            <w:tcW w:w="1648" w:type="dxa"/>
            <w:tcBorders>
              <w:top w:val="single" w:sz="4" w:space="0" w:color="auto"/>
            </w:tcBorders>
            <w:hideMark/>
          </w:tcPr>
          <w:p w14:paraId="73A345B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V106M</w:t>
            </w:r>
          </w:p>
        </w:tc>
        <w:tc>
          <w:tcPr>
            <w:tcW w:w="1504" w:type="dxa"/>
            <w:tcBorders>
              <w:top w:val="single" w:sz="4" w:space="0" w:color="auto"/>
            </w:tcBorders>
            <w:hideMark/>
          </w:tcPr>
          <w:p w14:paraId="59B6CEC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3.4</w:t>
            </w:r>
          </w:p>
        </w:tc>
        <w:tc>
          <w:tcPr>
            <w:tcW w:w="999" w:type="dxa"/>
            <w:tcBorders>
              <w:top w:val="single" w:sz="4" w:space="0" w:color="auto"/>
            </w:tcBorders>
            <w:hideMark/>
          </w:tcPr>
          <w:p w14:paraId="5526A86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tcBorders>
              <w:top w:val="single" w:sz="4" w:space="0" w:color="auto"/>
            </w:tcBorders>
            <w:hideMark/>
          </w:tcPr>
          <w:p w14:paraId="4716DBD8"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[3.4]</w:t>
            </w:r>
          </w:p>
        </w:tc>
        <w:tc>
          <w:tcPr>
            <w:tcW w:w="2050" w:type="dxa"/>
            <w:tcBorders>
              <w:top w:val="single" w:sz="4" w:space="0" w:color="auto"/>
            </w:tcBorders>
            <w:hideMark/>
          </w:tcPr>
          <w:p w14:paraId="52FCCD4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62F9E523" w14:textId="77777777" w:rsidTr="005A06D4">
        <w:trPr>
          <w:trHeight w:val="467"/>
        </w:trPr>
        <w:tc>
          <w:tcPr>
            <w:tcW w:w="1206" w:type="dxa"/>
            <w:vMerge/>
            <w:hideMark/>
          </w:tcPr>
          <w:p w14:paraId="5264742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72C8E85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G190S</w:t>
            </w:r>
          </w:p>
        </w:tc>
        <w:tc>
          <w:tcPr>
            <w:tcW w:w="1504" w:type="dxa"/>
            <w:hideMark/>
          </w:tcPr>
          <w:p w14:paraId="20871CB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5.2</w:t>
            </w:r>
          </w:p>
        </w:tc>
        <w:tc>
          <w:tcPr>
            <w:tcW w:w="999" w:type="dxa"/>
            <w:hideMark/>
          </w:tcPr>
          <w:p w14:paraId="7A6565B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4</w:t>
            </w:r>
          </w:p>
        </w:tc>
        <w:tc>
          <w:tcPr>
            <w:tcW w:w="2151" w:type="dxa"/>
            <w:hideMark/>
          </w:tcPr>
          <w:p w14:paraId="1EFC9B3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 4.5, 5.9, 11]</w:t>
            </w:r>
          </w:p>
        </w:tc>
        <w:tc>
          <w:tcPr>
            <w:tcW w:w="2050" w:type="dxa"/>
            <w:hideMark/>
          </w:tcPr>
          <w:p w14:paraId="5BDA5BA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20C09B71" w14:textId="77777777" w:rsidTr="005A06D4">
        <w:trPr>
          <w:trHeight w:val="521"/>
        </w:trPr>
        <w:tc>
          <w:tcPr>
            <w:tcW w:w="1206" w:type="dxa"/>
            <w:vMerge/>
            <w:hideMark/>
          </w:tcPr>
          <w:p w14:paraId="27D84BA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2FDB1AA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K103N+L100I</w:t>
            </w:r>
          </w:p>
        </w:tc>
        <w:tc>
          <w:tcPr>
            <w:tcW w:w="1504" w:type="dxa"/>
            <w:hideMark/>
          </w:tcPr>
          <w:p w14:paraId="0399B84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6.8</w:t>
            </w:r>
          </w:p>
        </w:tc>
        <w:tc>
          <w:tcPr>
            <w:tcW w:w="999" w:type="dxa"/>
            <w:hideMark/>
          </w:tcPr>
          <w:p w14:paraId="3B4061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8</w:t>
            </w:r>
          </w:p>
        </w:tc>
        <w:tc>
          <w:tcPr>
            <w:tcW w:w="2151" w:type="dxa"/>
            <w:hideMark/>
          </w:tcPr>
          <w:p w14:paraId="2FD80BF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[2.7, 4.5, 4.6, 5.1, 8.4, 10, 11, 19]</w:t>
            </w:r>
          </w:p>
        </w:tc>
        <w:tc>
          <w:tcPr>
            <w:tcW w:w="2050" w:type="dxa"/>
            <w:hideMark/>
          </w:tcPr>
          <w:p w14:paraId="0E4FA6D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5F3B58F6" w14:textId="77777777" w:rsidTr="005A06D4">
        <w:trPr>
          <w:trHeight w:val="350"/>
        </w:trPr>
        <w:tc>
          <w:tcPr>
            <w:tcW w:w="1206" w:type="dxa"/>
            <w:vMerge/>
            <w:hideMark/>
          </w:tcPr>
          <w:p w14:paraId="1817F1E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69A7F911" w14:textId="46F2ED5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K103N+P225H</w:t>
            </w:r>
          </w:p>
        </w:tc>
        <w:tc>
          <w:tcPr>
            <w:tcW w:w="1504" w:type="dxa"/>
            <w:hideMark/>
          </w:tcPr>
          <w:p w14:paraId="6C0AEC52" w14:textId="707C96C9"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7.8</w:t>
            </w:r>
          </w:p>
        </w:tc>
        <w:tc>
          <w:tcPr>
            <w:tcW w:w="999" w:type="dxa"/>
            <w:hideMark/>
          </w:tcPr>
          <w:p w14:paraId="7A18FC3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B9203D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[5.7, 10]</w:t>
            </w:r>
          </w:p>
        </w:tc>
        <w:tc>
          <w:tcPr>
            <w:tcW w:w="2050" w:type="dxa"/>
            <w:hideMark/>
          </w:tcPr>
          <w:p w14:paraId="1BA9E17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1B1087BE" w14:textId="77777777" w:rsidTr="005A06D4">
        <w:trPr>
          <w:trHeight w:val="350"/>
        </w:trPr>
        <w:tc>
          <w:tcPr>
            <w:tcW w:w="1206" w:type="dxa"/>
            <w:vMerge/>
            <w:tcBorders>
              <w:bottom w:val="single" w:sz="4" w:space="0" w:color="auto"/>
            </w:tcBorders>
          </w:tcPr>
          <w:p w14:paraId="02D0C131"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1D9036E4"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G190E</w:t>
            </w:r>
          </w:p>
        </w:tc>
        <w:tc>
          <w:tcPr>
            <w:tcW w:w="1504" w:type="dxa"/>
            <w:tcBorders>
              <w:bottom w:val="single" w:sz="4" w:space="0" w:color="auto"/>
            </w:tcBorders>
          </w:tcPr>
          <w:p w14:paraId="40968440" w14:textId="57C740A5"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18</w:t>
            </w:r>
          </w:p>
        </w:tc>
        <w:tc>
          <w:tcPr>
            <w:tcW w:w="999" w:type="dxa"/>
            <w:tcBorders>
              <w:bottom w:val="single" w:sz="4" w:space="0" w:color="auto"/>
            </w:tcBorders>
          </w:tcPr>
          <w:p w14:paraId="695C574D" w14:textId="560FDF62"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w:t>
            </w:r>
          </w:p>
        </w:tc>
        <w:tc>
          <w:tcPr>
            <w:tcW w:w="2151" w:type="dxa"/>
            <w:tcBorders>
              <w:bottom w:val="single" w:sz="4" w:space="0" w:color="auto"/>
            </w:tcBorders>
          </w:tcPr>
          <w:p w14:paraId="168E0CD3"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[18]</w:t>
            </w:r>
          </w:p>
        </w:tc>
        <w:tc>
          <w:tcPr>
            <w:tcW w:w="2050" w:type="dxa"/>
            <w:tcBorders>
              <w:bottom w:val="single" w:sz="4" w:space="0" w:color="auto"/>
            </w:tcBorders>
          </w:tcPr>
          <w:p w14:paraId="628ECB0C" w14:textId="258593C6"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{"citationID":"clMt889n","properties":{"unsorted":false,"formattedCitation":"\\super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bl>
    <w:p w14:paraId="217B8E6F" w14:textId="086CF801" w:rsidR="000E15E2" w:rsidRPr="004100CF" w:rsidRDefault="000E15E2" w:rsidP="000E15E2">
      <w:pPr>
        <w:rPr>
          <w:rFonts w:ascii="Times New Roman" w:hAnsi="Times New Roman" w:cs="Times New Roman"/>
        </w:rPr>
      </w:pPr>
    </w:p>
    <w:p w14:paraId="44C5F9DA" w14:textId="31DD1574" w:rsidR="009D30A5" w:rsidRPr="004100CF" w:rsidRDefault="009D30A5" w:rsidP="009D30A5">
      <w:pPr>
        <w:rPr>
          <w:rFonts w:ascii="Times New Roman" w:hAnsi="Times New Roman" w:cs="Times New Roman"/>
          <w:b/>
          <w:bCs/>
          <w:szCs w:val="24"/>
          <w:u w:val="single"/>
        </w:rPr>
      </w:pPr>
      <w:r w:rsidRPr="004100CF">
        <w:rPr>
          <w:rFonts w:ascii="Times New Roman" w:hAnsi="Times New Roman" w:cs="Times New Roman"/>
          <w:b/>
          <w:bCs/>
          <w:szCs w:val="24"/>
          <w:u w:val="single"/>
        </w:rPr>
        <w:t>RT-DOR binding free energy analyses</w:t>
      </w:r>
    </w:p>
    <w:p w14:paraId="62CC092D" w14:textId="4729D6D8" w:rsidR="00703302" w:rsidRPr="004100CF" w:rsidRDefault="003E5220" w:rsidP="000E15E2">
      <w:pPr>
        <w:rPr>
          <w:rFonts w:ascii="Times New Roman" w:hAnsi="Times New Roman" w:cs="Times New Roman"/>
          <w:szCs w:val="24"/>
        </w:rPr>
      </w:pPr>
      <w:r w:rsidRPr="004100CF">
        <w:rPr>
          <w:rFonts w:ascii="Times New Roman" w:hAnsi="Times New Roman" w:cs="Times New Roman"/>
          <w:szCs w:val="24"/>
        </w:rPr>
        <w:t xml:space="preserve">Starting from the published X-ray crystal structure of WT RT bound to DOR (Figure 1), we introduced each mutation </w:t>
      </w:r>
      <w:r w:rsidRPr="004100CF">
        <w:rPr>
          <w:rFonts w:ascii="Times New Roman" w:hAnsi="Times New Roman" w:cs="Times New Roman"/>
          <w:i/>
          <w:iCs/>
          <w:szCs w:val="24"/>
        </w:rPr>
        <w:t>in silico</w:t>
      </w:r>
      <w:r w:rsidRPr="004100CF">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47AE142F" w14:textId="58DEB6DD" w:rsidR="00703302" w:rsidRPr="004100CF" w:rsidRDefault="00703302" w:rsidP="008D0E12">
      <w:pPr>
        <w:spacing w:before="240" w:after="240"/>
        <w:rPr>
          <w:rFonts w:ascii="Times New Roman" w:hAnsi="Times New Roman" w:cs="Times New Roman"/>
          <w:szCs w:val="24"/>
        </w:rPr>
      </w:pPr>
      <w:r w:rsidRPr="004100CF">
        <w:rPr>
          <w:rFonts w:ascii="Times New Roman" w:hAnsi="Times New Roman" w:cs="Times New Roman"/>
          <w:szCs w:val="24"/>
        </w:rPr>
        <w:t xml:space="preserve">For each system, we ran three independent 100ns all-atom, explicit-solvent production simulations. Since RT undergoes </w:t>
      </w:r>
      <w:r w:rsidR="00851C44" w:rsidRPr="004100CF">
        <w:rPr>
          <w:rFonts w:ascii="Times New Roman" w:hAnsi="Times New Roman" w:cs="Times New Roman"/>
          <w:szCs w:val="24"/>
        </w:rPr>
        <w:t>domain</w:t>
      </w:r>
      <w:r w:rsidRPr="004100CF">
        <w:rPr>
          <w:rFonts w:ascii="Times New Roman" w:hAnsi="Times New Roman" w:cs="Times New Roman"/>
          <w:szCs w:val="24"/>
        </w:rPr>
        <w:t xml:space="preserve"> rearrangements on the</w:t>
      </w:r>
      <w:r w:rsidR="00DB0CDA" w:rsidRPr="004100CF">
        <w:rPr>
          <w:rFonts w:ascii="Times New Roman" w:hAnsi="Times New Roman" w:cs="Times New Roman"/>
          <w:szCs w:val="24"/>
        </w:rPr>
        <w:t xml:space="preserve"> millisecond</w:t>
      </w:r>
      <w:r w:rsidRPr="004100CF">
        <w:rPr>
          <w:rFonts w:ascii="Times New Roman" w:hAnsi="Times New Roman" w:cs="Times New Roman"/>
          <w:szCs w:val="24"/>
        </w:rPr>
        <w:t xml:space="preserve"> timescale</w:t>
      </w:r>
      <w:r w:rsidR="00AD1C7A" w:rsidRPr="004100CF">
        <w:rPr>
          <w:rFonts w:ascii="Times New Roman" w:hAnsi="Times New Roman" w:cs="Times New Roman"/>
          <w:szCs w:val="24"/>
        </w:rPr>
        <w:t>,</w:t>
      </w:r>
      <w:r w:rsidR="000745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{"citationID":"7g77Zrf7","properties":{"unsorted":false,"formattedCitation":"\\super 56\\nosupersub{}","plainCitation":"56","noteIndex":0},"citationItems":[{"id":314,"uris":["http://zotero.org/users/19404620/items/IZKA6784"],"itemData":{"id":314,"type":"article-journal","abstract":"Single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rsidR="000745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56</w:t>
      </w:r>
      <w:r w:rsidR="000745F0" w:rsidRPr="004100CF">
        <w:rPr>
          <w:rFonts w:ascii="Times New Roman" w:hAnsi="Times New Roman" w:cs="Times New Roman"/>
          <w:szCs w:val="24"/>
        </w:rPr>
        <w:fldChar w:fldCharType="end"/>
      </w:r>
      <w:r w:rsidR="00AD1C7A" w:rsidRPr="004100CF">
        <w:rPr>
          <w:rFonts w:ascii="Times New Roman" w:hAnsi="Times New Roman" w:cs="Times New Roman"/>
          <w:szCs w:val="24"/>
        </w:rPr>
        <w:t xml:space="preserve"> these relatively short MD runs are unlikely to capture converged dynamics of the full RT molecule. </w:t>
      </w:r>
      <w:r w:rsidR="00B06E69" w:rsidRPr="004100CF">
        <w:rPr>
          <w:rFonts w:ascii="Times New Roman" w:hAnsi="Times New Roman" w:cs="Times New Roman"/>
          <w:szCs w:val="24"/>
        </w:rPr>
        <w:t xml:space="preserve">However, </w:t>
      </w:r>
      <w:r w:rsidR="00AD1C7A" w:rsidRPr="004100CF">
        <w:rPr>
          <w:rFonts w:ascii="Times New Roman" w:hAnsi="Times New Roman" w:cs="Times New Roman"/>
          <w:szCs w:val="24"/>
        </w:rPr>
        <w:t xml:space="preserve">DOR pose </w:t>
      </w:r>
      <w:r w:rsidR="0087658B" w:rsidRPr="004100CF">
        <w:rPr>
          <w:rFonts w:ascii="Times New Roman" w:hAnsi="Times New Roman" w:cs="Times New Roman"/>
          <w:szCs w:val="24"/>
        </w:rPr>
        <w:t xml:space="preserve">RMSD </w:t>
      </w:r>
      <w:r w:rsidR="00AD1C7A" w:rsidRPr="004100CF">
        <w:rPr>
          <w:rFonts w:ascii="Times New Roman" w:hAnsi="Times New Roman" w:cs="Times New Roman"/>
          <w:szCs w:val="24"/>
        </w:rPr>
        <w:t xml:space="preserve">and DOR-RT </w:t>
      </w:r>
      <w:r w:rsidR="0087658B" w:rsidRPr="004100CF">
        <w:rPr>
          <w:rFonts w:ascii="Times New Roman" w:hAnsi="Times New Roman" w:cs="Times New Roman"/>
          <w:szCs w:val="24"/>
        </w:rPr>
        <w:t xml:space="preserve">center of mass </w:t>
      </w:r>
      <w:r w:rsidR="00943376" w:rsidRPr="004100CF">
        <w:rPr>
          <w:rFonts w:ascii="Times New Roman" w:hAnsi="Times New Roman" w:cs="Times New Roman"/>
          <w:szCs w:val="24"/>
        </w:rPr>
        <w:t xml:space="preserve">distance </w:t>
      </w:r>
      <w:r w:rsidR="00AD1C7A" w:rsidRPr="004100CF">
        <w:rPr>
          <w:rFonts w:ascii="Times New Roman" w:hAnsi="Times New Roman" w:cs="Times New Roman"/>
          <w:szCs w:val="24"/>
        </w:rPr>
        <w:t xml:space="preserve">fluctuations </w:t>
      </w:r>
      <w:r w:rsidR="00567977" w:rsidRPr="004100CF">
        <w:rPr>
          <w:rFonts w:ascii="Times New Roman" w:hAnsi="Times New Roman" w:cs="Times New Roman"/>
          <w:szCs w:val="24"/>
        </w:rPr>
        <w:t>suggested</w:t>
      </w:r>
      <w:r w:rsidR="00AD1C7A" w:rsidRPr="004100CF">
        <w:rPr>
          <w:rFonts w:ascii="Times New Roman" w:hAnsi="Times New Roman" w:cs="Times New Roman"/>
          <w:szCs w:val="24"/>
        </w:rPr>
        <w:t xml:space="preserve"> that DOR dynamics within the NNIBP </w:t>
      </w:r>
      <w:r w:rsidR="002C6515" w:rsidRPr="004100CF">
        <w:rPr>
          <w:rFonts w:ascii="Times New Roman" w:hAnsi="Times New Roman" w:cs="Times New Roman"/>
          <w:szCs w:val="24"/>
        </w:rPr>
        <w:t>were relatively stable</w:t>
      </w:r>
      <w:r w:rsidR="00AD1C7A" w:rsidRPr="004100CF">
        <w:rPr>
          <w:rFonts w:ascii="Times New Roman" w:hAnsi="Times New Roman" w:cs="Times New Roman"/>
          <w:szCs w:val="24"/>
        </w:rPr>
        <w:t xml:space="preserve"> </w:t>
      </w:r>
      <w:r w:rsidR="009B49B5" w:rsidRPr="004100CF">
        <w:rPr>
          <w:rFonts w:ascii="Times New Roman" w:hAnsi="Times New Roman" w:cs="Times New Roman"/>
          <w:szCs w:val="24"/>
        </w:rPr>
        <w:t xml:space="preserve">during the course of the simulations </w:t>
      </w:r>
      <w:r w:rsidR="00AD1C7A" w:rsidRPr="004100CF">
        <w:rPr>
          <w:rFonts w:ascii="Times New Roman" w:hAnsi="Times New Roman" w:cs="Times New Roman"/>
          <w:szCs w:val="24"/>
        </w:rPr>
        <w:t>(</w:t>
      </w:r>
      <w:r w:rsidR="00B06E69" w:rsidRPr="004100CF">
        <w:rPr>
          <w:rFonts w:ascii="Times New Roman" w:hAnsi="Times New Roman" w:cs="Times New Roman"/>
          <w:szCs w:val="24"/>
        </w:rPr>
        <w:t>Supplementary Figure 1</w:t>
      </w:r>
      <w:r w:rsidR="00AD1C7A" w:rsidRPr="004100CF">
        <w:rPr>
          <w:rFonts w:ascii="Times New Roman" w:hAnsi="Times New Roman" w:cs="Times New Roman"/>
          <w:szCs w:val="24"/>
        </w:rPr>
        <w:t>).</w:t>
      </w:r>
      <w:r w:rsidRPr="004100CF">
        <w:rPr>
          <w:rFonts w:ascii="Times New Roman" w:hAnsi="Times New Roman" w:cs="Times New Roman"/>
          <w:szCs w:val="24"/>
        </w:rPr>
        <w:t xml:space="preserve"> </w:t>
      </w:r>
    </w:p>
    <w:p w14:paraId="7F6710A7" w14:textId="47404BF8" w:rsidR="007E05DC" w:rsidRPr="004100CF" w:rsidRDefault="007E05DC" w:rsidP="008D0E12">
      <w:pPr>
        <w:spacing w:before="240" w:after="240"/>
        <w:rPr>
          <w:rFonts w:ascii="Times New Roman" w:hAnsi="Times New Roman" w:cs="Times New Roman"/>
          <w:szCs w:val="24"/>
        </w:rPr>
      </w:pPr>
      <w:r w:rsidRPr="004100CF">
        <w:rPr>
          <w:rFonts w:ascii="Times New Roman" w:hAnsi="Times New Roman" w:cs="Times New Roman"/>
          <w:szCs w:val="24"/>
        </w:rPr>
        <w:t xml:space="preserve">We sampled RT-DOR structures from these </w:t>
      </w:r>
      <w:r w:rsidRPr="004100CF">
        <w:rPr>
          <w:rFonts w:ascii="Times New Roman" w:hAnsi="Times New Roman" w:cs="Times New Roman"/>
          <w:i/>
          <w:iCs/>
          <w:szCs w:val="24"/>
        </w:rPr>
        <w:t xml:space="preserve">holo </w:t>
      </w:r>
      <w:r w:rsidRPr="004100CF">
        <w:rPr>
          <w:rFonts w:ascii="Times New Roman" w:hAnsi="Times New Roman" w:cs="Times New Roman"/>
          <w:szCs w:val="24"/>
        </w:rPr>
        <w:t xml:space="preserve">(RT+DOR) and corresponding </w:t>
      </w:r>
      <w:r w:rsidRPr="004100CF">
        <w:rPr>
          <w:rFonts w:ascii="Times New Roman" w:hAnsi="Times New Roman" w:cs="Times New Roman"/>
          <w:i/>
          <w:iCs/>
          <w:szCs w:val="24"/>
        </w:rPr>
        <w:t xml:space="preserve">apo </w:t>
      </w:r>
      <w:r w:rsidRPr="004100CF">
        <w:rPr>
          <w:rFonts w:ascii="Times New Roman" w:hAnsi="Times New Roman" w:cs="Times New Roman"/>
          <w:szCs w:val="24"/>
        </w:rPr>
        <w:t>(RT only) simulations to compute the relative binding free energy, ∆∆G</w:t>
      </w:r>
      <w:r w:rsidRPr="004100CF">
        <w:rPr>
          <w:rFonts w:ascii="Times New Roman" w:hAnsi="Times New Roman" w:cs="Times New Roman"/>
          <w:szCs w:val="24"/>
          <w:vertAlign w:val="subscript"/>
        </w:rPr>
        <w:t>bind</w:t>
      </w:r>
      <w:r w:rsidRPr="004100CF">
        <w:rPr>
          <w:rFonts w:ascii="Times New Roman" w:hAnsi="Times New Roman" w:cs="Times New Roman"/>
          <w:szCs w:val="24"/>
        </w:rPr>
        <w:t xml:space="preserve">, between the mutant and WT RT-DOR complexes using a non-equilibrium alchemical free energy calculation protocol (Figure 2). Additionally, we calculated the average MM/GBSA energy over the final 20 frames of each </w:t>
      </w:r>
      <w:r w:rsidRPr="004100CF">
        <w:rPr>
          <w:rFonts w:ascii="Times New Roman" w:hAnsi="Times New Roman" w:cs="Times New Roman"/>
          <w:szCs w:val="24"/>
        </w:rPr>
        <w:lastRenderedPageBreak/>
        <w:t>equilibrium trajectory, corresponding to approximately the final 10ns. For each mutant genotype, we then computed WT-referenced energetic changes for the total MM/GBSA energy (∆∆E</w:t>
      </w:r>
      <w:r w:rsidRPr="004100CF">
        <w:rPr>
          <w:rFonts w:ascii="Times New Roman" w:hAnsi="Times New Roman" w:cs="Times New Roman"/>
          <w:szCs w:val="24"/>
          <w:vertAlign w:val="subscript"/>
        </w:rPr>
        <w:t>Total</w:t>
      </w:r>
      <w:r w:rsidRPr="004100CF">
        <w:rPr>
          <w:rFonts w:ascii="Times New Roman" w:hAnsi="Times New Roman" w:cs="Times New Roman"/>
          <w:szCs w:val="24"/>
        </w:rPr>
        <w:t>) and for four individual energy components: van der Waals (</w:t>
      </w:r>
      <w:r w:rsidRPr="004100CF">
        <w:rPr>
          <w:rFonts w:ascii="Times New Roman" w:hAnsi="Times New Roman" w:cs="Times New Roman"/>
        </w:rPr>
        <w:t>∆∆E</w:t>
      </w:r>
      <w:r w:rsidRPr="004100CF">
        <w:rPr>
          <w:rFonts w:ascii="Times New Roman" w:hAnsi="Times New Roman" w:cs="Times New Roman"/>
          <w:vertAlign w:val="subscript"/>
        </w:rPr>
        <w:t>vdW</w:t>
      </w:r>
      <w:r w:rsidRPr="004100CF">
        <w:rPr>
          <w:rFonts w:ascii="Times New Roman" w:hAnsi="Times New Roman" w:cs="Times New Roman"/>
          <w:szCs w:val="24"/>
        </w:rPr>
        <w:t>), electrostatic (∆∆E</w:t>
      </w:r>
      <w:r w:rsidRPr="004100CF">
        <w:rPr>
          <w:rFonts w:ascii="Times New Roman" w:hAnsi="Times New Roman" w:cs="Times New Roman"/>
          <w:szCs w:val="24"/>
          <w:vertAlign w:val="subscript"/>
        </w:rPr>
        <w:t>elec</w:t>
      </w:r>
      <w:r w:rsidRPr="004100CF">
        <w:rPr>
          <w:rFonts w:ascii="Times New Roman" w:hAnsi="Times New Roman" w:cs="Times New Roman"/>
          <w:szCs w:val="24"/>
        </w:rPr>
        <w:t>), generalized Born polar solvation (∆∆E</w:t>
      </w:r>
      <w:r w:rsidRPr="004100CF">
        <w:rPr>
          <w:rFonts w:ascii="Times New Roman" w:hAnsi="Times New Roman" w:cs="Times New Roman"/>
          <w:szCs w:val="24"/>
          <w:vertAlign w:val="subscript"/>
        </w:rPr>
        <w:t>GB</w:t>
      </w:r>
      <w:r w:rsidRPr="004100CF">
        <w:rPr>
          <w:rFonts w:ascii="Times New Roman" w:hAnsi="Times New Roman" w:cs="Times New Roman"/>
          <w:szCs w:val="24"/>
        </w:rPr>
        <w:t>), and nonpolar surface area (∆∆E</w:t>
      </w:r>
      <w:r w:rsidRPr="004100CF">
        <w:rPr>
          <w:rFonts w:ascii="Times New Roman" w:hAnsi="Times New Roman" w:cs="Times New Roman"/>
          <w:szCs w:val="24"/>
          <w:vertAlign w:val="subscript"/>
        </w:rPr>
        <w:t>SA</w:t>
      </w:r>
      <w:r w:rsidRPr="004100CF">
        <w:rPr>
          <w:rFonts w:ascii="Times New Roman" w:hAnsi="Times New Roman" w:cs="Times New Roman"/>
          <w:szCs w:val="24"/>
        </w:rPr>
        <w:t>) contributions. The results are summarized in Table 2, Supplementary Figure 2, and Supplementary Table 3.</w:t>
      </w:r>
    </w:p>
    <w:p w14:paraId="0E3EFB35" w14:textId="200722B0" w:rsidR="003D7E51" w:rsidRPr="004100CF" w:rsidRDefault="003D7E51" w:rsidP="009D30A5">
      <w:pPr>
        <w:spacing w:before="240" w:after="240"/>
        <w:rPr>
          <w:rFonts w:ascii="Times New Roman" w:hAnsi="Times New Roman" w:cs="Times New Roman"/>
          <w:szCs w:val="24"/>
        </w:rPr>
      </w:pPr>
      <w:r w:rsidRPr="004100CF">
        <w:rPr>
          <w:rFonts w:ascii="Times New Roman" w:hAnsi="Times New Roman" w:cs="Times New Roman"/>
          <w:noProof/>
          <w:szCs w:val="24"/>
        </w:rPr>
        <w:drawing>
          <wp:inline distT="0" distB="0" distL="0" distR="0" wp14:anchorId="7870DA20" wp14:editId="1832ACA0">
            <wp:extent cx="5943600" cy="3738245"/>
            <wp:effectExtent l="0" t="0" r="0" b="0"/>
            <wp:docPr id="9501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0311" name="Picture 950130311"/>
                    <pic:cNvPicPr/>
                  </pic:nvPicPr>
                  <pic:blipFill>
                    <a:blip r:embed="rId13"/>
                    <a:stretch>
                      <a:fillRect/>
                    </a:stretch>
                  </pic:blipFill>
                  <pic:spPr>
                    <a:xfrm>
                      <a:off x="0" y="0"/>
                      <a:ext cx="5943600" cy="3738245"/>
                    </a:xfrm>
                    <a:prstGeom prst="rect">
                      <a:avLst/>
                    </a:prstGeom>
                  </pic:spPr>
                </pic:pic>
              </a:graphicData>
            </a:graphic>
          </wp:inline>
        </w:drawing>
      </w:r>
      <w:r w:rsidRPr="004100CF">
        <w:rPr>
          <w:rFonts w:ascii="Times New Roman" w:hAnsi="Times New Roman" w:cs="Times New Roman"/>
          <w:b/>
          <w:bCs/>
          <w:sz w:val="22"/>
          <w:szCs w:val="22"/>
        </w:rPr>
        <w:t xml:space="preserve"> Figure 2: Free Energy Perturbation (FEP) protocol used to estimate ∆∆G</w:t>
      </w:r>
      <w:r w:rsidRPr="004100CF">
        <w:rPr>
          <w:rFonts w:ascii="Times New Roman" w:hAnsi="Times New Roman" w:cs="Times New Roman"/>
          <w:b/>
          <w:bCs/>
          <w:sz w:val="22"/>
          <w:szCs w:val="22"/>
          <w:vertAlign w:val="subscript"/>
        </w:rPr>
        <w:t>bind</w:t>
      </w:r>
      <w:r w:rsidRPr="004100CF">
        <w:rPr>
          <w:rFonts w:ascii="Times New Roman" w:hAnsi="Times New Roman" w:cs="Times New Roman"/>
          <w:b/>
          <w:bCs/>
          <w:sz w:val="22"/>
          <w:szCs w:val="22"/>
        </w:rPr>
        <w:t xml:space="preserve"> for DOR Resistance Associated Mutations.</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(A)</w:t>
      </w:r>
      <w:r w:rsidRPr="004100CF">
        <w:rPr>
          <w:rFonts w:ascii="Times New Roman" w:hAnsi="Times New Roman" w:cs="Times New Roman"/>
          <w:sz w:val="22"/>
          <w:szCs w:val="22"/>
        </w:rPr>
        <w:t xml:space="preserve"> Thermodynamic cycle illustrating how the alchemical transformations between WT</w:t>
      </w:r>
      <w:r w:rsidRPr="004100CF">
        <w:rPr>
          <w:rFonts w:ascii="Times New Roman" w:hAnsi="Times New Roman" w:cs="Times New Roman"/>
          <w:sz w:val="22"/>
          <w:szCs w:val="22"/>
        </w:rPr>
        <w:sym w:font="Symbol" w:char="F0AB"/>
      </w:r>
      <w:r w:rsidRPr="004100CF">
        <w:rPr>
          <w:rFonts w:ascii="Times New Roman" w:hAnsi="Times New Roman" w:cs="Times New Roman"/>
          <w:sz w:val="22"/>
          <w:szCs w:val="22"/>
        </w:rPr>
        <w:t xml:space="preserve">Mut configurations </w:t>
      </w:r>
      <w:r w:rsidR="000073C6" w:rsidRPr="004100CF">
        <w:rPr>
          <w:rFonts w:ascii="Times New Roman" w:hAnsi="Times New Roman" w:cs="Times New Roman"/>
          <w:sz w:val="22"/>
          <w:szCs w:val="22"/>
        </w:rPr>
        <w:t xml:space="preserve">in </w:t>
      </w:r>
      <w:r w:rsidR="000073C6" w:rsidRPr="004100CF">
        <w:rPr>
          <w:rFonts w:ascii="Times New Roman" w:hAnsi="Times New Roman" w:cs="Times New Roman"/>
          <w:i/>
          <w:iCs/>
          <w:sz w:val="22"/>
          <w:szCs w:val="22"/>
        </w:rPr>
        <w:t xml:space="preserve">holo </w:t>
      </w:r>
      <w:r w:rsidR="000073C6" w:rsidRPr="004100CF">
        <w:rPr>
          <w:rFonts w:ascii="Times New Roman" w:hAnsi="Times New Roman" w:cs="Times New Roman"/>
          <w:sz w:val="22"/>
          <w:szCs w:val="22"/>
        </w:rPr>
        <w:t xml:space="preserve">and </w:t>
      </w:r>
      <w:r w:rsidR="000073C6" w:rsidRPr="004100CF">
        <w:rPr>
          <w:rFonts w:ascii="Times New Roman" w:hAnsi="Times New Roman" w:cs="Times New Roman"/>
          <w:i/>
          <w:iCs/>
          <w:sz w:val="22"/>
          <w:szCs w:val="22"/>
        </w:rPr>
        <w:t xml:space="preserve">apo </w:t>
      </w:r>
      <w:r w:rsidR="000073C6" w:rsidRPr="004100CF">
        <w:rPr>
          <w:rFonts w:ascii="Times New Roman" w:hAnsi="Times New Roman" w:cs="Times New Roman"/>
          <w:sz w:val="22"/>
          <w:szCs w:val="22"/>
        </w:rPr>
        <w:t xml:space="preserve">states </w:t>
      </w:r>
      <w:r w:rsidRPr="004100CF">
        <w:rPr>
          <w:rFonts w:ascii="Times New Roman" w:hAnsi="Times New Roman" w:cs="Times New Roman"/>
          <w:sz w:val="22"/>
          <w:szCs w:val="22"/>
        </w:rPr>
        <w:t xml:space="preserve">provide the same ∆∆G </w:t>
      </w:r>
      <w:r w:rsidR="000073C6" w:rsidRPr="004100CF">
        <w:rPr>
          <w:rFonts w:ascii="Times New Roman" w:hAnsi="Times New Roman" w:cs="Times New Roman"/>
          <w:sz w:val="22"/>
          <w:szCs w:val="22"/>
        </w:rPr>
        <w:t>result as the binding free energy, ∆G, change from WT to Mut</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 xml:space="preserve">(B) </w:t>
      </w:r>
      <w:r w:rsidRPr="004100CF">
        <w:rPr>
          <w:rFonts w:ascii="Times New Roman" w:hAnsi="Times New Roman" w:cs="Times New Roman"/>
          <w:sz w:val="22"/>
          <w:szCs w:val="22"/>
        </w:rPr>
        <w:t xml:space="preserve">Visualization of </w:t>
      </w:r>
      <w:r w:rsidR="000073C6" w:rsidRPr="004100CF">
        <w:rPr>
          <w:rFonts w:ascii="Times New Roman" w:hAnsi="Times New Roman" w:cs="Times New Roman"/>
          <w:sz w:val="22"/>
          <w:szCs w:val="22"/>
        </w:rPr>
        <w:t>the hybrid residue topology used to drive the transition between WT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0) and Mut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1). As an illustration, in case of V106A, the </w:t>
      </w:r>
      <w:r w:rsidR="002E236A" w:rsidRPr="004100CF">
        <w:rPr>
          <w:rFonts w:ascii="Times New Roman" w:hAnsi="Times New Roman" w:cs="Times New Roman"/>
          <w:sz w:val="22"/>
          <w:szCs w:val="22"/>
        </w:rPr>
        <w:t xml:space="preserve">RT p66 </w:t>
      </w:r>
      <w:r w:rsidR="000073C6" w:rsidRPr="004100CF">
        <w:rPr>
          <w:rFonts w:ascii="Times New Roman" w:hAnsi="Times New Roman" w:cs="Times New Roman"/>
          <w:sz w:val="22"/>
          <w:szCs w:val="22"/>
        </w:rPr>
        <w:t xml:space="preserve">residue 106 contains atoms for both Valine and Alanine: When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0, Valine sidechain atoms (green) are on and Alanine atoms (red) are off. When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1, Valine sidechain atoms are switched off and Alanine atoms are switched on. </w:t>
      </w:r>
      <w:r w:rsidRPr="004100CF">
        <w:rPr>
          <w:rFonts w:ascii="Times New Roman" w:hAnsi="Times New Roman" w:cs="Times New Roman"/>
          <w:b/>
          <w:bCs/>
          <w:sz w:val="22"/>
          <w:szCs w:val="22"/>
        </w:rPr>
        <w:t>(C)</w:t>
      </w:r>
      <w:r w:rsidRPr="004100CF">
        <w:rPr>
          <w:rFonts w:ascii="Times New Roman" w:hAnsi="Times New Roman" w:cs="Times New Roman"/>
          <w:i/>
          <w:iCs/>
          <w:sz w:val="22"/>
          <w:szCs w:val="22"/>
        </w:rPr>
        <w:t xml:space="preserve"> </w:t>
      </w:r>
      <w:r w:rsidR="002E236A" w:rsidRPr="004100CF">
        <w:rPr>
          <w:rFonts w:ascii="Times New Roman" w:hAnsi="Times New Roman" w:cs="Times New Roman"/>
          <w:sz w:val="22"/>
          <w:szCs w:val="22"/>
        </w:rPr>
        <w:t>Work done to mutate residues from WT</w:t>
      </w:r>
      <w:r w:rsidR="002E236A" w:rsidRPr="004100CF">
        <w:rPr>
          <w:rFonts w:ascii="Times New Roman" w:hAnsi="Times New Roman" w:cs="Times New Roman"/>
          <w:sz w:val="22"/>
          <w:szCs w:val="22"/>
        </w:rPr>
        <w:sym w:font="Wingdings" w:char="F0E0"/>
      </w:r>
      <w:r w:rsidR="002E236A" w:rsidRPr="004100CF">
        <w:rPr>
          <w:rFonts w:ascii="Times New Roman" w:hAnsi="Times New Roman" w:cs="Times New Roman"/>
          <w:sz w:val="22"/>
          <w:szCs w:val="22"/>
        </w:rPr>
        <w:t>Mut (Forward) and Mut</w:t>
      </w:r>
      <w:r w:rsidR="002E236A" w:rsidRPr="004100CF">
        <w:rPr>
          <w:rFonts w:ascii="Times New Roman" w:hAnsi="Times New Roman" w:cs="Times New Roman"/>
          <w:sz w:val="22"/>
          <w:szCs w:val="22"/>
        </w:rPr>
        <w:sym w:font="Wingdings" w:char="F0E0"/>
      </w:r>
      <w:r w:rsidR="002E236A" w:rsidRPr="004100CF">
        <w:rPr>
          <w:rFonts w:ascii="Times New Roman" w:hAnsi="Times New Roman" w:cs="Times New Roman"/>
          <w:sz w:val="22"/>
          <w:szCs w:val="22"/>
        </w:rPr>
        <w:t xml:space="preserve">WT (Reverse) is recorded and histogram over </w:t>
      </w:r>
      <w:r w:rsidR="002E236A" w:rsidRPr="004100CF">
        <w:rPr>
          <w:rFonts w:ascii="Times New Roman" w:hAnsi="Times New Roman" w:cs="Times New Roman"/>
          <w:i/>
          <w:iCs/>
          <w:sz w:val="22"/>
          <w:szCs w:val="22"/>
        </w:rPr>
        <w:t xml:space="preserve">N </w:t>
      </w:r>
      <w:r w:rsidR="002E236A" w:rsidRPr="004100CF">
        <w:rPr>
          <w:rFonts w:ascii="Times New Roman" w:hAnsi="Times New Roman" w:cs="Times New Roman"/>
          <w:sz w:val="22"/>
          <w:szCs w:val="22"/>
        </w:rPr>
        <w:t xml:space="preserve">= 100 switches in both directions is plotted to get the ∆G value in both </w:t>
      </w:r>
      <w:r w:rsidR="002E236A" w:rsidRPr="004100CF">
        <w:rPr>
          <w:rFonts w:ascii="Times New Roman" w:hAnsi="Times New Roman" w:cs="Times New Roman"/>
          <w:i/>
          <w:iCs/>
          <w:sz w:val="22"/>
          <w:szCs w:val="22"/>
        </w:rPr>
        <w:t xml:space="preserve">holo </w:t>
      </w:r>
      <w:r w:rsidR="002E236A" w:rsidRPr="004100CF">
        <w:rPr>
          <w:rFonts w:ascii="Times New Roman" w:hAnsi="Times New Roman" w:cs="Times New Roman"/>
          <w:sz w:val="22"/>
          <w:szCs w:val="22"/>
        </w:rPr>
        <w:t xml:space="preserve">and </w:t>
      </w:r>
      <w:r w:rsidR="002E236A" w:rsidRPr="004100CF">
        <w:rPr>
          <w:rFonts w:ascii="Times New Roman" w:hAnsi="Times New Roman" w:cs="Times New Roman"/>
          <w:i/>
          <w:iCs/>
          <w:sz w:val="22"/>
          <w:szCs w:val="22"/>
        </w:rPr>
        <w:t xml:space="preserve">apo </w:t>
      </w:r>
      <w:r w:rsidR="002E236A" w:rsidRPr="004100CF">
        <w:rPr>
          <w:rFonts w:ascii="Times New Roman" w:hAnsi="Times New Roman" w:cs="Times New Roman"/>
          <w:sz w:val="22"/>
          <w:szCs w:val="22"/>
        </w:rPr>
        <w:t xml:space="preserve">configurations. </w:t>
      </w:r>
      <w:r w:rsidR="002E236A" w:rsidRPr="004100CF">
        <w:rPr>
          <w:rFonts w:ascii="Times New Roman" w:hAnsi="Times New Roman" w:cs="Times New Roman"/>
          <w:b/>
          <w:bCs/>
          <w:sz w:val="22"/>
          <w:szCs w:val="22"/>
        </w:rPr>
        <w:t>(D)</w:t>
      </w:r>
      <w:r w:rsidR="002E236A" w:rsidRPr="004100CF">
        <w:rPr>
          <w:rFonts w:ascii="Times New Roman" w:hAnsi="Times New Roman" w:cs="Times New Roman"/>
          <w:sz w:val="22"/>
          <w:szCs w:val="22"/>
        </w:rPr>
        <w:t xml:space="preserve"> Shift in binding free energy, ∆∆G</w:t>
      </w:r>
      <w:r w:rsidR="002E236A" w:rsidRPr="004100CF">
        <w:rPr>
          <w:rFonts w:ascii="Times New Roman" w:hAnsi="Times New Roman" w:cs="Times New Roman"/>
          <w:sz w:val="22"/>
          <w:szCs w:val="22"/>
          <w:vertAlign w:val="subscript"/>
        </w:rPr>
        <w:t>bind</w:t>
      </w:r>
      <w:r w:rsidR="002E236A" w:rsidRPr="004100CF">
        <w:rPr>
          <w:rFonts w:ascii="Times New Roman" w:hAnsi="Times New Roman" w:cs="Times New Roman"/>
          <w:sz w:val="22"/>
          <w:szCs w:val="22"/>
        </w:rPr>
        <w:t>, computed using this protocol plotted against median DOR fold-reduction values for each genotype. Error bars denote standard error</w:t>
      </w:r>
      <w:r w:rsidR="00DD61CC" w:rsidRPr="004100CF">
        <w:rPr>
          <w:rFonts w:ascii="Times New Roman" w:hAnsi="Times New Roman" w:cs="Times New Roman"/>
          <w:sz w:val="22"/>
          <w:szCs w:val="22"/>
        </w:rPr>
        <w:t>s</w:t>
      </w:r>
      <w:r w:rsidR="002E236A" w:rsidRPr="004100CF">
        <w:rPr>
          <w:rFonts w:ascii="Times New Roman" w:hAnsi="Times New Roman" w:cs="Times New Roman"/>
          <w:sz w:val="22"/>
          <w:szCs w:val="22"/>
        </w:rPr>
        <w:t xml:space="preserve"> of the mean across triplicates.</w:t>
      </w:r>
    </w:p>
    <w:p w14:paraId="0EB7409B" w14:textId="77777777" w:rsidR="007E05DC" w:rsidRDefault="007E05DC" w:rsidP="007E05DC">
      <w:pPr>
        <w:spacing w:after="240"/>
        <w:rPr>
          <w:rFonts w:ascii="Times New Roman" w:hAnsi="Times New Roman" w:cs="Times New Roman"/>
        </w:rPr>
      </w:pPr>
      <w:r w:rsidRPr="004100CF">
        <w:rPr>
          <w:rFonts w:ascii="Times New Roman" w:hAnsi="Times New Roman" w:cs="Times New Roman"/>
        </w:rPr>
        <w:t>First, we observe that 3 out of 4 “Susceptible” mutations are predicted to have weak impact on RT-DOR binding free energy (∆∆G</w:t>
      </w:r>
      <w:r w:rsidRPr="004100CF">
        <w:rPr>
          <w:rFonts w:ascii="Times New Roman" w:hAnsi="Times New Roman" w:cs="Times New Roman"/>
          <w:vertAlign w:val="subscript"/>
        </w:rPr>
        <w:t xml:space="preserve">bind </w:t>
      </w:r>
      <w:r w:rsidRPr="004100CF">
        <w:rPr>
          <w:rFonts w:ascii="Times New Roman" w:hAnsi="Times New Roman" w:cs="Times New Roman"/>
        </w:rPr>
        <w:t>&lt; 0.5kcal/mol within error) with V106I as the strong exception. Conversely, 7 out of 9 “Resistant” mutations are predicted to have strong impact on RT-DOR binding free energy (∆∆G</w:t>
      </w:r>
      <w:r w:rsidRPr="004100CF">
        <w:rPr>
          <w:rFonts w:ascii="Times New Roman" w:hAnsi="Times New Roman" w:cs="Times New Roman"/>
          <w:vertAlign w:val="subscript"/>
        </w:rPr>
        <w:t xml:space="preserve">bind </w:t>
      </w:r>
      <w:r w:rsidRPr="004100CF">
        <w:rPr>
          <w:rFonts w:ascii="Times New Roman" w:hAnsi="Times New Roman" w:cs="Times New Roman"/>
        </w:rPr>
        <w:t>&gt; 0.5kcal/mol within error) with A98G+F227C and K103N+M230L as the exceptions. In this respect, amongst the mutations in the “Uncertain” phenotype category, only K103N+L100I is predicted to have a weak impact on RT-DOR binding free energy, and the rest are predicted to have a strong impact.</w:t>
      </w:r>
    </w:p>
    <w:p w14:paraId="4E7CC69E" w14:textId="77777777" w:rsidR="00C06CDC" w:rsidRDefault="00C06CDC" w:rsidP="00C06CDC">
      <w:pPr>
        <w:spacing w:after="240"/>
        <w:rPr>
          <w:rFonts w:ascii="Times New Roman" w:hAnsi="Times New Roman" w:cs="Times New Roman"/>
        </w:rPr>
      </w:pPr>
      <w:r w:rsidRPr="004100CF">
        <w:rPr>
          <w:rFonts w:ascii="Times New Roman" w:hAnsi="Times New Roman" w:cs="Times New Roman"/>
        </w:rPr>
        <w:lastRenderedPageBreak/>
        <w:t>Second, only 1 out of 4 Susceptible mutations, K103N, is predicted to have weak impact on RT-DOR interface energy (∆∆E</w:t>
      </w:r>
      <w:r w:rsidRPr="004100CF">
        <w:rPr>
          <w:rFonts w:ascii="Times New Roman" w:hAnsi="Times New Roman" w:cs="Times New Roman"/>
          <w:vertAlign w:val="subscript"/>
        </w:rPr>
        <w:t>Total</w:t>
      </w:r>
      <w:r w:rsidRPr="004100CF">
        <w:rPr>
          <w:rFonts w:ascii="Times New Roman" w:hAnsi="Times New Roman" w:cs="Times New Roman"/>
        </w:rPr>
        <w:t xml:space="preserve"> &lt; 0.5kcal/mol within error). </w:t>
      </w:r>
      <w:commentRangeStart w:id="4"/>
      <w:r w:rsidRPr="004100CF">
        <w:rPr>
          <w:rFonts w:ascii="Times New Roman" w:hAnsi="Times New Roman" w:cs="Times New Roman"/>
        </w:rPr>
        <w:t>8 out of 9 Resistant mutations are predicted to have strong impact on RT-DOR interface energy (∆∆E</w:t>
      </w:r>
      <w:r w:rsidRPr="004100CF">
        <w:rPr>
          <w:rFonts w:ascii="Times New Roman" w:hAnsi="Times New Roman" w:cs="Times New Roman"/>
          <w:vertAlign w:val="subscript"/>
        </w:rPr>
        <w:t>Total</w:t>
      </w:r>
      <w:r w:rsidRPr="004100CF">
        <w:rPr>
          <w:rFonts w:ascii="Times New Roman" w:hAnsi="Times New Roman" w:cs="Times New Roman"/>
        </w:rPr>
        <w:t xml:space="preserve"> &gt; 0.5kcal/mol within error) with K103N+M230L as the only exception</w:t>
      </w:r>
      <w:commentRangeEnd w:id="4"/>
      <w:r w:rsidR="00AF4BCB" w:rsidRPr="004100CF">
        <w:rPr>
          <w:rStyle w:val="CommentReference"/>
          <w:rFonts w:ascii="Times New Roman" w:hAnsi="Times New Roman" w:cs="Times New Roman"/>
          <w:sz w:val="24"/>
          <w:szCs w:val="21"/>
        </w:rPr>
        <w:commentReference w:id="4"/>
      </w:r>
      <w:r w:rsidRPr="004100CF">
        <w:rPr>
          <w:rFonts w:ascii="Times New Roman" w:hAnsi="Times New Roman" w:cs="Times New Roman"/>
        </w:rPr>
        <w:t>. By the same logic, amongst the Uncertain phenotype, K103N+L100I and K103N+P225H are predicted to have weak impact on RT-DOR interface energy, while the rest are predicted to have a strong impact. Out of the 13 genotypes predicted to have positive ∆∆E</w:t>
      </w:r>
      <w:r w:rsidRPr="004100CF">
        <w:rPr>
          <w:rFonts w:ascii="Times New Roman" w:hAnsi="Times New Roman" w:cs="Times New Roman"/>
          <w:vertAlign w:val="subscript"/>
        </w:rPr>
        <w:t>Total</w:t>
      </w:r>
      <w:r w:rsidRPr="004100CF">
        <w:rPr>
          <w:rFonts w:ascii="Times New Roman" w:hAnsi="Times New Roman" w:cs="Times New Roman"/>
        </w:rPr>
        <w:t xml:space="preserve"> (within error), 9 of them involve ∆∆E</w:t>
      </w:r>
      <w:r w:rsidRPr="004100CF">
        <w:rPr>
          <w:rFonts w:ascii="Times New Roman" w:hAnsi="Times New Roman" w:cs="Times New Roman"/>
          <w:vertAlign w:val="subscript"/>
        </w:rPr>
        <w:t>vdW</w:t>
      </w:r>
      <w:r w:rsidRPr="004100CF">
        <w:rPr>
          <w:rFonts w:ascii="Times New Roman" w:hAnsi="Times New Roman" w:cs="Times New Roman"/>
        </w:rPr>
        <w:t xml:space="preserve"> as the dominant contribution. In the remaining 4 genotypes, ∆∆E</w:t>
      </w:r>
      <w:r w:rsidRPr="004100CF">
        <w:rPr>
          <w:rFonts w:ascii="Times New Roman" w:hAnsi="Times New Roman" w:cs="Times New Roman"/>
          <w:vertAlign w:val="subscript"/>
        </w:rPr>
        <w:t>GB</w:t>
      </w:r>
      <w:r w:rsidRPr="004100CF">
        <w:rPr>
          <w:rFonts w:ascii="Times New Roman" w:hAnsi="Times New Roman" w:cs="Times New Roman"/>
        </w:rPr>
        <w:t xml:space="preserve"> has the major contribution. ∆∆E</w:t>
      </w:r>
      <w:r w:rsidRPr="004100CF">
        <w:rPr>
          <w:rFonts w:ascii="Times New Roman" w:hAnsi="Times New Roman" w:cs="Times New Roman"/>
          <w:vertAlign w:val="subscript"/>
        </w:rPr>
        <w:t>elec</w:t>
      </w:r>
      <w:r w:rsidRPr="004100CF">
        <w:rPr>
          <w:rFonts w:ascii="Times New Roman" w:hAnsi="Times New Roman" w:cs="Times New Roman"/>
        </w:rPr>
        <w:t xml:space="preserve"> exhibits </w:t>
      </w:r>
      <w:r w:rsidRPr="004100CF">
        <w:rPr>
          <w:rFonts w:ascii="Times New Roman" w:hAnsi="Times New Roman" w:cs="Times New Roman"/>
          <w:i/>
          <w:iCs/>
        </w:rPr>
        <w:t xml:space="preserve">negative </w:t>
      </w:r>
      <w:r w:rsidRPr="004100CF">
        <w:rPr>
          <w:rFonts w:ascii="Times New Roman" w:hAnsi="Times New Roman" w:cs="Times New Roman"/>
        </w:rPr>
        <w:t>values in case of 10 out of the 18 genotypes, while ∆∆E</w:t>
      </w:r>
      <w:r w:rsidRPr="004100CF">
        <w:rPr>
          <w:rFonts w:ascii="Times New Roman" w:hAnsi="Times New Roman" w:cs="Times New Roman"/>
          <w:vertAlign w:val="subscript"/>
        </w:rPr>
        <w:t>SA</w:t>
      </w:r>
      <w:r w:rsidRPr="004100CF">
        <w:rPr>
          <w:rFonts w:ascii="Times New Roman" w:hAnsi="Times New Roman" w:cs="Times New Roman"/>
        </w:rPr>
        <w:t xml:space="preserve"> contributions are universally insignificant.</w:t>
      </w:r>
    </w:p>
    <w:p w14:paraId="75D01D33" w14:textId="2D4F18F2" w:rsidR="00F908FC" w:rsidRPr="00C06CDC" w:rsidRDefault="00F908FC" w:rsidP="00C06CDC">
      <w:pPr>
        <w:spacing w:after="240"/>
        <w:rPr>
          <w:rFonts w:ascii="Times New Roman" w:hAnsi="Times New Roman" w:cs="Times New Roman"/>
        </w:rPr>
      </w:pPr>
      <w:r w:rsidRPr="004100CF">
        <w:rPr>
          <w:rFonts w:ascii="Times New Roman" w:hAnsi="Times New Roman" w:cs="Times New Roman"/>
          <w:b/>
          <w:bCs/>
          <w:color w:val="000000"/>
          <w:sz w:val="22"/>
          <w:szCs w:val="22"/>
        </w:rPr>
        <w:t>Table 2. WT-referenced MM/GBSA energy shifts</w:t>
      </w:r>
      <w:r w:rsidR="00627654" w:rsidRPr="004100CF">
        <w:rPr>
          <w:rFonts w:ascii="Times New Roman" w:hAnsi="Times New Roman" w:cs="Times New Roman"/>
          <w:b/>
          <w:bCs/>
          <w:color w:val="000000"/>
          <w:sz w:val="22"/>
          <w:szCs w:val="22"/>
        </w:rPr>
        <w:t>, ∆∆E,</w:t>
      </w:r>
      <w:r w:rsidRPr="004100CF">
        <w:rPr>
          <w:rFonts w:ascii="Times New Roman" w:hAnsi="Times New Roman" w:cs="Times New Roman"/>
          <w:b/>
          <w:bCs/>
          <w:color w:val="000000"/>
          <w:sz w:val="22"/>
          <w:szCs w:val="22"/>
        </w:rPr>
        <w:t xml:space="preserve"> </w:t>
      </w:r>
      <w:r w:rsidR="00674E9E" w:rsidRPr="004100CF">
        <w:rPr>
          <w:rFonts w:ascii="Times New Roman" w:hAnsi="Times New Roman" w:cs="Times New Roman"/>
          <w:b/>
          <w:bCs/>
          <w:color w:val="000000"/>
          <w:sz w:val="22"/>
          <w:szCs w:val="22"/>
        </w:rPr>
        <w:t>from equilibrium MD and Binding Free Energy changes</w:t>
      </w:r>
      <w:r w:rsidR="00627654" w:rsidRPr="004100CF">
        <w:rPr>
          <w:rFonts w:ascii="Times New Roman" w:hAnsi="Times New Roman" w:cs="Times New Roman"/>
          <w:b/>
          <w:bCs/>
          <w:color w:val="000000"/>
          <w:sz w:val="22"/>
          <w:szCs w:val="22"/>
        </w:rPr>
        <w:t>, ∆∆G,</w:t>
      </w:r>
      <w:r w:rsidR="00674E9E" w:rsidRPr="004100CF">
        <w:rPr>
          <w:rFonts w:ascii="Times New Roman" w:hAnsi="Times New Roman" w:cs="Times New Roman"/>
          <w:b/>
          <w:bCs/>
          <w:color w:val="000000"/>
          <w:sz w:val="22"/>
          <w:szCs w:val="22"/>
        </w:rPr>
        <w:t xml:space="preserve">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090"/>
        <w:gridCol w:w="1160"/>
        <w:gridCol w:w="1260"/>
      </w:tblGrid>
      <w:tr w:rsidR="00674E9E" w:rsidRPr="004100CF" w14:paraId="0F0D8699" w14:textId="65261841" w:rsidTr="00B96F1D">
        <w:trPr>
          <w:trHeight w:val="539"/>
        </w:trPr>
        <w:tc>
          <w:tcPr>
            <w:tcW w:w="1260" w:type="dxa"/>
            <w:tcBorders>
              <w:top w:val="single" w:sz="4" w:space="0" w:color="auto"/>
              <w:bottom w:val="single" w:sz="4" w:space="0" w:color="auto"/>
            </w:tcBorders>
            <w:hideMark/>
          </w:tcPr>
          <w:p w14:paraId="4BFD2C15" w14:textId="77777777"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Mutation category</w:t>
            </w:r>
          </w:p>
        </w:tc>
        <w:tc>
          <w:tcPr>
            <w:tcW w:w="1080" w:type="dxa"/>
            <w:tcBorders>
              <w:top w:val="single" w:sz="4" w:space="0" w:color="auto"/>
              <w:bottom w:val="single" w:sz="4" w:space="0" w:color="auto"/>
            </w:tcBorders>
            <w:hideMark/>
          </w:tcPr>
          <w:p w14:paraId="4A90F386" w14:textId="77777777" w:rsidR="00674E9E" w:rsidRPr="004100CF" w:rsidRDefault="00674E9E" w:rsidP="005A06D4">
            <w:pPr>
              <w:spacing w:line="480" w:lineRule="auto"/>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Mutation</w:t>
            </w:r>
          </w:p>
        </w:tc>
        <w:tc>
          <w:tcPr>
            <w:tcW w:w="1170" w:type="dxa"/>
            <w:tcBorders>
              <w:top w:val="single" w:sz="4" w:space="0" w:color="auto"/>
              <w:bottom w:val="single" w:sz="4" w:space="0" w:color="auto"/>
            </w:tcBorders>
            <w:hideMark/>
          </w:tcPr>
          <w:p w14:paraId="35DB49FA" w14:textId="190E5A44" w:rsidR="00674E9E" w:rsidRPr="004100CF" w:rsidRDefault="00674E9E" w:rsidP="005A06D4">
            <w:pPr>
              <w:jc w:val="center"/>
              <w:rPr>
                <w:rFonts w:ascii="Times New Roman" w:hAnsi="Times New Roman" w:cs="Times New Roman"/>
                <w:b/>
                <w:bCs/>
                <w:color w:val="000000"/>
                <w:sz w:val="20"/>
                <w:szCs w:val="20"/>
              </w:rPr>
            </w:pPr>
            <w:commentRangeStart w:id="5"/>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Total</w:t>
            </w:r>
            <w:r w:rsidR="00B96F1D" w:rsidRPr="004100CF">
              <w:rPr>
                <w:rFonts w:ascii="Times New Roman" w:hAnsi="Times New Roman" w:cs="Times New Roman"/>
                <w:b/>
                <w:bCs/>
                <w:color w:val="000000"/>
                <w:sz w:val="20"/>
                <w:szCs w:val="20"/>
                <w:vertAlign w:val="superscript"/>
              </w:rPr>
              <w:t>*</w:t>
            </w:r>
            <w:r w:rsidRPr="004100CF">
              <w:rPr>
                <w:rFonts w:ascii="Times New Roman" w:hAnsi="Times New Roman" w:cs="Times New Roman"/>
                <w:b/>
                <w:bCs/>
                <w:color w:val="000000"/>
                <w:sz w:val="20"/>
                <w:szCs w:val="20"/>
              </w:rPr>
              <w:t xml:space="preserve"> (kcal/mol)</w:t>
            </w:r>
          </w:p>
        </w:tc>
        <w:tc>
          <w:tcPr>
            <w:tcW w:w="1170" w:type="dxa"/>
            <w:tcBorders>
              <w:top w:val="single" w:sz="4" w:space="0" w:color="auto"/>
              <w:bottom w:val="single" w:sz="4" w:space="0" w:color="auto"/>
            </w:tcBorders>
            <w:hideMark/>
          </w:tcPr>
          <w:p w14:paraId="38B1BDAF" w14:textId="582C3BF6"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vdW</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hideMark/>
          </w:tcPr>
          <w:p w14:paraId="15C6AF74" w14:textId="340541B5"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elec</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090" w:type="dxa"/>
            <w:tcBorders>
              <w:top w:val="single" w:sz="4" w:space="0" w:color="auto"/>
              <w:bottom w:val="single" w:sz="4" w:space="0" w:color="auto"/>
            </w:tcBorders>
          </w:tcPr>
          <w:p w14:paraId="0245B68F" w14:textId="48B68177"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GB</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160" w:type="dxa"/>
            <w:tcBorders>
              <w:top w:val="single" w:sz="4" w:space="0" w:color="auto"/>
              <w:bottom w:val="single" w:sz="4" w:space="0" w:color="auto"/>
            </w:tcBorders>
          </w:tcPr>
          <w:p w14:paraId="47792F04" w14:textId="1C917B5D"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SA</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260" w:type="dxa"/>
            <w:tcBorders>
              <w:top w:val="single" w:sz="4" w:space="0" w:color="auto"/>
              <w:bottom w:val="single" w:sz="4" w:space="0" w:color="auto"/>
            </w:tcBorders>
          </w:tcPr>
          <w:p w14:paraId="017D5B5F" w14:textId="42F8A705"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∆∆G</w:t>
            </w:r>
            <w:r w:rsidRPr="004100CF">
              <w:rPr>
                <w:rFonts w:ascii="Times New Roman" w:hAnsi="Times New Roman" w:cs="Times New Roman"/>
                <w:b/>
                <w:bCs/>
                <w:color w:val="000000"/>
                <w:sz w:val="20"/>
                <w:szCs w:val="20"/>
                <w:vertAlign w:val="subscript"/>
              </w:rPr>
              <w:t>bind</w:t>
            </w:r>
            <w:r w:rsidR="00B96F1D" w:rsidRPr="004100CF">
              <w:rPr>
                <w:rFonts w:ascii="Times New Roman" w:hAnsi="Times New Roman" w:cs="Times New Roman"/>
                <w:b/>
                <w:bCs/>
                <w:color w:val="000000"/>
                <w:sz w:val="20"/>
                <w:szCs w:val="20"/>
                <w:vertAlign w:val="superscript"/>
              </w:rPr>
              <w:t>**</w:t>
            </w:r>
            <w:r w:rsidRPr="004100CF">
              <w:rPr>
                <w:rFonts w:ascii="Times New Roman" w:hAnsi="Times New Roman" w:cs="Times New Roman"/>
                <w:b/>
                <w:bCs/>
                <w:color w:val="000000"/>
                <w:sz w:val="20"/>
                <w:szCs w:val="20"/>
              </w:rPr>
              <w:t xml:space="preserve"> (kcal/mol)</w:t>
            </w:r>
            <w:commentRangeEnd w:id="5"/>
            <w:r w:rsidR="005B7484" w:rsidRPr="004100CF">
              <w:rPr>
                <w:rStyle w:val="CommentReference"/>
                <w:rFonts w:ascii="Times New Roman" w:hAnsi="Times New Roman" w:cs="Times New Roman"/>
                <w:b/>
                <w:bCs/>
                <w:color w:val="000000"/>
                <w:sz w:val="20"/>
                <w:szCs w:val="20"/>
              </w:rPr>
              <w:commentReference w:id="5"/>
            </w:r>
          </w:p>
        </w:tc>
      </w:tr>
      <w:tr w:rsidR="00B96F1D" w:rsidRPr="004100CF" w14:paraId="792E782C" w14:textId="4126F240" w:rsidTr="00B96F1D">
        <w:trPr>
          <w:trHeight w:val="340"/>
        </w:trPr>
        <w:tc>
          <w:tcPr>
            <w:tcW w:w="1260" w:type="dxa"/>
            <w:vMerge w:val="restart"/>
            <w:tcBorders>
              <w:top w:val="single" w:sz="4" w:space="0" w:color="auto"/>
            </w:tcBorders>
            <w:hideMark/>
          </w:tcPr>
          <w:p w14:paraId="14F15368"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Susceptible</w:t>
            </w:r>
          </w:p>
        </w:tc>
        <w:tc>
          <w:tcPr>
            <w:tcW w:w="1080" w:type="dxa"/>
            <w:tcBorders>
              <w:top w:val="single" w:sz="4" w:space="0" w:color="auto"/>
            </w:tcBorders>
            <w:hideMark/>
          </w:tcPr>
          <w:p w14:paraId="09197CA0"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color w:val="000000"/>
                <w:sz w:val="20"/>
                <w:szCs w:val="20"/>
              </w:rPr>
              <w:t>V106I</w:t>
            </w:r>
          </w:p>
        </w:tc>
        <w:tc>
          <w:tcPr>
            <w:tcW w:w="1170" w:type="dxa"/>
            <w:tcBorders>
              <w:top w:val="single" w:sz="4" w:space="0" w:color="auto"/>
            </w:tcBorders>
            <w:hideMark/>
          </w:tcPr>
          <w:p w14:paraId="31CEB050" w14:textId="5D0100C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2.44 ± 1.23</w:t>
            </w:r>
          </w:p>
        </w:tc>
        <w:tc>
          <w:tcPr>
            <w:tcW w:w="1170" w:type="dxa"/>
            <w:tcBorders>
              <w:top w:val="single" w:sz="4" w:space="0" w:color="auto"/>
            </w:tcBorders>
            <w:hideMark/>
          </w:tcPr>
          <w:p w14:paraId="614EAAA7" w14:textId="29B7139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1.75 ± 1.22</w:t>
            </w:r>
          </w:p>
        </w:tc>
        <w:tc>
          <w:tcPr>
            <w:tcW w:w="1170" w:type="dxa"/>
            <w:tcBorders>
              <w:top w:val="single" w:sz="4" w:space="0" w:color="auto"/>
            </w:tcBorders>
            <w:hideMark/>
          </w:tcPr>
          <w:p w14:paraId="21F5AE59" w14:textId="57E4F68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0.41 ± 0.25</w:t>
            </w:r>
          </w:p>
        </w:tc>
        <w:tc>
          <w:tcPr>
            <w:tcW w:w="1090" w:type="dxa"/>
            <w:tcBorders>
              <w:top w:val="single" w:sz="4" w:space="0" w:color="auto"/>
            </w:tcBorders>
          </w:tcPr>
          <w:p w14:paraId="692E5276" w14:textId="0021DFF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0.30 ± 0.09</w:t>
            </w:r>
          </w:p>
        </w:tc>
        <w:tc>
          <w:tcPr>
            <w:tcW w:w="1160" w:type="dxa"/>
            <w:tcBorders>
              <w:top w:val="single" w:sz="4" w:space="0" w:color="auto"/>
            </w:tcBorders>
          </w:tcPr>
          <w:p w14:paraId="311E79AC" w14:textId="481F290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-0.025 ± 0.063</w:t>
            </w:r>
          </w:p>
        </w:tc>
        <w:tc>
          <w:tcPr>
            <w:tcW w:w="1260" w:type="dxa"/>
            <w:tcBorders>
              <w:top w:val="single" w:sz="4" w:space="0" w:color="auto"/>
            </w:tcBorders>
          </w:tcPr>
          <w:p w14:paraId="0E285792" w14:textId="6E75932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2.27 ± 0.74</w:t>
            </w:r>
          </w:p>
        </w:tc>
      </w:tr>
      <w:tr w:rsidR="00B96F1D" w:rsidRPr="004100CF" w14:paraId="5F1B466C" w14:textId="3CB44492" w:rsidTr="00B96F1D">
        <w:trPr>
          <w:trHeight w:val="340"/>
        </w:trPr>
        <w:tc>
          <w:tcPr>
            <w:tcW w:w="1260" w:type="dxa"/>
            <w:vMerge/>
            <w:hideMark/>
          </w:tcPr>
          <w:p w14:paraId="06C53523"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56942AA6"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w:t>
            </w:r>
          </w:p>
        </w:tc>
        <w:tc>
          <w:tcPr>
            <w:tcW w:w="1170" w:type="dxa"/>
            <w:hideMark/>
          </w:tcPr>
          <w:p w14:paraId="0D34FF38" w14:textId="1D4C5CD3"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-0.47 ± 0.39</w:t>
            </w:r>
          </w:p>
        </w:tc>
        <w:tc>
          <w:tcPr>
            <w:tcW w:w="1170" w:type="dxa"/>
            <w:hideMark/>
          </w:tcPr>
          <w:p w14:paraId="452FC3D0" w14:textId="155CD0F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-0.65 ± 0.36</w:t>
            </w:r>
          </w:p>
        </w:tc>
        <w:tc>
          <w:tcPr>
            <w:tcW w:w="1170" w:type="dxa"/>
            <w:hideMark/>
          </w:tcPr>
          <w:p w14:paraId="5477CC71" w14:textId="55B290F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-2.27 ± 0.29</w:t>
            </w:r>
          </w:p>
        </w:tc>
        <w:tc>
          <w:tcPr>
            <w:tcW w:w="1090" w:type="dxa"/>
          </w:tcPr>
          <w:p w14:paraId="12EAE8A4" w14:textId="7CA320A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2.49 ± 0.41</w:t>
            </w:r>
          </w:p>
        </w:tc>
        <w:tc>
          <w:tcPr>
            <w:tcW w:w="1160" w:type="dxa"/>
          </w:tcPr>
          <w:p w14:paraId="58EB8A08" w14:textId="72C2F96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-0.051 ± 0.014</w:t>
            </w:r>
          </w:p>
        </w:tc>
        <w:tc>
          <w:tcPr>
            <w:tcW w:w="1260" w:type="dxa"/>
          </w:tcPr>
          <w:p w14:paraId="6AB76848" w14:textId="3CE7A290"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0.54 ± 0.23</w:t>
            </w:r>
          </w:p>
        </w:tc>
      </w:tr>
      <w:tr w:rsidR="00B96F1D" w:rsidRPr="004100CF" w14:paraId="28659528" w14:textId="19288ACB" w:rsidTr="00B96F1D">
        <w:trPr>
          <w:trHeight w:val="340"/>
        </w:trPr>
        <w:tc>
          <w:tcPr>
            <w:tcW w:w="1260" w:type="dxa"/>
            <w:vMerge/>
            <w:hideMark/>
          </w:tcPr>
          <w:p w14:paraId="34697E31"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E1AF94A"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Y181C</w:t>
            </w:r>
          </w:p>
        </w:tc>
        <w:tc>
          <w:tcPr>
            <w:tcW w:w="1170" w:type="dxa"/>
            <w:hideMark/>
          </w:tcPr>
          <w:p w14:paraId="7BDA5D67" w14:textId="46CB018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1.81 ± 0.51</w:t>
            </w:r>
          </w:p>
        </w:tc>
        <w:tc>
          <w:tcPr>
            <w:tcW w:w="1170" w:type="dxa"/>
            <w:hideMark/>
          </w:tcPr>
          <w:p w14:paraId="033E2A3D" w14:textId="2CE595E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1.02 ± 0.48</w:t>
            </w:r>
          </w:p>
        </w:tc>
        <w:tc>
          <w:tcPr>
            <w:tcW w:w="1170" w:type="dxa"/>
            <w:hideMark/>
          </w:tcPr>
          <w:p w14:paraId="02E71658" w14:textId="7D365351"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-0.78 ± 0.29</w:t>
            </w:r>
          </w:p>
        </w:tc>
        <w:tc>
          <w:tcPr>
            <w:tcW w:w="1090" w:type="dxa"/>
          </w:tcPr>
          <w:p w14:paraId="7650D994" w14:textId="08553DF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1.55 ± 0.24</w:t>
            </w:r>
          </w:p>
        </w:tc>
        <w:tc>
          <w:tcPr>
            <w:tcW w:w="1160" w:type="dxa"/>
          </w:tcPr>
          <w:p w14:paraId="16B7E8AB" w14:textId="057EC584"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0.019 ± 0.025</w:t>
            </w:r>
          </w:p>
        </w:tc>
        <w:tc>
          <w:tcPr>
            <w:tcW w:w="1260" w:type="dxa"/>
          </w:tcPr>
          <w:p w14:paraId="43615228" w14:textId="6B6C06C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-0.66 ± 1.06</w:t>
            </w:r>
          </w:p>
        </w:tc>
      </w:tr>
      <w:tr w:rsidR="00B96F1D" w:rsidRPr="004100CF" w14:paraId="0136850A" w14:textId="07999C28" w:rsidTr="00B96F1D">
        <w:trPr>
          <w:trHeight w:val="359"/>
        </w:trPr>
        <w:tc>
          <w:tcPr>
            <w:tcW w:w="1260" w:type="dxa"/>
            <w:vMerge/>
            <w:tcBorders>
              <w:bottom w:val="single" w:sz="4" w:space="0" w:color="auto"/>
            </w:tcBorders>
            <w:hideMark/>
          </w:tcPr>
          <w:p w14:paraId="5C17D960" w14:textId="77777777" w:rsidR="00B96F1D" w:rsidRPr="004100CF" w:rsidRDefault="00B96F1D" w:rsidP="00B96F1D">
            <w:pPr>
              <w:rPr>
                <w:rFonts w:ascii="Times New Roman" w:hAnsi="Times New Roman" w:cs="Times New Roman"/>
                <w:color w:val="000000"/>
                <w:sz w:val="20"/>
                <w:szCs w:val="20"/>
              </w:rPr>
            </w:pPr>
          </w:p>
        </w:tc>
        <w:tc>
          <w:tcPr>
            <w:tcW w:w="1080" w:type="dxa"/>
            <w:tcBorders>
              <w:bottom w:val="single" w:sz="4" w:space="0" w:color="auto"/>
            </w:tcBorders>
            <w:hideMark/>
          </w:tcPr>
          <w:p w14:paraId="19FB1A69"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G190A</w:t>
            </w:r>
          </w:p>
        </w:tc>
        <w:tc>
          <w:tcPr>
            <w:tcW w:w="1170" w:type="dxa"/>
            <w:tcBorders>
              <w:bottom w:val="single" w:sz="4" w:space="0" w:color="auto"/>
            </w:tcBorders>
            <w:hideMark/>
          </w:tcPr>
          <w:p w14:paraId="5130DC26" w14:textId="10487F8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1.73 ± 0.42</w:t>
            </w:r>
          </w:p>
        </w:tc>
        <w:tc>
          <w:tcPr>
            <w:tcW w:w="1170" w:type="dxa"/>
            <w:tcBorders>
              <w:bottom w:val="single" w:sz="4" w:space="0" w:color="auto"/>
            </w:tcBorders>
            <w:hideMark/>
          </w:tcPr>
          <w:p w14:paraId="5A7A8BE0" w14:textId="5E7207B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1.09 ± 0.31</w:t>
            </w:r>
          </w:p>
        </w:tc>
        <w:tc>
          <w:tcPr>
            <w:tcW w:w="1170" w:type="dxa"/>
            <w:tcBorders>
              <w:bottom w:val="single" w:sz="4" w:space="0" w:color="auto"/>
            </w:tcBorders>
            <w:hideMark/>
          </w:tcPr>
          <w:p w14:paraId="2A54E3B2" w14:textId="082C2A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0.59 ± 0.41</w:t>
            </w:r>
          </w:p>
        </w:tc>
        <w:tc>
          <w:tcPr>
            <w:tcW w:w="1090" w:type="dxa"/>
            <w:tcBorders>
              <w:bottom w:val="single" w:sz="4" w:space="0" w:color="auto"/>
            </w:tcBorders>
          </w:tcPr>
          <w:p w14:paraId="15AFFCE8" w14:textId="2396D2E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0.07 ± 0.58</w:t>
            </w:r>
          </w:p>
        </w:tc>
        <w:tc>
          <w:tcPr>
            <w:tcW w:w="1160" w:type="dxa"/>
            <w:tcBorders>
              <w:bottom w:val="single" w:sz="4" w:space="0" w:color="auto"/>
            </w:tcBorders>
          </w:tcPr>
          <w:p w14:paraId="1B861093" w14:textId="1B62A04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-0.016 ± 0.024</w:t>
            </w:r>
          </w:p>
        </w:tc>
        <w:tc>
          <w:tcPr>
            <w:tcW w:w="1260" w:type="dxa"/>
            <w:tcBorders>
              <w:bottom w:val="single" w:sz="4" w:space="0" w:color="auto"/>
            </w:tcBorders>
          </w:tcPr>
          <w:p w14:paraId="2B0852EB" w14:textId="31AC230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0.27 ± 0.17</w:t>
            </w:r>
          </w:p>
        </w:tc>
      </w:tr>
      <w:tr w:rsidR="00B96F1D" w:rsidRPr="004100CF" w14:paraId="2FA5339E" w14:textId="7961D789" w:rsidTr="00B96F1D">
        <w:trPr>
          <w:trHeight w:val="340"/>
        </w:trPr>
        <w:tc>
          <w:tcPr>
            <w:tcW w:w="1260" w:type="dxa"/>
            <w:vMerge w:val="restart"/>
            <w:tcBorders>
              <w:top w:val="single" w:sz="4" w:space="0" w:color="auto"/>
            </w:tcBorders>
            <w:hideMark/>
          </w:tcPr>
          <w:p w14:paraId="239A7580"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Resistant</w:t>
            </w:r>
          </w:p>
        </w:tc>
        <w:tc>
          <w:tcPr>
            <w:tcW w:w="1080" w:type="dxa"/>
            <w:tcBorders>
              <w:top w:val="single" w:sz="4" w:space="0" w:color="auto"/>
            </w:tcBorders>
            <w:hideMark/>
          </w:tcPr>
          <w:p w14:paraId="779A710F"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Y318F</w:t>
            </w:r>
          </w:p>
        </w:tc>
        <w:tc>
          <w:tcPr>
            <w:tcW w:w="1170" w:type="dxa"/>
            <w:tcBorders>
              <w:top w:val="single" w:sz="4" w:space="0" w:color="auto"/>
            </w:tcBorders>
            <w:hideMark/>
          </w:tcPr>
          <w:p w14:paraId="7AF055AD" w14:textId="106A307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2.79 ± 1.35</w:t>
            </w:r>
          </w:p>
        </w:tc>
        <w:tc>
          <w:tcPr>
            <w:tcW w:w="1170" w:type="dxa"/>
            <w:tcBorders>
              <w:top w:val="single" w:sz="4" w:space="0" w:color="auto"/>
            </w:tcBorders>
            <w:hideMark/>
          </w:tcPr>
          <w:p w14:paraId="7113D4CA" w14:textId="0575AAC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2.46 ± 0.91</w:t>
            </w:r>
          </w:p>
        </w:tc>
        <w:tc>
          <w:tcPr>
            <w:tcW w:w="1170" w:type="dxa"/>
            <w:tcBorders>
              <w:top w:val="single" w:sz="4" w:space="0" w:color="auto"/>
            </w:tcBorders>
            <w:hideMark/>
          </w:tcPr>
          <w:p w14:paraId="20D74ED5" w14:textId="3F1B200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-0.41 ± 0.77</w:t>
            </w:r>
          </w:p>
        </w:tc>
        <w:tc>
          <w:tcPr>
            <w:tcW w:w="1090" w:type="dxa"/>
            <w:tcBorders>
              <w:top w:val="single" w:sz="4" w:space="0" w:color="auto"/>
            </w:tcBorders>
          </w:tcPr>
          <w:p w14:paraId="7EF8082F" w14:textId="49396771"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0.81 ± 0.62</w:t>
            </w:r>
          </w:p>
        </w:tc>
        <w:tc>
          <w:tcPr>
            <w:tcW w:w="1160" w:type="dxa"/>
            <w:tcBorders>
              <w:top w:val="single" w:sz="4" w:space="0" w:color="auto"/>
            </w:tcBorders>
          </w:tcPr>
          <w:p w14:paraId="0C5EE5DE" w14:textId="19DE973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-0.070 ± 0.039</w:t>
            </w:r>
          </w:p>
        </w:tc>
        <w:tc>
          <w:tcPr>
            <w:tcW w:w="1260" w:type="dxa"/>
            <w:tcBorders>
              <w:top w:val="single" w:sz="4" w:space="0" w:color="auto"/>
            </w:tcBorders>
          </w:tcPr>
          <w:p w14:paraId="39969EA0" w14:textId="0B5BEA8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1.41 ± 0.45</w:t>
            </w:r>
          </w:p>
        </w:tc>
      </w:tr>
      <w:tr w:rsidR="00B96F1D" w:rsidRPr="004100CF" w14:paraId="06F09028" w14:textId="625043B4" w:rsidTr="00B96F1D">
        <w:trPr>
          <w:trHeight w:val="340"/>
        </w:trPr>
        <w:tc>
          <w:tcPr>
            <w:tcW w:w="1260" w:type="dxa"/>
            <w:vMerge/>
            <w:hideMark/>
          </w:tcPr>
          <w:p w14:paraId="6FB9F030"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B405FB1"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w:t>
            </w:r>
          </w:p>
        </w:tc>
        <w:tc>
          <w:tcPr>
            <w:tcW w:w="1170" w:type="dxa"/>
            <w:hideMark/>
          </w:tcPr>
          <w:p w14:paraId="7FA3E5AF" w14:textId="177153E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2.79 ± 0.34</w:t>
            </w:r>
          </w:p>
        </w:tc>
        <w:tc>
          <w:tcPr>
            <w:tcW w:w="1170" w:type="dxa"/>
            <w:hideMark/>
          </w:tcPr>
          <w:p w14:paraId="4DAF695A" w14:textId="789AA82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1.92 ± 0.55</w:t>
            </w:r>
          </w:p>
        </w:tc>
        <w:tc>
          <w:tcPr>
            <w:tcW w:w="1170" w:type="dxa"/>
            <w:hideMark/>
          </w:tcPr>
          <w:p w14:paraId="5D69886C" w14:textId="1E330DB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-0.78 ± 0.35</w:t>
            </w:r>
          </w:p>
        </w:tc>
        <w:tc>
          <w:tcPr>
            <w:tcW w:w="1090" w:type="dxa"/>
          </w:tcPr>
          <w:p w14:paraId="34A37233" w14:textId="5EC070D3"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1.59 ± 0.12</w:t>
            </w:r>
          </w:p>
        </w:tc>
        <w:tc>
          <w:tcPr>
            <w:tcW w:w="1160" w:type="dxa"/>
          </w:tcPr>
          <w:p w14:paraId="7D60D5A2" w14:textId="1EE478A9"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0.057 ± 0.011</w:t>
            </w:r>
          </w:p>
        </w:tc>
        <w:tc>
          <w:tcPr>
            <w:tcW w:w="1260" w:type="dxa"/>
          </w:tcPr>
          <w:p w14:paraId="3C423997" w14:textId="3DF5A264"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1.76 ± 0.51</w:t>
            </w:r>
          </w:p>
        </w:tc>
      </w:tr>
      <w:tr w:rsidR="00B96F1D" w:rsidRPr="004100CF" w14:paraId="1C4BEBCD" w14:textId="53A83098" w:rsidTr="00B96F1D">
        <w:trPr>
          <w:trHeight w:val="340"/>
        </w:trPr>
        <w:tc>
          <w:tcPr>
            <w:tcW w:w="1260" w:type="dxa"/>
            <w:vMerge/>
            <w:hideMark/>
          </w:tcPr>
          <w:p w14:paraId="55D6FC03"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338EE2BF" w14:textId="05B597BC"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A98G + F227C</w:t>
            </w:r>
          </w:p>
        </w:tc>
        <w:tc>
          <w:tcPr>
            <w:tcW w:w="1170" w:type="dxa"/>
            <w:hideMark/>
          </w:tcPr>
          <w:p w14:paraId="0B9D8332" w14:textId="74475DD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1.09 ± 1.35</w:t>
            </w:r>
          </w:p>
        </w:tc>
        <w:tc>
          <w:tcPr>
            <w:tcW w:w="1170" w:type="dxa"/>
            <w:hideMark/>
          </w:tcPr>
          <w:p w14:paraId="34BEC56B" w14:textId="73AE462C"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0.69 ± 1.47</w:t>
            </w:r>
          </w:p>
        </w:tc>
        <w:tc>
          <w:tcPr>
            <w:tcW w:w="1170" w:type="dxa"/>
            <w:hideMark/>
          </w:tcPr>
          <w:p w14:paraId="15A872D0" w14:textId="0ED84D1F"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-0.49 ± 0.06</w:t>
            </w:r>
          </w:p>
        </w:tc>
        <w:tc>
          <w:tcPr>
            <w:tcW w:w="1090" w:type="dxa"/>
          </w:tcPr>
          <w:p w14:paraId="7A496056" w14:textId="515B7880"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0.88 ± 0.10</w:t>
            </w:r>
          </w:p>
        </w:tc>
        <w:tc>
          <w:tcPr>
            <w:tcW w:w="1160" w:type="dxa"/>
          </w:tcPr>
          <w:p w14:paraId="6C01CE15" w14:textId="296CA339"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0.016 ± 0.013</w:t>
            </w:r>
          </w:p>
        </w:tc>
        <w:tc>
          <w:tcPr>
            <w:tcW w:w="1260" w:type="dxa"/>
          </w:tcPr>
          <w:p w14:paraId="765D0FC8" w14:textId="47BE9BD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-1.53 ± 0.87</w:t>
            </w:r>
          </w:p>
        </w:tc>
      </w:tr>
      <w:tr w:rsidR="00B96F1D" w:rsidRPr="004100CF" w14:paraId="1BC47192" w14:textId="6B336051" w:rsidTr="00B96F1D">
        <w:trPr>
          <w:trHeight w:val="340"/>
        </w:trPr>
        <w:tc>
          <w:tcPr>
            <w:tcW w:w="1260" w:type="dxa"/>
            <w:vMerge/>
            <w:hideMark/>
          </w:tcPr>
          <w:p w14:paraId="27A1C7CE"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047AE363" w14:textId="228ABB86"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V106I + F227C</w:t>
            </w:r>
          </w:p>
        </w:tc>
        <w:tc>
          <w:tcPr>
            <w:tcW w:w="1170" w:type="dxa"/>
            <w:hideMark/>
          </w:tcPr>
          <w:p w14:paraId="7971ED41" w14:textId="65E0B15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2.18 ± 0.56</w:t>
            </w:r>
          </w:p>
        </w:tc>
        <w:tc>
          <w:tcPr>
            <w:tcW w:w="1170" w:type="dxa"/>
            <w:hideMark/>
          </w:tcPr>
          <w:p w14:paraId="22A7E1D5" w14:textId="558CDD5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1.56 ± 0.27</w:t>
            </w:r>
          </w:p>
        </w:tc>
        <w:tc>
          <w:tcPr>
            <w:tcW w:w="1170" w:type="dxa"/>
            <w:hideMark/>
          </w:tcPr>
          <w:p w14:paraId="1D8F6E97" w14:textId="5B2D49BD"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0.20 ± 0.10</w:t>
            </w:r>
          </w:p>
        </w:tc>
        <w:tc>
          <w:tcPr>
            <w:tcW w:w="1090" w:type="dxa"/>
          </w:tcPr>
          <w:p w14:paraId="229251E7" w14:textId="11AE9192"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0.41 ± 0.43</w:t>
            </w:r>
          </w:p>
        </w:tc>
        <w:tc>
          <w:tcPr>
            <w:tcW w:w="1160" w:type="dxa"/>
          </w:tcPr>
          <w:p w14:paraId="625CC37D" w14:textId="0E740C3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0.008 ± 0.015</w:t>
            </w:r>
          </w:p>
        </w:tc>
        <w:tc>
          <w:tcPr>
            <w:tcW w:w="1260" w:type="dxa"/>
          </w:tcPr>
          <w:p w14:paraId="2D02FC96" w14:textId="15051DA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1.75 ± 1.16</w:t>
            </w:r>
          </w:p>
        </w:tc>
      </w:tr>
      <w:tr w:rsidR="00B96F1D" w:rsidRPr="004100CF" w14:paraId="43EC9452" w14:textId="66A0D564" w:rsidTr="00B96F1D">
        <w:trPr>
          <w:trHeight w:val="340"/>
        </w:trPr>
        <w:tc>
          <w:tcPr>
            <w:tcW w:w="1260" w:type="dxa"/>
            <w:vMerge/>
            <w:hideMark/>
          </w:tcPr>
          <w:p w14:paraId="5A45BBBD"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040295C" w14:textId="3F48CE4F"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F227L</w:t>
            </w:r>
          </w:p>
        </w:tc>
        <w:tc>
          <w:tcPr>
            <w:tcW w:w="1170" w:type="dxa"/>
            <w:hideMark/>
          </w:tcPr>
          <w:p w14:paraId="787F973E" w14:textId="00FCD88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2.48 ± 1.33</w:t>
            </w:r>
          </w:p>
        </w:tc>
        <w:tc>
          <w:tcPr>
            <w:tcW w:w="1170" w:type="dxa"/>
            <w:hideMark/>
          </w:tcPr>
          <w:p w14:paraId="51DA2A25" w14:textId="4819EF2C"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0.60 ± 1.32</w:t>
            </w:r>
          </w:p>
        </w:tc>
        <w:tc>
          <w:tcPr>
            <w:tcW w:w="1170" w:type="dxa"/>
            <w:hideMark/>
          </w:tcPr>
          <w:p w14:paraId="398FBA9D" w14:textId="6636EB4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0.90 ± 0.41</w:t>
            </w:r>
          </w:p>
        </w:tc>
        <w:tc>
          <w:tcPr>
            <w:tcW w:w="1090" w:type="dxa"/>
          </w:tcPr>
          <w:p w14:paraId="59F6E576" w14:textId="3DA080C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0.97 ± 0.47</w:t>
            </w:r>
          </w:p>
        </w:tc>
        <w:tc>
          <w:tcPr>
            <w:tcW w:w="1160" w:type="dxa"/>
          </w:tcPr>
          <w:p w14:paraId="6FCDC432" w14:textId="2883836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0.006 ± 0.030</w:t>
            </w:r>
          </w:p>
        </w:tc>
        <w:tc>
          <w:tcPr>
            <w:tcW w:w="1260" w:type="dxa"/>
          </w:tcPr>
          <w:p w14:paraId="4327416F" w14:textId="5854A88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4.39 ± 1.00</w:t>
            </w:r>
          </w:p>
        </w:tc>
      </w:tr>
      <w:tr w:rsidR="00B96F1D" w:rsidRPr="004100CF" w14:paraId="17904C9D" w14:textId="54060C93" w:rsidTr="00B96F1D">
        <w:trPr>
          <w:trHeight w:val="340"/>
        </w:trPr>
        <w:tc>
          <w:tcPr>
            <w:tcW w:w="1260" w:type="dxa"/>
            <w:vMerge/>
            <w:hideMark/>
          </w:tcPr>
          <w:p w14:paraId="6602E5AE"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18322086"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Y188L</w:t>
            </w:r>
          </w:p>
        </w:tc>
        <w:tc>
          <w:tcPr>
            <w:tcW w:w="1170" w:type="dxa"/>
            <w:hideMark/>
          </w:tcPr>
          <w:p w14:paraId="56168620" w14:textId="78A39C0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4.99 ± 2.19</w:t>
            </w:r>
          </w:p>
        </w:tc>
        <w:tc>
          <w:tcPr>
            <w:tcW w:w="1170" w:type="dxa"/>
            <w:hideMark/>
          </w:tcPr>
          <w:p w14:paraId="39246479" w14:textId="79A8080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3.93 ± 1.39</w:t>
            </w:r>
          </w:p>
        </w:tc>
        <w:tc>
          <w:tcPr>
            <w:tcW w:w="1170" w:type="dxa"/>
            <w:hideMark/>
          </w:tcPr>
          <w:p w14:paraId="442F508C" w14:textId="284E1B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0.77 ± 0.67</w:t>
            </w:r>
          </w:p>
        </w:tc>
        <w:tc>
          <w:tcPr>
            <w:tcW w:w="1090" w:type="dxa"/>
          </w:tcPr>
          <w:p w14:paraId="6631D57C" w14:textId="3F99A45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0.33 ± 0.26</w:t>
            </w:r>
          </w:p>
        </w:tc>
        <w:tc>
          <w:tcPr>
            <w:tcW w:w="1160" w:type="dxa"/>
          </w:tcPr>
          <w:p w14:paraId="20D7F2F4" w14:textId="10473F5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-0.036 ± 0.034</w:t>
            </w:r>
          </w:p>
        </w:tc>
        <w:tc>
          <w:tcPr>
            <w:tcW w:w="1260" w:type="dxa"/>
          </w:tcPr>
          <w:p w14:paraId="071D47A9" w14:textId="1855AED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4.52 ± 0.49</w:t>
            </w:r>
          </w:p>
        </w:tc>
      </w:tr>
      <w:tr w:rsidR="00B96F1D" w:rsidRPr="004100CF" w14:paraId="4CC06D02" w14:textId="0952D339" w:rsidTr="00B96F1D">
        <w:trPr>
          <w:trHeight w:val="340"/>
        </w:trPr>
        <w:tc>
          <w:tcPr>
            <w:tcW w:w="1260" w:type="dxa"/>
            <w:vMerge/>
            <w:hideMark/>
          </w:tcPr>
          <w:p w14:paraId="15D7F1F0"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186941EE" w14:textId="671F833D"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P225H</w:t>
            </w:r>
          </w:p>
        </w:tc>
        <w:tc>
          <w:tcPr>
            <w:tcW w:w="1170" w:type="dxa"/>
            <w:hideMark/>
          </w:tcPr>
          <w:p w14:paraId="191314B7" w14:textId="5D193AD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1.16 ± 0.86</w:t>
            </w:r>
          </w:p>
        </w:tc>
        <w:tc>
          <w:tcPr>
            <w:tcW w:w="1170" w:type="dxa"/>
            <w:hideMark/>
          </w:tcPr>
          <w:p w14:paraId="0C0E6E60" w14:textId="108A2E8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-0.79 ± 0.72</w:t>
            </w:r>
          </w:p>
        </w:tc>
        <w:tc>
          <w:tcPr>
            <w:tcW w:w="1170" w:type="dxa"/>
            <w:hideMark/>
          </w:tcPr>
          <w:p w14:paraId="20AD0DB4" w14:textId="3C2198B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0.46 ± 1.57</w:t>
            </w:r>
          </w:p>
        </w:tc>
        <w:tc>
          <w:tcPr>
            <w:tcW w:w="1090" w:type="dxa"/>
          </w:tcPr>
          <w:p w14:paraId="29F3680A" w14:textId="6CBFFFC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1.53 ± 1.41</w:t>
            </w:r>
          </w:p>
        </w:tc>
        <w:tc>
          <w:tcPr>
            <w:tcW w:w="1160" w:type="dxa"/>
          </w:tcPr>
          <w:p w14:paraId="79EB2391" w14:textId="58B160B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-0.044 ± 0.049</w:t>
            </w:r>
          </w:p>
        </w:tc>
        <w:tc>
          <w:tcPr>
            <w:tcW w:w="1260" w:type="dxa"/>
          </w:tcPr>
          <w:p w14:paraId="497DE75B" w14:textId="27D8E8C3"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3.71 ± 1.13</w:t>
            </w:r>
          </w:p>
        </w:tc>
      </w:tr>
      <w:tr w:rsidR="00B96F1D" w:rsidRPr="004100CF" w14:paraId="39CAE212" w14:textId="7E2169FE" w:rsidTr="00B96F1D">
        <w:trPr>
          <w:trHeight w:val="386"/>
        </w:trPr>
        <w:tc>
          <w:tcPr>
            <w:tcW w:w="1260" w:type="dxa"/>
            <w:vMerge/>
            <w:hideMark/>
          </w:tcPr>
          <w:p w14:paraId="0D22BED2"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08FF30A5" w14:textId="3EFAB37F"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L234I</w:t>
            </w:r>
          </w:p>
        </w:tc>
        <w:tc>
          <w:tcPr>
            <w:tcW w:w="1170" w:type="dxa"/>
            <w:hideMark/>
          </w:tcPr>
          <w:p w14:paraId="40F9DFD1" w14:textId="37C68F8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2.29 ± 1.54</w:t>
            </w:r>
          </w:p>
        </w:tc>
        <w:tc>
          <w:tcPr>
            <w:tcW w:w="1170" w:type="dxa"/>
            <w:hideMark/>
          </w:tcPr>
          <w:p w14:paraId="4D0C1F67" w14:textId="72DDB82F"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0.69 ± 1.67</w:t>
            </w:r>
          </w:p>
        </w:tc>
        <w:tc>
          <w:tcPr>
            <w:tcW w:w="1170" w:type="dxa"/>
            <w:hideMark/>
          </w:tcPr>
          <w:p w14:paraId="651DA163" w14:textId="1303372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0.23 ± 0.44</w:t>
            </w:r>
          </w:p>
        </w:tc>
        <w:tc>
          <w:tcPr>
            <w:tcW w:w="1090" w:type="dxa"/>
          </w:tcPr>
          <w:p w14:paraId="3CC52D2E" w14:textId="01C5DD41"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1.44 ± 0.30</w:t>
            </w:r>
          </w:p>
        </w:tc>
        <w:tc>
          <w:tcPr>
            <w:tcW w:w="1160" w:type="dxa"/>
          </w:tcPr>
          <w:p w14:paraId="73630BDC" w14:textId="237DCAA7"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-0.070 ± 0.004</w:t>
            </w:r>
          </w:p>
        </w:tc>
        <w:tc>
          <w:tcPr>
            <w:tcW w:w="1260" w:type="dxa"/>
          </w:tcPr>
          <w:p w14:paraId="62EC309B" w14:textId="2BD4215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3.72 ± 1.10</w:t>
            </w:r>
          </w:p>
        </w:tc>
      </w:tr>
      <w:tr w:rsidR="00B96F1D" w:rsidRPr="004100CF" w14:paraId="135AF25D" w14:textId="1A118367" w:rsidTr="00B96F1D">
        <w:trPr>
          <w:trHeight w:val="386"/>
        </w:trPr>
        <w:tc>
          <w:tcPr>
            <w:tcW w:w="1260" w:type="dxa"/>
            <w:vMerge/>
            <w:tcBorders>
              <w:bottom w:val="single" w:sz="4" w:space="0" w:color="auto"/>
            </w:tcBorders>
          </w:tcPr>
          <w:p w14:paraId="374F9CA3" w14:textId="77777777" w:rsidR="00B96F1D" w:rsidRPr="004100CF" w:rsidRDefault="00B96F1D" w:rsidP="00B96F1D">
            <w:pPr>
              <w:rPr>
                <w:rFonts w:ascii="Times New Roman" w:hAnsi="Times New Roman" w:cs="Times New Roman"/>
                <w:color w:val="000000"/>
                <w:sz w:val="20"/>
                <w:szCs w:val="20"/>
              </w:rPr>
            </w:pPr>
          </w:p>
        </w:tc>
        <w:tc>
          <w:tcPr>
            <w:tcW w:w="1080" w:type="dxa"/>
            <w:tcBorders>
              <w:bottom w:val="single" w:sz="4" w:space="0" w:color="auto"/>
            </w:tcBorders>
          </w:tcPr>
          <w:p w14:paraId="0438F9BA" w14:textId="4586E360" w:rsidR="00B96F1D" w:rsidRPr="004100CF" w:rsidRDefault="00B96F1D" w:rsidP="00B96F1D">
            <w:pPr>
              <w:jc w:val="center"/>
              <w:rPr>
                <w:rFonts w:ascii="Times New Roman" w:hAnsi="Times New Roman" w:cs="Times New Roman"/>
                <w:sz w:val="20"/>
                <w:szCs w:val="20"/>
              </w:rPr>
            </w:pPr>
            <w:r w:rsidRPr="004100CF">
              <w:rPr>
                <w:rFonts w:ascii="Times New Roman" w:hAnsi="Times New Roman" w:cs="Times New Roman"/>
                <w:sz w:val="20"/>
                <w:szCs w:val="20"/>
              </w:rPr>
              <w:t>K103N + M230L</w:t>
            </w:r>
          </w:p>
        </w:tc>
        <w:tc>
          <w:tcPr>
            <w:tcW w:w="1170" w:type="dxa"/>
            <w:tcBorders>
              <w:bottom w:val="single" w:sz="4" w:space="0" w:color="auto"/>
            </w:tcBorders>
          </w:tcPr>
          <w:p w14:paraId="18D10640" w14:textId="49BB8161"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-1.13 ± 1.26</w:t>
            </w:r>
          </w:p>
        </w:tc>
        <w:tc>
          <w:tcPr>
            <w:tcW w:w="1170" w:type="dxa"/>
            <w:tcBorders>
              <w:bottom w:val="single" w:sz="4" w:space="0" w:color="auto"/>
            </w:tcBorders>
          </w:tcPr>
          <w:p w14:paraId="25E98923" w14:textId="184C385E"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-0.69 ± 1.13</w:t>
            </w:r>
          </w:p>
        </w:tc>
        <w:tc>
          <w:tcPr>
            <w:tcW w:w="1170" w:type="dxa"/>
            <w:tcBorders>
              <w:bottom w:val="single" w:sz="4" w:space="0" w:color="auto"/>
            </w:tcBorders>
          </w:tcPr>
          <w:p w14:paraId="0B3ECCEC" w14:textId="1238A285"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-2.91 ± 0.74</w:t>
            </w:r>
          </w:p>
        </w:tc>
        <w:tc>
          <w:tcPr>
            <w:tcW w:w="1090" w:type="dxa"/>
            <w:tcBorders>
              <w:bottom w:val="single" w:sz="4" w:space="0" w:color="auto"/>
            </w:tcBorders>
          </w:tcPr>
          <w:p w14:paraId="03483EF9" w14:textId="4B169FBE"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2.54 ± 0.66</w:t>
            </w:r>
          </w:p>
        </w:tc>
        <w:tc>
          <w:tcPr>
            <w:tcW w:w="1160" w:type="dxa"/>
            <w:tcBorders>
              <w:bottom w:val="single" w:sz="4" w:space="0" w:color="auto"/>
            </w:tcBorders>
          </w:tcPr>
          <w:p w14:paraId="05A483A5" w14:textId="6728F26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-0.061 ± 0.027</w:t>
            </w:r>
          </w:p>
        </w:tc>
        <w:tc>
          <w:tcPr>
            <w:tcW w:w="1260" w:type="dxa"/>
            <w:tcBorders>
              <w:bottom w:val="single" w:sz="4" w:space="0" w:color="auto"/>
            </w:tcBorders>
          </w:tcPr>
          <w:p w14:paraId="2CEAB8C5" w14:textId="28E97E97"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0.59 ± 0.41</w:t>
            </w:r>
          </w:p>
        </w:tc>
      </w:tr>
      <w:tr w:rsidR="00B96F1D" w:rsidRPr="004100CF" w14:paraId="38F82B72" w14:textId="43BF39CE" w:rsidTr="00B96F1D">
        <w:trPr>
          <w:trHeight w:val="340"/>
        </w:trPr>
        <w:tc>
          <w:tcPr>
            <w:tcW w:w="1260" w:type="dxa"/>
            <w:vMerge w:val="restart"/>
            <w:tcBorders>
              <w:top w:val="single" w:sz="4" w:space="0" w:color="auto"/>
            </w:tcBorders>
            <w:hideMark/>
          </w:tcPr>
          <w:p w14:paraId="2310A4B6"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 xml:space="preserve">Uncertain </w:t>
            </w:r>
          </w:p>
        </w:tc>
        <w:tc>
          <w:tcPr>
            <w:tcW w:w="1080" w:type="dxa"/>
            <w:tcBorders>
              <w:top w:val="single" w:sz="4" w:space="0" w:color="auto"/>
            </w:tcBorders>
            <w:hideMark/>
          </w:tcPr>
          <w:p w14:paraId="508B9E8B"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V106M</w:t>
            </w:r>
          </w:p>
        </w:tc>
        <w:tc>
          <w:tcPr>
            <w:tcW w:w="1170" w:type="dxa"/>
            <w:tcBorders>
              <w:top w:val="single" w:sz="4" w:space="0" w:color="auto"/>
            </w:tcBorders>
            <w:hideMark/>
          </w:tcPr>
          <w:p w14:paraId="174E2CA7" w14:textId="3E839E3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3.25 ± 0.35</w:t>
            </w:r>
          </w:p>
        </w:tc>
        <w:tc>
          <w:tcPr>
            <w:tcW w:w="1170" w:type="dxa"/>
            <w:tcBorders>
              <w:top w:val="single" w:sz="4" w:space="0" w:color="auto"/>
            </w:tcBorders>
            <w:hideMark/>
          </w:tcPr>
          <w:p w14:paraId="2D13BEFD" w14:textId="2A0DDF4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2.34 ± 0.19</w:t>
            </w:r>
          </w:p>
        </w:tc>
        <w:tc>
          <w:tcPr>
            <w:tcW w:w="1170" w:type="dxa"/>
            <w:tcBorders>
              <w:top w:val="single" w:sz="4" w:space="0" w:color="auto"/>
            </w:tcBorders>
            <w:hideMark/>
          </w:tcPr>
          <w:p w14:paraId="6992ABDA" w14:textId="15DED4B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-0.08 ± 0.80</w:t>
            </w:r>
          </w:p>
        </w:tc>
        <w:tc>
          <w:tcPr>
            <w:tcW w:w="1090" w:type="dxa"/>
            <w:tcBorders>
              <w:top w:val="single" w:sz="4" w:space="0" w:color="auto"/>
            </w:tcBorders>
          </w:tcPr>
          <w:p w14:paraId="3AD7B006" w14:textId="37F0F6C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0.95 ± 0.68</w:t>
            </w:r>
          </w:p>
        </w:tc>
        <w:tc>
          <w:tcPr>
            <w:tcW w:w="1160" w:type="dxa"/>
            <w:tcBorders>
              <w:top w:val="single" w:sz="4" w:space="0" w:color="auto"/>
            </w:tcBorders>
          </w:tcPr>
          <w:p w14:paraId="7F88AA3F" w14:textId="4DF7B844"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0.039 ± 0.056</w:t>
            </w:r>
          </w:p>
        </w:tc>
        <w:tc>
          <w:tcPr>
            <w:tcW w:w="1260" w:type="dxa"/>
            <w:tcBorders>
              <w:top w:val="single" w:sz="4" w:space="0" w:color="auto"/>
            </w:tcBorders>
          </w:tcPr>
          <w:p w14:paraId="1A195E51" w14:textId="3364FA3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6.10 ± 0.16</w:t>
            </w:r>
          </w:p>
        </w:tc>
      </w:tr>
      <w:tr w:rsidR="00B96F1D" w:rsidRPr="004100CF" w14:paraId="55EA42CD" w14:textId="5A441208" w:rsidTr="00B96F1D">
        <w:trPr>
          <w:trHeight w:val="467"/>
        </w:trPr>
        <w:tc>
          <w:tcPr>
            <w:tcW w:w="1260" w:type="dxa"/>
            <w:vMerge/>
            <w:hideMark/>
          </w:tcPr>
          <w:p w14:paraId="23A7984C"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6F8A53F4"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G190S</w:t>
            </w:r>
          </w:p>
        </w:tc>
        <w:tc>
          <w:tcPr>
            <w:tcW w:w="1170" w:type="dxa"/>
            <w:hideMark/>
          </w:tcPr>
          <w:p w14:paraId="28C3A842" w14:textId="06EAC07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3.41 ± 1.34</w:t>
            </w:r>
          </w:p>
        </w:tc>
        <w:tc>
          <w:tcPr>
            <w:tcW w:w="1170" w:type="dxa"/>
            <w:hideMark/>
          </w:tcPr>
          <w:p w14:paraId="751AC61D" w14:textId="7A4107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1.75 ± 0.96</w:t>
            </w:r>
          </w:p>
        </w:tc>
        <w:tc>
          <w:tcPr>
            <w:tcW w:w="1170" w:type="dxa"/>
            <w:hideMark/>
          </w:tcPr>
          <w:p w14:paraId="1F2F3415" w14:textId="0C95289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1.49 ± 0.54</w:t>
            </w:r>
          </w:p>
        </w:tc>
        <w:tc>
          <w:tcPr>
            <w:tcW w:w="1090" w:type="dxa"/>
          </w:tcPr>
          <w:p w14:paraId="70EDD288" w14:textId="7B33E80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0.15 ± 0.27</w:t>
            </w:r>
          </w:p>
        </w:tc>
        <w:tc>
          <w:tcPr>
            <w:tcW w:w="1160" w:type="dxa"/>
          </w:tcPr>
          <w:p w14:paraId="6EB2A17E" w14:textId="45FF1F10"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0.024 ± 0.057</w:t>
            </w:r>
          </w:p>
        </w:tc>
        <w:tc>
          <w:tcPr>
            <w:tcW w:w="1260" w:type="dxa"/>
          </w:tcPr>
          <w:p w14:paraId="00749720" w14:textId="675795C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2.01 ± 0.34</w:t>
            </w:r>
          </w:p>
        </w:tc>
      </w:tr>
      <w:tr w:rsidR="00B96F1D" w:rsidRPr="004100CF" w14:paraId="041B9898" w14:textId="13D64E6A" w:rsidTr="00B96F1D">
        <w:trPr>
          <w:trHeight w:val="521"/>
        </w:trPr>
        <w:tc>
          <w:tcPr>
            <w:tcW w:w="1260" w:type="dxa"/>
            <w:vMerge/>
            <w:hideMark/>
          </w:tcPr>
          <w:p w14:paraId="17119F32"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1A150A26" w14:textId="06915AE2"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 + L100I</w:t>
            </w:r>
          </w:p>
        </w:tc>
        <w:tc>
          <w:tcPr>
            <w:tcW w:w="1170" w:type="dxa"/>
            <w:hideMark/>
          </w:tcPr>
          <w:p w14:paraId="34330422" w14:textId="2ABBE71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-0.98 ± 0.81</w:t>
            </w:r>
          </w:p>
        </w:tc>
        <w:tc>
          <w:tcPr>
            <w:tcW w:w="1170" w:type="dxa"/>
            <w:hideMark/>
          </w:tcPr>
          <w:p w14:paraId="24326C43" w14:textId="1EEDB12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-1.01 ± 0.76</w:t>
            </w:r>
          </w:p>
        </w:tc>
        <w:tc>
          <w:tcPr>
            <w:tcW w:w="1170" w:type="dxa"/>
            <w:hideMark/>
          </w:tcPr>
          <w:p w14:paraId="3D700CFF" w14:textId="6BF4E1F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-2.78 ± 0.92</w:t>
            </w:r>
          </w:p>
        </w:tc>
        <w:tc>
          <w:tcPr>
            <w:tcW w:w="1090" w:type="dxa"/>
          </w:tcPr>
          <w:p w14:paraId="0EAF777E" w14:textId="2BE8BDF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2.89 ± 0.52</w:t>
            </w:r>
          </w:p>
        </w:tc>
        <w:tc>
          <w:tcPr>
            <w:tcW w:w="1160" w:type="dxa"/>
          </w:tcPr>
          <w:p w14:paraId="7C87E2FA" w14:textId="3F2078C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-0.072 ± 0.010</w:t>
            </w:r>
          </w:p>
        </w:tc>
        <w:tc>
          <w:tcPr>
            <w:tcW w:w="1260" w:type="dxa"/>
          </w:tcPr>
          <w:p w14:paraId="1F8AFD4C" w14:textId="5BC6BA9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0.19 ± 0.68</w:t>
            </w:r>
          </w:p>
        </w:tc>
      </w:tr>
      <w:tr w:rsidR="00B96F1D" w:rsidRPr="004100CF" w14:paraId="077AB2C8" w14:textId="322401D9" w:rsidTr="00B96F1D">
        <w:trPr>
          <w:trHeight w:val="350"/>
        </w:trPr>
        <w:tc>
          <w:tcPr>
            <w:tcW w:w="1260" w:type="dxa"/>
            <w:vMerge/>
            <w:hideMark/>
          </w:tcPr>
          <w:p w14:paraId="31B9B7CA"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3CCC9F8B" w14:textId="0259141D"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 + P225H</w:t>
            </w:r>
          </w:p>
        </w:tc>
        <w:tc>
          <w:tcPr>
            <w:tcW w:w="1170" w:type="dxa"/>
            <w:hideMark/>
          </w:tcPr>
          <w:p w14:paraId="11116533" w14:textId="4D071AB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0.95 ± 0.87</w:t>
            </w:r>
          </w:p>
        </w:tc>
        <w:tc>
          <w:tcPr>
            <w:tcW w:w="1170" w:type="dxa"/>
            <w:hideMark/>
          </w:tcPr>
          <w:p w14:paraId="636416DD" w14:textId="072DAED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0.08 ± 0.85</w:t>
            </w:r>
          </w:p>
        </w:tc>
        <w:tc>
          <w:tcPr>
            <w:tcW w:w="1170" w:type="dxa"/>
            <w:hideMark/>
          </w:tcPr>
          <w:p w14:paraId="11CE051D" w14:textId="565C03C3"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-1.10 ± 1.17</w:t>
            </w:r>
          </w:p>
        </w:tc>
        <w:tc>
          <w:tcPr>
            <w:tcW w:w="1090" w:type="dxa"/>
          </w:tcPr>
          <w:p w14:paraId="27A6E16F" w14:textId="32C17C2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2.03 ± 0.85</w:t>
            </w:r>
          </w:p>
        </w:tc>
        <w:tc>
          <w:tcPr>
            <w:tcW w:w="1160" w:type="dxa"/>
          </w:tcPr>
          <w:p w14:paraId="48232622" w14:textId="0DEE317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-0.060 ± 0.031</w:t>
            </w:r>
          </w:p>
        </w:tc>
        <w:tc>
          <w:tcPr>
            <w:tcW w:w="1260" w:type="dxa"/>
          </w:tcPr>
          <w:p w14:paraId="2A67AAA0" w14:textId="05ED84D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1.76 ± 0.79</w:t>
            </w:r>
          </w:p>
        </w:tc>
      </w:tr>
      <w:tr w:rsidR="00B96F1D" w:rsidRPr="004100CF" w14:paraId="6B7B4D81" w14:textId="66099493" w:rsidTr="00B96F1D">
        <w:trPr>
          <w:trHeight w:val="350"/>
        </w:trPr>
        <w:tc>
          <w:tcPr>
            <w:tcW w:w="1260" w:type="dxa"/>
            <w:vMerge/>
            <w:tcBorders>
              <w:bottom w:val="single" w:sz="4" w:space="0" w:color="auto"/>
            </w:tcBorders>
          </w:tcPr>
          <w:p w14:paraId="092960A0"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tcBorders>
              <w:bottom w:val="single" w:sz="4" w:space="0" w:color="auto"/>
            </w:tcBorders>
          </w:tcPr>
          <w:p w14:paraId="136C95EC" w14:textId="77777777" w:rsidR="00B96F1D" w:rsidRPr="004100CF" w:rsidRDefault="00B96F1D" w:rsidP="00B96F1D">
            <w:pPr>
              <w:jc w:val="center"/>
              <w:rPr>
                <w:rFonts w:ascii="Times New Roman" w:hAnsi="Times New Roman" w:cs="Times New Roman"/>
                <w:sz w:val="20"/>
                <w:szCs w:val="20"/>
              </w:rPr>
            </w:pPr>
            <w:r w:rsidRPr="004100CF">
              <w:rPr>
                <w:rFonts w:ascii="Times New Roman" w:hAnsi="Times New Roman" w:cs="Times New Roman"/>
                <w:sz w:val="20"/>
                <w:szCs w:val="20"/>
              </w:rPr>
              <w:t>G190E</w:t>
            </w:r>
          </w:p>
        </w:tc>
        <w:tc>
          <w:tcPr>
            <w:tcW w:w="1170" w:type="dxa"/>
            <w:tcBorders>
              <w:bottom w:val="single" w:sz="4" w:space="0" w:color="auto"/>
            </w:tcBorders>
          </w:tcPr>
          <w:p w14:paraId="47C03043" w14:textId="4F930A9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5.74 ± 2.55</w:t>
            </w:r>
          </w:p>
        </w:tc>
        <w:tc>
          <w:tcPr>
            <w:tcW w:w="1170" w:type="dxa"/>
            <w:tcBorders>
              <w:bottom w:val="single" w:sz="4" w:space="0" w:color="auto"/>
            </w:tcBorders>
          </w:tcPr>
          <w:p w14:paraId="330856A7" w14:textId="57EDF16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4.01 ± 2.31</w:t>
            </w:r>
          </w:p>
        </w:tc>
        <w:tc>
          <w:tcPr>
            <w:tcW w:w="1170" w:type="dxa"/>
            <w:tcBorders>
              <w:bottom w:val="single" w:sz="4" w:space="0" w:color="auto"/>
            </w:tcBorders>
          </w:tcPr>
          <w:p w14:paraId="61F1161D" w14:textId="4A8867D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-0.16 ± 0.86</w:t>
            </w:r>
          </w:p>
        </w:tc>
        <w:tc>
          <w:tcPr>
            <w:tcW w:w="1090" w:type="dxa"/>
            <w:tcBorders>
              <w:bottom w:val="single" w:sz="4" w:space="0" w:color="auto"/>
            </w:tcBorders>
          </w:tcPr>
          <w:p w14:paraId="78EA4161" w14:textId="53224545"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1.92 ± 0.54</w:t>
            </w:r>
          </w:p>
        </w:tc>
        <w:tc>
          <w:tcPr>
            <w:tcW w:w="1160" w:type="dxa"/>
            <w:tcBorders>
              <w:bottom w:val="single" w:sz="4" w:space="0" w:color="auto"/>
            </w:tcBorders>
          </w:tcPr>
          <w:p w14:paraId="4DDB2730" w14:textId="73F0D7C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-0.024 ± 0.062</w:t>
            </w:r>
          </w:p>
        </w:tc>
        <w:tc>
          <w:tcPr>
            <w:tcW w:w="1260" w:type="dxa"/>
            <w:tcBorders>
              <w:bottom w:val="single" w:sz="4" w:space="0" w:color="auto"/>
            </w:tcBorders>
          </w:tcPr>
          <w:p w14:paraId="1895C8CC" w14:textId="7993711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2.00 ± 1.77</w:t>
            </w:r>
          </w:p>
        </w:tc>
      </w:tr>
    </w:tbl>
    <w:p w14:paraId="74592B5F" w14:textId="0A46B6B5" w:rsidR="00F908FC" w:rsidRPr="004100CF" w:rsidRDefault="00F908FC" w:rsidP="00B96F1D">
      <w:pPr>
        <w:rPr>
          <w:rFonts w:ascii="Times New Roman" w:hAnsi="Times New Roman" w:cs="Times New Roman"/>
          <w:sz w:val="20"/>
          <w:szCs w:val="20"/>
        </w:rPr>
      </w:pPr>
      <w:r w:rsidRPr="004100CF">
        <w:rPr>
          <w:rFonts w:ascii="Times New Roman" w:hAnsi="Times New Roman" w:cs="Times New Roman"/>
          <w:sz w:val="20"/>
          <w:szCs w:val="20"/>
        </w:rPr>
        <w:t xml:space="preserve">*Values are averages over the last 20 frames (~10ns) of 3 independent 100ns </w:t>
      </w:r>
      <w:r w:rsidR="0095348C" w:rsidRPr="004100CF">
        <w:rPr>
          <w:rFonts w:ascii="Times New Roman" w:hAnsi="Times New Roman" w:cs="Times New Roman"/>
          <w:sz w:val="20"/>
          <w:szCs w:val="20"/>
        </w:rPr>
        <w:t>equilibrium</w:t>
      </w:r>
      <w:r w:rsidRPr="004100CF">
        <w:rPr>
          <w:rFonts w:ascii="Times New Roman" w:hAnsi="Times New Roman" w:cs="Times New Roman"/>
          <w:sz w:val="20"/>
          <w:szCs w:val="20"/>
        </w:rPr>
        <w:t xml:space="preserve"> MD simulations. Errors are computed as standard errors of the mean (SEM) over the 3 replicates.</w:t>
      </w:r>
    </w:p>
    <w:p w14:paraId="2A97FDE1" w14:textId="45422280" w:rsidR="00B96F1D" w:rsidRPr="004100CF" w:rsidRDefault="00B96F1D" w:rsidP="00F908FC">
      <w:pPr>
        <w:spacing w:after="240"/>
        <w:rPr>
          <w:rFonts w:ascii="Times New Roman" w:eastAsia="Times New Roman" w:hAnsi="Times New Roman" w:cs="Times New Roman"/>
          <w:sz w:val="21"/>
        </w:rPr>
      </w:pPr>
      <w:r w:rsidRPr="004100CF">
        <w:rPr>
          <w:rFonts w:ascii="Times New Roman" w:hAnsi="Times New Roman" w:cs="Times New Roman"/>
          <w:sz w:val="20"/>
          <w:szCs w:val="20"/>
        </w:rPr>
        <w:lastRenderedPageBreak/>
        <w:t>**</w:t>
      </w:r>
      <w:r w:rsidR="008437F2" w:rsidRPr="004100CF">
        <w:rPr>
          <w:rFonts w:ascii="Times New Roman" w:hAnsi="Times New Roman" w:cs="Times New Roman"/>
          <w:sz w:val="20"/>
          <w:szCs w:val="20"/>
        </w:rPr>
        <w:t xml:space="preserve">Values are </w:t>
      </w:r>
      <w:r w:rsidR="00DA2A0D" w:rsidRPr="004100CF">
        <w:rPr>
          <w:rFonts w:ascii="Times New Roman" w:hAnsi="Times New Roman" w:cs="Times New Roman"/>
          <w:sz w:val="20"/>
          <w:szCs w:val="20"/>
        </w:rPr>
        <w:t>BAR free energy estimates averaged over 3 independent replicates of the Nonequilibrium FEP protocol. Errors are computed as standard errors of the mean (SEM) over the 3 replicates.</w:t>
      </w:r>
    </w:p>
    <w:p w14:paraId="7A0BD2C1" w14:textId="3E83ABC9" w:rsidR="006F69F6" w:rsidRPr="004100CF" w:rsidRDefault="006F69F6" w:rsidP="00AB26F7">
      <w:pPr>
        <w:spacing w:after="240"/>
        <w:rPr>
          <w:rFonts w:ascii="Times New Roman" w:hAnsi="Times New Roman" w:cs="Times New Roman"/>
        </w:rPr>
      </w:pPr>
      <w:r w:rsidRPr="004100CF">
        <w:rPr>
          <w:rFonts w:ascii="Times New Roman" w:hAnsi="Times New Roman" w:cs="Times New Roman"/>
        </w:rPr>
        <w:t xml:space="preserve">Third, </w:t>
      </w:r>
      <w:r w:rsidR="00EF12BD" w:rsidRPr="004100CF">
        <w:rPr>
          <w:rFonts w:ascii="Times New Roman" w:hAnsi="Times New Roman" w:cs="Times New Roman"/>
        </w:rPr>
        <w:t xml:space="preserve">while </w:t>
      </w:r>
      <w:r w:rsidR="00A9487C" w:rsidRPr="004100CF">
        <w:rPr>
          <w:rFonts w:ascii="Times New Roman" w:hAnsi="Times New Roman" w:cs="Times New Roman"/>
        </w:rPr>
        <w:t>∆∆G</w:t>
      </w:r>
      <w:r w:rsidR="00A9487C" w:rsidRPr="004100CF">
        <w:rPr>
          <w:rFonts w:ascii="Times New Roman" w:hAnsi="Times New Roman" w:cs="Times New Roman"/>
          <w:vertAlign w:val="subscript"/>
        </w:rPr>
        <w:t>bind</w:t>
      </w:r>
      <w:r w:rsidR="00A9487C" w:rsidRPr="004100CF">
        <w:rPr>
          <w:rFonts w:ascii="Times New Roman" w:hAnsi="Times New Roman" w:cs="Times New Roman"/>
        </w:rPr>
        <w:t xml:space="preserve"> and ∆∆E</w:t>
      </w:r>
      <w:r w:rsidR="00A9487C" w:rsidRPr="004100CF">
        <w:rPr>
          <w:rFonts w:ascii="Times New Roman" w:hAnsi="Times New Roman" w:cs="Times New Roman"/>
          <w:vertAlign w:val="subscript"/>
        </w:rPr>
        <w:t>Total</w:t>
      </w:r>
      <w:r w:rsidR="00A9487C" w:rsidRPr="004100CF">
        <w:rPr>
          <w:rFonts w:ascii="Times New Roman" w:hAnsi="Times New Roman" w:cs="Times New Roman"/>
        </w:rPr>
        <w:t xml:space="preserve"> exhibit weak but statistically significant correlation with each other (R</w:t>
      </w:r>
      <w:r w:rsidR="00A9487C" w:rsidRPr="004100CF">
        <w:rPr>
          <w:rFonts w:ascii="Times New Roman" w:hAnsi="Times New Roman" w:cs="Times New Roman"/>
          <w:vertAlign w:val="superscript"/>
        </w:rPr>
        <w:t xml:space="preserve">2 </w:t>
      </w:r>
      <w:r w:rsidR="00A9487C" w:rsidRPr="004100CF">
        <w:rPr>
          <w:rFonts w:ascii="Times New Roman" w:hAnsi="Times New Roman" w:cs="Times New Roman"/>
        </w:rPr>
        <w:t>= 0.25, p = 0.03)</w:t>
      </w:r>
      <w:r w:rsidR="00EF12BD" w:rsidRPr="004100CF">
        <w:rPr>
          <w:rFonts w:ascii="Times New Roman" w:hAnsi="Times New Roman" w:cs="Times New Roman"/>
        </w:rPr>
        <w:t xml:space="preserve">, </w:t>
      </w:r>
      <w:r w:rsidR="00327F04" w:rsidRPr="004100CF">
        <w:rPr>
          <w:rFonts w:ascii="Times New Roman" w:hAnsi="Times New Roman" w:cs="Times New Roman"/>
        </w:rPr>
        <w:t>both of these metrics show no correlation with DOR fold-change values observed experimentally - ∆∆G</w:t>
      </w:r>
      <w:r w:rsidR="00327F04" w:rsidRPr="004100CF">
        <w:rPr>
          <w:rFonts w:ascii="Times New Roman" w:hAnsi="Times New Roman" w:cs="Times New Roman"/>
          <w:vertAlign w:val="subscript"/>
        </w:rPr>
        <w:t>bind</w:t>
      </w:r>
      <w:r w:rsidR="00A9487C" w:rsidRPr="004100CF">
        <w:rPr>
          <w:rFonts w:ascii="Times New Roman" w:hAnsi="Times New Roman" w:cs="Times New Roman"/>
        </w:rPr>
        <w:t xml:space="preserve"> </w:t>
      </w:r>
      <w:r w:rsidR="00327F04" w:rsidRPr="004100CF">
        <w:rPr>
          <w:rFonts w:ascii="Times New Roman" w:hAnsi="Times New Roman" w:cs="Times New Roman"/>
        </w:rPr>
        <w:t>vs log</w:t>
      </w:r>
      <w:r w:rsidR="00327F04" w:rsidRPr="004100CF">
        <w:rPr>
          <w:rFonts w:ascii="Times New Roman" w:hAnsi="Times New Roman" w:cs="Times New Roman"/>
          <w:vertAlign w:val="subscript"/>
        </w:rPr>
        <w:t>10</w:t>
      </w:r>
      <w:r w:rsidR="00327F04" w:rsidRPr="004100CF">
        <w:rPr>
          <w:rFonts w:ascii="Times New Roman" w:hAnsi="Times New Roman" w:cs="Times New Roman"/>
        </w:rPr>
        <w:t>(Fold-change) (R</w:t>
      </w:r>
      <w:r w:rsidR="00327F04" w:rsidRPr="004100CF">
        <w:rPr>
          <w:rFonts w:ascii="Times New Roman" w:hAnsi="Times New Roman" w:cs="Times New Roman"/>
          <w:vertAlign w:val="superscript"/>
        </w:rPr>
        <w:t>2</w:t>
      </w:r>
      <w:r w:rsidR="00327F04" w:rsidRPr="004100CF">
        <w:rPr>
          <w:rFonts w:ascii="Times New Roman" w:hAnsi="Times New Roman" w:cs="Times New Roman"/>
        </w:rPr>
        <w:t xml:space="preserve"> = 0.09, p = 0.21) and ∆∆E</w:t>
      </w:r>
      <w:r w:rsidR="00327F04" w:rsidRPr="004100CF">
        <w:rPr>
          <w:rFonts w:ascii="Times New Roman" w:hAnsi="Times New Roman" w:cs="Times New Roman"/>
          <w:vertAlign w:val="subscript"/>
        </w:rPr>
        <w:t>Total</w:t>
      </w:r>
      <w:r w:rsidR="00327F04" w:rsidRPr="004100CF">
        <w:rPr>
          <w:rFonts w:ascii="Times New Roman" w:hAnsi="Times New Roman" w:cs="Times New Roman"/>
        </w:rPr>
        <w:t xml:space="preserve"> vs log</w:t>
      </w:r>
      <w:r w:rsidR="00327F04" w:rsidRPr="004100CF">
        <w:rPr>
          <w:rFonts w:ascii="Times New Roman" w:hAnsi="Times New Roman" w:cs="Times New Roman"/>
          <w:vertAlign w:val="subscript"/>
        </w:rPr>
        <w:t>10</w:t>
      </w:r>
      <w:r w:rsidR="00327F04" w:rsidRPr="004100CF">
        <w:rPr>
          <w:rFonts w:ascii="Times New Roman" w:hAnsi="Times New Roman" w:cs="Times New Roman"/>
        </w:rPr>
        <w:t>(Fold-change) (R</w:t>
      </w:r>
      <w:r w:rsidR="00327F04" w:rsidRPr="004100CF">
        <w:rPr>
          <w:rFonts w:ascii="Times New Roman" w:hAnsi="Times New Roman" w:cs="Times New Roman"/>
          <w:vertAlign w:val="superscript"/>
        </w:rPr>
        <w:t>2</w:t>
      </w:r>
      <w:r w:rsidR="00327F04" w:rsidRPr="004100CF">
        <w:rPr>
          <w:rFonts w:ascii="Times New Roman" w:hAnsi="Times New Roman" w:cs="Times New Roman"/>
        </w:rPr>
        <w:t xml:space="preserve"> = 0.02, p = 0.55). However, a</w:t>
      </w:r>
      <w:r w:rsidR="00A9487C" w:rsidRPr="004100CF">
        <w:rPr>
          <w:rFonts w:ascii="Times New Roman" w:hAnsi="Times New Roman" w:cs="Times New Roman"/>
        </w:rPr>
        <w:t>mongst the set of “Susceptible” OR “Resistant” phenotype mutations</w:t>
      </w:r>
      <w:r w:rsidR="00672978" w:rsidRPr="004100CF">
        <w:rPr>
          <w:rFonts w:ascii="Times New Roman" w:hAnsi="Times New Roman" w:cs="Times New Roman"/>
        </w:rPr>
        <w:t xml:space="preserve"> (i.e. dropping the Uncertain phenotype set)</w:t>
      </w:r>
      <w:r w:rsidR="00A9487C" w:rsidRPr="004100CF">
        <w:rPr>
          <w:rFonts w:ascii="Times New Roman" w:hAnsi="Times New Roman" w:cs="Times New Roman"/>
        </w:rPr>
        <w:t>, ∆∆G</w:t>
      </w:r>
      <w:r w:rsidR="00A9487C" w:rsidRPr="004100CF">
        <w:rPr>
          <w:rFonts w:ascii="Times New Roman" w:hAnsi="Times New Roman" w:cs="Times New Roman"/>
          <w:vertAlign w:val="subscript"/>
        </w:rPr>
        <w:t>bind</w:t>
      </w:r>
      <w:r w:rsidR="00A9487C" w:rsidRPr="004100CF">
        <w:rPr>
          <w:rFonts w:ascii="Times New Roman" w:hAnsi="Times New Roman" w:cs="Times New Roman"/>
        </w:rPr>
        <w:t xml:space="preserve"> exhibits weak correlation with log</w:t>
      </w:r>
      <w:r w:rsidR="00A9487C" w:rsidRPr="004100CF">
        <w:rPr>
          <w:rFonts w:ascii="Times New Roman" w:hAnsi="Times New Roman" w:cs="Times New Roman"/>
          <w:vertAlign w:val="subscript"/>
        </w:rPr>
        <w:t>10</w:t>
      </w:r>
      <w:r w:rsidR="00A9487C" w:rsidRPr="004100CF">
        <w:rPr>
          <w:rFonts w:ascii="Times New Roman" w:hAnsi="Times New Roman" w:cs="Times New Roman"/>
        </w:rPr>
        <w:t>(Fold-change) (R</w:t>
      </w:r>
      <w:r w:rsidR="00A9487C" w:rsidRPr="004100CF">
        <w:rPr>
          <w:rFonts w:ascii="Times New Roman" w:hAnsi="Times New Roman" w:cs="Times New Roman"/>
          <w:vertAlign w:val="superscript"/>
        </w:rPr>
        <w:t>2</w:t>
      </w:r>
      <w:r w:rsidR="00A9487C" w:rsidRPr="004100CF">
        <w:rPr>
          <w:rFonts w:ascii="Times New Roman" w:hAnsi="Times New Roman" w:cs="Times New Roman"/>
        </w:rPr>
        <w:t xml:space="preserve"> = 0.26, p = 0.07), while ∆∆E</w:t>
      </w:r>
      <w:r w:rsidR="00A9487C" w:rsidRPr="004100CF">
        <w:rPr>
          <w:rFonts w:ascii="Times New Roman" w:hAnsi="Times New Roman" w:cs="Times New Roman"/>
          <w:vertAlign w:val="subscript"/>
        </w:rPr>
        <w:t>Total</w:t>
      </w:r>
      <w:r w:rsidR="00A9487C" w:rsidRPr="004100CF">
        <w:rPr>
          <w:rFonts w:ascii="Times New Roman" w:hAnsi="Times New Roman" w:cs="Times New Roman"/>
        </w:rPr>
        <w:t xml:space="preserve"> </w:t>
      </w:r>
      <w:r w:rsidR="00327F04" w:rsidRPr="004100CF">
        <w:rPr>
          <w:rFonts w:ascii="Times New Roman" w:hAnsi="Times New Roman" w:cs="Times New Roman"/>
        </w:rPr>
        <w:t xml:space="preserve">still </w:t>
      </w:r>
      <w:r w:rsidR="00A9487C" w:rsidRPr="004100CF">
        <w:rPr>
          <w:rFonts w:ascii="Times New Roman" w:hAnsi="Times New Roman" w:cs="Times New Roman"/>
        </w:rPr>
        <w:t>shows no correlation with log</w:t>
      </w:r>
      <w:r w:rsidR="00A9487C" w:rsidRPr="004100CF">
        <w:rPr>
          <w:rFonts w:ascii="Times New Roman" w:hAnsi="Times New Roman" w:cs="Times New Roman"/>
          <w:vertAlign w:val="subscript"/>
        </w:rPr>
        <w:t>10</w:t>
      </w:r>
      <w:r w:rsidR="00A9487C" w:rsidRPr="004100CF">
        <w:rPr>
          <w:rFonts w:ascii="Times New Roman" w:hAnsi="Times New Roman" w:cs="Times New Roman"/>
        </w:rPr>
        <w:t>(Fold-change) (R</w:t>
      </w:r>
      <w:r w:rsidR="00A9487C" w:rsidRPr="004100CF">
        <w:rPr>
          <w:rFonts w:ascii="Times New Roman" w:hAnsi="Times New Roman" w:cs="Times New Roman"/>
          <w:vertAlign w:val="superscript"/>
        </w:rPr>
        <w:t>2</w:t>
      </w:r>
      <w:r w:rsidR="00A9487C" w:rsidRPr="004100CF">
        <w:rPr>
          <w:rFonts w:ascii="Times New Roman" w:hAnsi="Times New Roman" w:cs="Times New Roman"/>
        </w:rPr>
        <w:t xml:space="preserve"> = 0.05, p = 0.45).</w:t>
      </w:r>
    </w:p>
    <w:p w14:paraId="65F811FC" w14:textId="3346D243" w:rsidR="002975D3" w:rsidRPr="004100CF" w:rsidRDefault="002975D3" w:rsidP="002975D3">
      <w:pPr>
        <w:rPr>
          <w:rFonts w:ascii="Times New Roman" w:hAnsi="Times New Roman" w:cs="Times New Roman"/>
          <w:b/>
          <w:bCs/>
          <w:sz w:val="28"/>
          <w:szCs w:val="22"/>
        </w:rPr>
      </w:pPr>
      <w:r w:rsidRPr="004100CF">
        <w:rPr>
          <w:rFonts w:ascii="Times New Roman" w:hAnsi="Times New Roman" w:cs="Times New Roman"/>
          <w:b/>
          <w:bCs/>
          <w:sz w:val="28"/>
          <w:szCs w:val="22"/>
        </w:rPr>
        <w:t>Discussion</w:t>
      </w:r>
    </w:p>
    <w:p w14:paraId="63DD6C13" w14:textId="2E14BDD6" w:rsidR="00D51091" w:rsidRPr="004100CF" w:rsidRDefault="00D51091" w:rsidP="00D51091">
      <w:pPr>
        <w:spacing w:after="240"/>
        <w:rPr>
          <w:rFonts w:ascii="Times New Roman" w:hAnsi="Times New Roman" w:cs="Times New Roman"/>
        </w:rPr>
      </w:pPr>
      <w:r w:rsidRPr="004100CF">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w:t>
      </w:r>
      <w:r w:rsidR="001B25CB" w:rsidRPr="004100CF">
        <w:rPr>
          <w:rFonts w:ascii="Times New Roman" w:hAnsi="Times New Roman" w:cs="Times New Roman"/>
          <w:szCs w:val="24"/>
        </w:rPr>
        <w:t xml:space="preserve">A98G+F227C, </w:t>
      </w:r>
      <w:r w:rsidRPr="004100CF">
        <w:rPr>
          <w:rFonts w:ascii="Times New Roman" w:hAnsi="Times New Roman" w:cs="Times New Roman"/>
          <w:szCs w:val="24"/>
        </w:rPr>
        <w:t xml:space="preserve">V106I+F227C, V106A+F227L, </w:t>
      </w:r>
      <w:r w:rsidR="001B25CB" w:rsidRPr="004100CF">
        <w:rPr>
          <w:rFonts w:ascii="Times New Roman" w:hAnsi="Times New Roman" w:cs="Times New Roman"/>
          <w:szCs w:val="24"/>
        </w:rPr>
        <w:t xml:space="preserve">V106A+P225H, </w:t>
      </w:r>
      <w:r w:rsidRPr="004100CF">
        <w:rPr>
          <w:rFonts w:ascii="Times New Roman" w:hAnsi="Times New Roman" w:cs="Times New Roman"/>
          <w:szCs w:val="24"/>
        </w:rPr>
        <w:t>V106A+L234I</w:t>
      </w:r>
      <w:r w:rsidR="001B25CB" w:rsidRPr="004100CF">
        <w:rPr>
          <w:rFonts w:ascii="Times New Roman" w:hAnsi="Times New Roman" w:cs="Times New Roman"/>
          <w:szCs w:val="24"/>
        </w:rPr>
        <w:t>, and K103N+M230L</w:t>
      </w:r>
      <w:r w:rsidRPr="004100CF">
        <w:rPr>
          <w:rFonts w:ascii="Times New Roman" w:hAnsi="Times New Roman" w:cs="Times New Roman"/>
          <w:szCs w:val="24"/>
        </w:rPr>
        <w:t xml:space="preserve">, now recur across phenotypic studies, </w:t>
      </w:r>
      <w:r w:rsidRPr="004100CF">
        <w:rPr>
          <w:rFonts w:ascii="Times New Roman" w:hAnsi="Times New Roman" w:cs="Times New Roman"/>
          <w:i/>
          <w:iCs/>
          <w:szCs w:val="24"/>
        </w:rPr>
        <w:t>in vitro</w:t>
      </w:r>
      <w:r w:rsidRPr="004100CF">
        <w:rPr>
          <w:rFonts w:ascii="Times New Roman" w:hAnsi="Times New Roman" w:cs="Times New Roman"/>
          <w:szCs w:val="24"/>
        </w:rPr>
        <w:t xml:space="preserve"> selection experiments, and clinical trial datasets. Despite these observations, publicly available isolate-level susceptibility data for DOR remain sparse. As of April 2026, Stanford HIVDB indexes only 134 DOR-associated isolates tested by the PhenoSense assay, compared with 330 for RPV and 1,193 for ETR. This mismatch between growing clinical relevance and limited public phenotype data for DOR resistance motivated the present study.</w:t>
      </w:r>
      <w:r w:rsidRPr="004100CF">
        <w:rPr>
          <w:rFonts w:ascii="Times New Roman" w:hAnsi="Times New Roman" w:cs="Times New Roman"/>
        </w:rPr>
        <w:t xml:space="preserve"> </w:t>
      </w:r>
    </w:p>
    <w:p w14:paraId="665BE3FA" w14:textId="55E0F7B9" w:rsidR="00D51091" w:rsidRPr="004100CF" w:rsidRDefault="001B25CB" w:rsidP="00D51091">
      <w:pPr>
        <w:spacing w:after="240"/>
        <w:rPr>
          <w:rFonts w:ascii="Times New Roman" w:hAnsi="Times New Roman" w:cs="Times New Roman"/>
        </w:rPr>
      </w:pPr>
      <w:bookmarkStart w:id="6" w:name="_Hlk238122711"/>
      <w:r w:rsidRPr="004100CF">
        <w:rPr>
          <w:rFonts w:ascii="Times New Roman" w:hAnsi="Times New Roman" w:cs="Times New Roman"/>
        </w:rPr>
        <w:t xml:space="preserve">We asked whether explicit-solvent MD simulations of RT-DOR complex could provide an </w:t>
      </w:r>
      <w:r w:rsidRPr="004100CF">
        <w:rPr>
          <w:rFonts w:ascii="Times New Roman" w:hAnsi="Times New Roman" w:cs="Times New Roman"/>
          <w:i/>
          <w:iCs/>
        </w:rPr>
        <w:t xml:space="preserve">in silico </w:t>
      </w:r>
      <w:r w:rsidRPr="004100CF">
        <w:rPr>
          <w:rFonts w:ascii="Times New Roman" w:hAnsi="Times New Roman" w:cs="Times New Roman"/>
        </w:rPr>
        <w:t xml:space="preserve">framework for comparison with </w:t>
      </w:r>
      <w:r w:rsidRPr="004100CF">
        <w:rPr>
          <w:rFonts w:ascii="Times New Roman" w:hAnsi="Times New Roman" w:cs="Times New Roman"/>
          <w:i/>
          <w:iCs/>
        </w:rPr>
        <w:t xml:space="preserve">in vitro </w:t>
      </w:r>
      <w:r w:rsidRPr="004100CF">
        <w:rPr>
          <w:rFonts w:ascii="Times New Roman" w:hAnsi="Times New Roman" w:cs="Times New Roman"/>
        </w:rPr>
        <w:t xml:space="preserve">susceptibility data. </w:t>
      </w:r>
      <w:r w:rsidR="0045260D" w:rsidRPr="004100CF">
        <w:rPr>
          <w:rFonts w:ascii="Times New Roman" w:hAnsi="Times New Roman" w:cs="Times New Roman"/>
        </w:rPr>
        <w:t>Specifically, we used both MM/GBSA-based absolute energy computation from equilibrium MD simulations and a</w:t>
      </w:r>
      <w:r w:rsidR="00F77785" w:rsidRPr="004100CF">
        <w:rPr>
          <w:rFonts w:ascii="Times New Roman" w:hAnsi="Times New Roman" w:cs="Times New Roman"/>
        </w:rPr>
        <w:t xml:space="preserve"> recently developed</w:t>
      </w:r>
      <w:r w:rsidR="00F77785" w:rsidRPr="004100CF">
        <w:rPr>
          <w:rFonts w:ascii="Times New Roman" w:hAnsi="Times New Roman" w:cs="Times New Roman"/>
        </w:rPr>
        <w:fldChar w:fldCharType="begin"/>
      </w:r>
      <w:r w:rsidR="00F77785" w:rsidRPr="004100CF">
        <w:rPr>
          <w:rFonts w:ascii="Times New Roman" w:hAnsi="Times New Roman" w:cs="Times New Roman"/>
        </w:rPr>
        <w:instrText xml:space="preserve"> ADDIN ZOTERO_ITEM CSL_CITATION {"citationID":"3aC1ecTa","properties":{"unsorted":true,"formattedCitation":"\\super 30,31\\nosupersub{}","plainCitation":"30,31","noteIndex":0},"citationItems":[{"id":257,"uris":["http://zotero.org/users/19404620/items/3AGKTMV5"],"itemData":{"id":257,"type":"article-journal","abstract":"This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F77785" w:rsidRPr="004100CF">
        <w:rPr>
          <w:rFonts w:ascii="Times New Roman" w:hAnsi="Times New Roman" w:cs="Times New Roman"/>
        </w:rPr>
        <w:fldChar w:fldCharType="separate"/>
      </w:r>
      <w:r w:rsidR="00F77785" w:rsidRPr="004100CF">
        <w:rPr>
          <w:rFonts w:ascii="Times New Roman" w:hAnsi="Times New Roman" w:cs="Times New Roman"/>
          <w:szCs w:val="24"/>
          <w:vertAlign w:val="superscript"/>
        </w:rPr>
        <w:t>30,31</w:t>
      </w:r>
      <w:r w:rsidR="00F77785" w:rsidRPr="004100CF">
        <w:rPr>
          <w:rFonts w:ascii="Times New Roman" w:hAnsi="Times New Roman" w:cs="Times New Roman"/>
        </w:rPr>
        <w:fldChar w:fldCharType="end"/>
      </w:r>
      <w:r w:rsidR="0045260D" w:rsidRPr="004100CF">
        <w:rPr>
          <w:rFonts w:ascii="Times New Roman" w:hAnsi="Times New Roman" w:cs="Times New Roman"/>
        </w:rPr>
        <w:t xml:space="preserve"> alchemical </w:t>
      </w:r>
      <w:r w:rsidR="00200876" w:rsidRPr="004100CF">
        <w:rPr>
          <w:rFonts w:ascii="Times New Roman" w:hAnsi="Times New Roman" w:cs="Times New Roman"/>
        </w:rPr>
        <w:t>FEP</w:t>
      </w:r>
      <w:r w:rsidR="0045260D" w:rsidRPr="004100CF">
        <w:rPr>
          <w:rFonts w:ascii="Times New Roman" w:hAnsi="Times New Roman" w:cs="Times New Roman"/>
        </w:rPr>
        <w:t xml:space="preserve"> </w:t>
      </w:r>
      <w:r w:rsidR="00200876" w:rsidRPr="004100CF">
        <w:rPr>
          <w:rFonts w:ascii="Times New Roman" w:hAnsi="Times New Roman" w:cs="Times New Roman"/>
        </w:rPr>
        <w:t>method</w:t>
      </w:r>
      <w:r w:rsidR="0045260D" w:rsidRPr="004100CF">
        <w:rPr>
          <w:rFonts w:ascii="Times New Roman" w:hAnsi="Times New Roman" w:cs="Times New Roman"/>
        </w:rPr>
        <w:t xml:space="preserve"> </w:t>
      </w:r>
      <w:r w:rsidR="00200876" w:rsidRPr="004100CF">
        <w:rPr>
          <w:rFonts w:ascii="Times New Roman" w:hAnsi="Times New Roman" w:cs="Times New Roman"/>
        </w:rPr>
        <w:t>that uses nonequilibrium switching</w:t>
      </w:r>
      <w:r w:rsidR="0045260D" w:rsidRPr="004100CF">
        <w:rPr>
          <w:rFonts w:ascii="Times New Roman" w:hAnsi="Times New Roman" w:cs="Times New Roman"/>
        </w:rPr>
        <w:t xml:space="preserve">. </w:t>
      </w:r>
      <w:bookmarkEnd w:id="6"/>
      <w:r w:rsidRPr="004100CF">
        <w:rPr>
          <w:rFonts w:ascii="Times New Roman" w:hAnsi="Times New Roman" w:cs="Times New Roman"/>
        </w:rPr>
        <w:t>This choice was motivated by prior studies that successfully used such free energy calculations from MD simulations to interrogate resistance mutations in infectious diseases,</w:t>
      </w:r>
      <w:r w:rsidR="00AC54E3" w:rsidRPr="004100CF">
        <w:rPr>
          <w:rFonts w:ascii="Times New Roman" w:hAnsi="Times New Roman" w:cs="Times New Roman"/>
        </w:rPr>
        <w:fldChar w:fldCharType="begin"/>
      </w:r>
      <w:r w:rsidR="00AC54E3" w:rsidRPr="004100CF">
        <w:rPr>
          <w:rFonts w:ascii="Times New Roman" w:hAnsi="Times New Roman" w:cs="Times New Roman"/>
        </w:rPr>
        <w:instrText xml:space="preserve"> ADDIN ZOTERO_ITEM CSL_CITATION {"citationID":"YsIGJLYx","properties":{"unsorted":true,"formattedCitation":"\\super 57\\uc0\\u8211{}59\\nosupersub{}","plainCitation":"57–59","noteIndex":0},"citationItems":[{"id":322,"uris":["http://zotero.org/users/19404620/items/38PDJNEN"],"itemData":{"id":322,"type":"article-journal","abstract":"Point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(ΔEcoul)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ΔΔEcoul for R292K-wildtype at position 292 parallel the change in experimental fold resistance energies (ΔΔGR292K-WT) with S03 &amp;lt; S00 &amp;lt; S02 &amp;lt; S01. The footprints also reveal that the most potent ligands have (1) less reliance on R292 for intrinsic affinity, (2) enhanced binding via residues E119, E227, and E277, and (3) flatter ΔEcoul and ΔH-bond profiles. Improved resistance for S03 appears to be a function of the ligand’s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µs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rsidR="00AC54E3" w:rsidRPr="004100CF">
        <w:rPr>
          <w:rFonts w:ascii="Times New Roman" w:hAnsi="Times New Roman" w:cs="Times New Roman"/>
        </w:rPr>
        <w:fldChar w:fldCharType="separate"/>
      </w:r>
      <w:r w:rsidR="00AC54E3" w:rsidRPr="004100CF">
        <w:rPr>
          <w:rFonts w:ascii="Times New Roman" w:hAnsi="Times New Roman" w:cs="Times New Roman"/>
          <w:szCs w:val="24"/>
          <w:vertAlign w:val="superscript"/>
        </w:rPr>
        <w:t>57–59</w:t>
      </w:r>
      <w:r w:rsidR="00AC54E3" w:rsidRPr="004100CF">
        <w:rPr>
          <w:rFonts w:ascii="Times New Roman" w:hAnsi="Times New Roman" w:cs="Times New Roman"/>
        </w:rPr>
        <w:fldChar w:fldCharType="end"/>
      </w:r>
      <w:r w:rsidRPr="004100CF">
        <w:rPr>
          <w:rFonts w:ascii="Times New Roman" w:hAnsi="Times New Roman" w:cs="Times New Roman"/>
        </w:rPr>
        <w:t xml:space="preserve"> including HIV,</w:t>
      </w:r>
      <w:r w:rsidR="00C67814" w:rsidRPr="004100CF">
        <w:rPr>
          <w:rFonts w:ascii="Times New Roman" w:hAnsi="Times New Roman" w:cs="Times New Roman"/>
        </w:rPr>
        <w:fldChar w:fldCharType="begin"/>
      </w:r>
      <w:r w:rsidR="00C67814" w:rsidRPr="004100CF">
        <w:rPr>
          <w:rFonts w:ascii="Times New Roman" w:hAnsi="Times New Roman" w:cs="Times New Roman"/>
        </w:rPr>
        <w:instrText xml:space="preserve"> ADDIN ZOTERO_ITEM CSL_CITATION {"citationID":"FwFMZHUY","properties":{"unsorted":true,"formattedCitation":"\\super 26,60\\uc0\\u8211{}64\\nosupersub{}","plainCitation":"26,60–64","noteIndex":0},"citationItems":[{"id":318,"uris":["http://zotero.org/users/19404620/items/Z3JHCUEJ"],"itemData":{"id":318,"type":"article-journal","abstract":"The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L."}],"issued":{"date-parts":[["2004",3,20]]}}},{"id":267,"uris":["http://zotero.org/users/19404620/items/FLDCEDH2"],"itemData":{"id":267,"type":"article-journal","abstract":"Darunavir (DRV) is a high affinity (4.5 × 10−12 M, ΔG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energy\nΔG,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3-Å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rsidR="00C67814" w:rsidRPr="004100CF">
        <w:rPr>
          <w:rFonts w:ascii="Times New Roman" w:hAnsi="Times New Roman" w:cs="Times New Roman"/>
        </w:rPr>
        <w:fldChar w:fldCharType="separate"/>
      </w:r>
      <w:r w:rsidR="00C67814" w:rsidRPr="004100CF">
        <w:rPr>
          <w:rFonts w:ascii="Times New Roman" w:hAnsi="Times New Roman" w:cs="Times New Roman"/>
          <w:szCs w:val="24"/>
          <w:vertAlign w:val="superscript"/>
        </w:rPr>
        <w:t>26,60–64</w:t>
      </w:r>
      <w:r w:rsidR="00C67814" w:rsidRPr="004100CF">
        <w:rPr>
          <w:rFonts w:ascii="Times New Roman" w:hAnsi="Times New Roman" w:cs="Times New Roman"/>
        </w:rPr>
        <w:fldChar w:fldCharType="end"/>
      </w:r>
      <w:r w:rsidRPr="004100CF">
        <w:rPr>
          <w:rFonts w:ascii="Times New Roman" w:hAnsi="Times New Roman" w:cs="Times New Roman"/>
        </w:rPr>
        <w:t xml:space="preserve"> and cancer.</w:t>
      </w:r>
      <w:r w:rsidR="006F0935" w:rsidRPr="004100CF">
        <w:rPr>
          <w:rFonts w:ascii="Times New Roman" w:hAnsi="Times New Roman" w:cs="Times New Roman"/>
        </w:rPr>
        <w:fldChar w:fldCharType="begin"/>
      </w:r>
      <w:r w:rsidR="006F0935" w:rsidRPr="004100CF">
        <w:rPr>
          <w:rFonts w:ascii="Times New Roman" w:hAnsi="Times New Roman" w:cs="Times New Roman"/>
        </w:rPr>
        <w:instrText xml:space="preserve"> ADDIN ZOTERO_ITEM CSL_CITATION {"citationID":"7z8cciZU","properties":{"unsorted":false,"formattedCitation":"\\super 65,66\\nosupersub{}","plainCitation":"65,66","noteIndex":0},"citationItems":[{"id":260,"uris":["http://zotero.org/users/19404620/items/6VJGNZIE"],"itemData":{"id":260,"type":"article-journal","abstract":"The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rsidR="006F0935" w:rsidRPr="004100CF">
        <w:rPr>
          <w:rFonts w:ascii="Times New Roman" w:hAnsi="Times New Roman" w:cs="Times New Roman"/>
        </w:rPr>
        <w:fldChar w:fldCharType="separate"/>
      </w:r>
      <w:r w:rsidR="006F0935" w:rsidRPr="004100CF">
        <w:rPr>
          <w:rFonts w:ascii="Times New Roman" w:hAnsi="Times New Roman" w:cs="Times New Roman"/>
          <w:szCs w:val="24"/>
          <w:vertAlign w:val="superscript"/>
        </w:rPr>
        <w:t>65,66</w:t>
      </w:r>
      <w:r w:rsidR="006F0935" w:rsidRPr="004100CF">
        <w:rPr>
          <w:rFonts w:ascii="Times New Roman" w:hAnsi="Times New Roman" w:cs="Times New Roman"/>
        </w:rPr>
        <w:fldChar w:fldCharType="end"/>
      </w:r>
      <w:r w:rsidRPr="004100CF">
        <w:rPr>
          <w:rFonts w:ascii="Times New Roman" w:hAnsi="Times New Roman" w:cs="Times New Roman"/>
        </w:rPr>
        <w:t xml:space="preserve"> </w:t>
      </w:r>
      <w:r w:rsidR="0045260D" w:rsidRPr="004100CF">
        <w:rPr>
          <w:rFonts w:ascii="Times New Roman" w:hAnsi="Times New Roman" w:cs="Times New Roman"/>
        </w:rPr>
        <w:t xml:space="preserve">For transparency and reproducibility, we used open source alternatives to </w:t>
      </w:r>
      <w:r w:rsidR="00200876" w:rsidRPr="004100CF">
        <w:rPr>
          <w:rFonts w:ascii="Times New Roman" w:hAnsi="Times New Roman" w:cs="Times New Roman"/>
        </w:rPr>
        <w:t xml:space="preserve">the more </w:t>
      </w:r>
      <w:r w:rsidR="00F84BC2" w:rsidRPr="004100CF">
        <w:rPr>
          <w:rFonts w:ascii="Times New Roman" w:hAnsi="Times New Roman" w:cs="Times New Roman"/>
        </w:rPr>
        <w:t>widely-used</w:t>
      </w:r>
      <w:r w:rsidR="00200876" w:rsidRPr="004100CF">
        <w:rPr>
          <w:rFonts w:ascii="Times New Roman" w:hAnsi="Times New Roman" w:cs="Times New Roman"/>
        </w:rPr>
        <w:t xml:space="preserve">, </w:t>
      </w:r>
      <w:r w:rsidR="00F84BC2" w:rsidRPr="004100CF">
        <w:rPr>
          <w:rFonts w:ascii="Times New Roman" w:hAnsi="Times New Roman" w:cs="Times New Roman"/>
        </w:rPr>
        <w:t>commercial</w:t>
      </w:r>
      <w:r w:rsidR="0045260D" w:rsidRPr="004100CF">
        <w:rPr>
          <w:rFonts w:ascii="Times New Roman" w:hAnsi="Times New Roman" w:cs="Times New Roman"/>
        </w:rPr>
        <w:t xml:space="preserve"> FEP </w:t>
      </w:r>
      <w:r w:rsidR="00F84BC2" w:rsidRPr="004100CF">
        <w:rPr>
          <w:rFonts w:ascii="Times New Roman" w:hAnsi="Times New Roman" w:cs="Times New Roman"/>
        </w:rPr>
        <w:t>workflows</w:t>
      </w:r>
      <w:r w:rsidR="0045260D" w:rsidRPr="004100CF">
        <w:rPr>
          <w:rFonts w:ascii="Times New Roman" w:hAnsi="Times New Roman" w:cs="Times New Roman"/>
        </w:rPr>
        <w:t>.</w:t>
      </w:r>
      <w:r w:rsidR="00F84BC2" w:rsidRPr="004100CF">
        <w:rPr>
          <w:rFonts w:ascii="Times New Roman" w:hAnsi="Times New Roman" w:cs="Times New Roman"/>
        </w:rPr>
        <w:fldChar w:fldCharType="begin"/>
      </w:r>
      <w:r w:rsidR="00F84BC2" w:rsidRPr="004100CF">
        <w:rPr>
          <w:rFonts w:ascii="Times New Roman" w:hAnsi="Times New Roman" w:cs="Times New Roman"/>
        </w:rPr>
        <w:instrText xml:space="preserve"> ADDIN ZOTERO_ITEM CSL_CITATION {"citationID":"9NrNcyuP","properties":{"unsorted":true,"formattedCitation":"\\super 67,68\\nosupersub{}","plainCitation":"67,68","noteIndex":0},"citationItems":[{"id":333,"uris":["http://zotero.org/users/19404620/items/88HGJU5N"],"itemData":{"id":333,"type":"article-journal","abstract":"Designing\ntight-binding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F84BC2" w:rsidRPr="004100CF">
        <w:rPr>
          <w:rFonts w:ascii="Cambria Math" w:hAnsi="Cambria Math" w:cs="Cambria Math"/>
        </w:rPr>
        <w:instrText>∼</w:instrText>
      </w:r>
      <w:r w:rsidR="00F84BC2" w:rsidRPr="004100CF">
        <w:rPr>
          <w:rFonts w:ascii="Times New Roman" w:hAnsi="Times New Roman" w:cs="Times New Roman"/>
        </w:rPr>
        <w:instrText xml:space="preserve">5×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öse","given":"Dietrich"},{"family":"Buchstaller","given":"Hans-Peter"},{"family":"Burgdorf","given":"Lars"},{"family":"Cappel","given":"Daniel"},{"family":"Chekler","given":"Eugene"},{"family":"Czodrowski","given":"Paul"},{"family":"Dorsch","given":"Dieter"},{"family":"Eguida","given":"Merveille K. I."},{"family":"Follows","given":"Bruce"},{"family":"Fuchß","given":"Thomas"},{"family":"Grädler","given":"Ulrich"},{"family":"Gunera","given":"Jakub"},{"family":"Johnson","given":"Theresa"},{"family":"Jorand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rsidR="00F84BC2" w:rsidRPr="004100CF">
        <w:rPr>
          <w:rFonts w:ascii="Times New Roman" w:hAnsi="Times New Roman" w:cs="Times New Roman"/>
        </w:rPr>
        <w:fldChar w:fldCharType="separate"/>
      </w:r>
      <w:r w:rsidR="00F84BC2" w:rsidRPr="004100CF">
        <w:rPr>
          <w:rFonts w:ascii="Times New Roman" w:hAnsi="Times New Roman" w:cs="Times New Roman"/>
          <w:szCs w:val="24"/>
          <w:vertAlign w:val="superscript"/>
        </w:rPr>
        <w:t>67,68</w:t>
      </w:r>
      <w:r w:rsidR="00F84BC2" w:rsidRPr="004100CF">
        <w:rPr>
          <w:rFonts w:ascii="Times New Roman" w:hAnsi="Times New Roman" w:cs="Times New Roman"/>
        </w:rPr>
        <w:fldChar w:fldCharType="end"/>
      </w:r>
    </w:p>
    <w:p w14:paraId="423ADAA0" w14:textId="77777777" w:rsidR="00247D42" w:rsidRPr="004100CF" w:rsidRDefault="0045260D" w:rsidP="000C66C6">
      <w:pPr>
        <w:spacing w:after="240"/>
        <w:rPr>
          <w:rFonts w:ascii="Times New Roman" w:hAnsi="Times New Roman" w:cs="Times New Roman"/>
        </w:rPr>
      </w:pPr>
      <w:r w:rsidRPr="004100CF">
        <w:rPr>
          <w:rFonts w:ascii="Times New Roman" w:hAnsi="Times New Roman" w:cs="Times New Roman"/>
        </w:rPr>
        <w:t xml:space="preserve">We found that </w:t>
      </w:r>
      <w:r w:rsidR="00200876" w:rsidRPr="004100CF">
        <w:rPr>
          <w:rFonts w:ascii="Times New Roman" w:hAnsi="Times New Roman" w:cs="Times New Roman"/>
        </w:rPr>
        <w:t>the relative binding free energy, ∆∆G</w:t>
      </w:r>
      <w:r w:rsidR="00200876" w:rsidRPr="004100CF">
        <w:rPr>
          <w:rFonts w:ascii="Times New Roman" w:hAnsi="Times New Roman" w:cs="Times New Roman"/>
          <w:vertAlign w:val="subscript"/>
        </w:rPr>
        <w:t>bind</w:t>
      </w:r>
      <w:r w:rsidR="00200876" w:rsidRPr="004100CF">
        <w:rPr>
          <w:rFonts w:ascii="Times New Roman" w:hAnsi="Times New Roman" w:cs="Times New Roman"/>
        </w:rPr>
        <w:t xml:space="preserve">, obtained from the FEP simulations correctly predicted low impact on RT-DOR binding affinity for 3 out of 4 Susceptible mutations and </w:t>
      </w:r>
      <w:r w:rsidR="000C66C6" w:rsidRPr="004100CF">
        <w:rPr>
          <w:rFonts w:ascii="Times New Roman" w:hAnsi="Times New Roman" w:cs="Times New Roman"/>
        </w:rPr>
        <w:t>significant</w:t>
      </w:r>
      <w:r w:rsidR="00200876" w:rsidRPr="004100CF">
        <w:rPr>
          <w:rFonts w:ascii="Times New Roman" w:hAnsi="Times New Roman" w:cs="Times New Roman"/>
        </w:rPr>
        <w:t xml:space="preserve"> impact on RT-DOR binding affinity for 7 out of 9 Resistant mutations.</w:t>
      </w:r>
      <w:r w:rsidR="000C66C6" w:rsidRPr="004100CF">
        <w:rPr>
          <w:rFonts w:ascii="Times New Roman" w:hAnsi="Times New Roman" w:cs="Times New Roman"/>
        </w:rPr>
        <w:t xml:space="preserve"> As a result, amongst this set of mutations, ∆∆G</w:t>
      </w:r>
      <w:r w:rsidR="000C66C6" w:rsidRPr="004100CF">
        <w:rPr>
          <w:rFonts w:ascii="Times New Roman" w:hAnsi="Times New Roman" w:cs="Times New Roman"/>
          <w:vertAlign w:val="subscript"/>
        </w:rPr>
        <w:t>bind</w:t>
      </w:r>
      <w:r w:rsidR="000C66C6" w:rsidRPr="004100CF">
        <w:rPr>
          <w:rFonts w:ascii="Times New Roman" w:hAnsi="Times New Roman" w:cs="Times New Roman"/>
        </w:rPr>
        <w:t xml:space="preserve"> was found to correlate with (logarithm of) fold-change in DOR susceptibility observed </w:t>
      </w:r>
      <w:r w:rsidR="000C66C6" w:rsidRPr="004100CF">
        <w:rPr>
          <w:rFonts w:ascii="Times New Roman" w:hAnsi="Times New Roman" w:cs="Times New Roman"/>
          <w:i/>
          <w:iCs/>
        </w:rPr>
        <w:t>in vitro</w:t>
      </w:r>
      <w:r w:rsidR="000C66C6" w:rsidRPr="004100CF">
        <w:rPr>
          <w:rFonts w:ascii="Times New Roman" w:hAnsi="Times New Roman" w:cs="Times New Roman"/>
        </w:rPr>
        <w:t>, though this correlation was weak and not statistically significant (R</w:t>
      </w:r>
      <w:r w:rsidR="000C66C6" w:rsidRPr="004100CF">
        <w:rPr>
          <w:rFonts w:ascii="Times New Roman" w:hAnsi="Times New Roman" w:cs="Times New Roman"/>
          <w:vertAlign w:val="superscript"/>
        </w:rPr>
        <w:t>2</w:t>
      </w:r>
      <w:r w:rsidR="000C66C6" w:rsidRPr="004100CF">
        <w:rPr>
          <w:rFonts w:ascii="Times New Roman" w:hAnsi="Times New Roman" w:cs="Times New Roman"/>
        </w:rPr>
        <w:t xml:space="preserve"> = 0.26, p = 0.07). In contrast, ∆∆E</w:t>
      </w:r>
      <w:r w:rsidR="00247D42" w:rsidRPr="004100CF">
        <w:rPr>
          <w:rFonts w:ascii="Times New Roman" w:hAnsi="Times New Roman" w:cs="Times New Roman"/>
          <w:vertAlign w:val="subscript"/>
        </w:rPr>
        <w:t>Total</w:t>
      </w:r>
      <w:r w:rsidR="000C66C6" w:rsidRPr="004100CF">
        <w:rPr>
          <w:rFonts w:ascii="Times New Roman" w:hAnsi="Times New Roman" w:cs="Times New Roman"/>
        </w:rPr>
        <w:t xml:space="preserve"> values </w:t>
      </w:r>
      <w:r w:rsidR="00247D42" w:rsidRPr="004100CF">
        <w:rPr>
          <w:rFonts w:ascii="Times New Roman" w:hAnsi="Times New Roman" w:cs="Times New Roman"/>
        </w:rPr>
        <w:t>obtained from MM/GBSA energy calculations correctly predicted low impact on RT-DOR interface energy for only 1 out of 4 Susceptible mutations and significant impact on RT-DOR interface energy for 8 out of 9 Resistant mutations. Moreover, ∆∆E</w:t>
      </w:r>
      <w:r w:rsidR="00247D42" w:rsidRPr="004100CF">
        <w:rPr>
          <w:rFonts w:ascii="Times New Roman" w:hAnsi="Times New Roman" w:cs="Times New Roman"/>
          <w:vertAlign w:val="subscript"/>
        </w:rPr>
        <w:t>Total</w:t>
      </w:r>
      <w:r w:rsidR="00247D42" w:rsidRPr="004100CF">
        <w:rPr>
          <w:rFonts w:ascii="Times New Roman" w:hAnsi="Times New Roman" w:cs="Times New Roman"/>
        </w:rPr>
        <w:t xml:space="preserve"> exhibited no correlation with DOR fold-change data.</w:t>
      </w:r>
    </w:p>
    <w:p w14:paraId="06575B06" w14:textId="73AE64F8" w:rsidR="000C66C6" w:rsidRPr="004100CF" w:rsidRDefault="000412F0" w:rsidP="000C66C6">
      <w:pPr>
        <w:spacing w:after="240"/>
        <w:rPr>
          <w:rFonts w:ascii="Times New Roman" w:hAnsi="Times New Roman" w:cs="Times New Roman"/>
        </w:rPr>
      </w:pPr>
      <w:r w:rsidRPr="004100CF">
        <w:rPr>
          <w:rFonts w:ascii="Times New Roman" w:hAnsi="Times New Roman" w:cs="Times New Roman"/>
        </w:rPr>
        <w:t>Interestingly, ∆∆E</w:t>
      </w:r>
      <w:r w:rsidRPr="004100CF">
        <w:rPr>
          <w:rFonts w:ascii="Times New Roman" w:hAnsi="Times New Roman" w:cs="Times New Roman"/>
          <w:vertAlign w:val="subscript"/>
        </w:rPr>
        <w:t>Total</w:t>
      </w:r>
      <w:r w:rsidRPr="004100CF">
        <w:rPr>
          <w:rFonts w:ascii="Times New Roman" w:hAnsi="Times New Roman" w:cs="Times New Roman"/>
        </w:rPr>
        <w:t xml:space="preserve"> and ∆∆G</w:t>
      </w:r>
      <w:r w:rsidRPr="004100CF">
        <w:rPr>
          <w:rFonts w:ascii="Times New Roman" w:hAnsi="Times New Roman" w:cs="Times New Roman"/>
          <w:vertAlign w:val="subscript"/>
        </w:rPr>
        <w:t>bind</w:t>
      </w:r>
      <w:r w:rsidRPr="004100CF">
        <w:rPr>
          <w:rFonts w:ascii="Times New Roman" w:hAnsi="Times New Roman" w:cs="Times New Roman"/>
        </w:rPr>
        <w:t xml:space="preserve"> showed a modest correlation with each other (R</w:t>
      </w:r>
      <w:r w:rsidRPr="004100CF">
        <w:rPr>
          <w:rFonts w:ascii="Times New Roman" w:hAnsi="Times New Roman" w:cs="Times New Roman"/>
          <w:vertAlign w:val="superscript"/>
        </w:rPr>
        <w:t xml:space="preserve">2 </w:t>
      </w:r>
      <w:r w:rsidRPr="004100CF">
        <w:rPr>
          <w:rFonts w:ascii="Times New Roman" w:hAnsi="Times New Roman" w:cs="Times New Roman"/>
        </w:rPr>
        <w:t xml:space="preserve">= 0.25, p = 0.03). Thus, there are likely shared structural mechanisms that impact both these metrics. </w:t>
      </w:r>
      <w:r w:rsidR="00896543" w:rsidRPr="004100CF">
        <w:rPr>
          <w:rFonts w:ascii="Times New Roman" w:hAnsi="Times New Roman" w:cs="Times New Roman"/>
        </w:rPr>
        <w:t xml:space="preserve">Judging from the dominant impact of van der Waals energy component (Table 2), it is possible </w:t>
      </w:r>
      <w:r w:rsidR="00896543" w:rsidRPr="004100CF">
        <w:rPr>
          <w:rFonts w:ascii="Times New Roman" w:hAnsi="Times New Roman" w:cs="Times New Roman"/>
        </w:rPr>
        <w:lastRenderedPageBreak/>
        <w:t xml:space="preserve">that these shared mechanisms include inefficiency in packing DOR within the NNIBP. </w:t>
      </w:r>
      <w:r w:rsidRPr="004100CF">
        <w:rPr>
          <w:rFonts w:ascii="Times New Roman" w:hAnsi="Times New Roman" w:cs="Times New Roman"/>
        </w:rPr>
        <w:t xml:space="preserve">However, </w:t>
      </w:r>
      <w:r w:rsidR="00247D42" w:rsidRPr="004100CF">
        <w:rPr>
          <w:rFonts w:ascii="Times New Roman" w:hAnsi="Times New Roman" w:cs="Times New Roman"/>
        </w:rPr>
        <w:t>∆∆E</w:t>
      </w:r>
      <w:r w:rsidR="00247D42" w:rsidRPr="004100CF">
        <w:rPr>
          <w:rFonts w:ascii="Times New Roman" w:hAnsi="Times New Roman" w:cs="Times New Roman"/>
          <w:vertAlign w:val="subscript"/>
        </w:rPr>
        <w:t>Total</w:t>
      </w:r>
      <w:r w:rsidR="00247D42" w:rsidRPr="004100CF">
        <w:rPr>
          <w:rFonts w:ascii="Times New Roman" w:hAnsi="Times New Roman" w:cs="Times New Roman"/>
        </w:rPr>
        <w:t xml:space="preserve"> values typically showed larger error bars than ∆∆G</w:t>
      </w:r>
      <w:r w:rsidR="00247D42" w:rsidRPr="004100CF">
        <w:rPr>
          <w:rFonts w:ascii="Times New Roman" w:hAnsi="Times New Roman" w:cs="Times New Roman"/>
          <w:vertAlign w:val="subscript"/>
        </w:rPr>
        <w:t>bind</w:t>
      </w:r>
      <w:r w:rsidR="00247D42" w:rsidRPr="004100CF">
        <w:rPr>
          <w:rFonts w:ascii="Times New Roman" w:hAnsi="Times New Roman" w:cs="Times New Roman"/>
        </w:rPr>
        <w:t xml:space="preserve">. This observation is not due to incomplete convergence of the </w:t>
      </w:r>
      <w:r w:rsidRPr="004100CF">
        <w:rPr>
          <w:rFonts w:ascii="Times New Roman" w:hAnsi="Times New Roman" w:cs="Times New Roman"/>
        </w:rPr>
        <w:t xml:space="preserve">equilibrium </w:t>
      </w:r>
      <w:r w:rsidR="00247D42" w:rsidRPr="004100CF">
        <w:rPr>
          <w:rFonts w:ascii="Times New Roman" w:hAnsi="Times New Roman" w:cs="Times New Roman"/>
        </w:rPr>
        <w:t>simulations (Supplementary Figure 1), rather intrinsic noise in the MM/GBSA approach for large and complex systems</w:t>
      </w:r>
      <w:r w:rsidRPr="004100CF">
        <w:rPr>
          <w:rFonts w:ascii="Times New Roman" w:hAnsi="Times New Roman" w:cs="Times New Roman"/>
        </w:rPr>
        <w:t xml:space="preserve"> (Supplementary Table 3)</w:t>
      </w:r>
      <w:r w:rsidR="00247D42" w:rsidRPr="004100CF">
        <w:rPr>
          <w:rFonts w:ascii="Times New Roman" w:hAnsi="Times New Roman" w:cs="Times New Roman"/>
        </w:rPr>
        <w:t xml:space="preserve">. This noise can be mitigated by </w:t>
      </w:r>
      <w:r w:rsidRPr="004100CF">
        <w:rPr>
          <w:rFonts w:ascii="Times New Roman" w:hAnsi="Times New Roman" w:cs="Times New Roman"/>
        </w:rPr>
        <w:t xml:space="preserve">(i) </w:t>
      </w:r>
      <w:r w:rsidR="00247D42" w:rsidRPr="004100CF">
        <w:rPr>
          <w:rFonts w:ascii="Times New Roman" w:hAnsi="Times New Roman" w:cs="Times New Roman"/>
        </w:rPr>
        <w:t>increasing the number of replicates</w:t>
      </w:r>
      <w:r w:rsidRPr="004100CF">
        <w:rPr>
          <w:rFonts w:ascii="Times New Roman" w:hAnsi="Times New Roman" w:cs="Times New Roman"/>
        </w:rPr>
        <w:t xml:space="preserve"> for each simulation </w:t>
      </w:r>
      <w:r w:rsidR="00F21F97" w:rsidRPr="004100CF">
        <w:rPr>
          <w:rFonts w:ascii="Times New Roman" w:hAnsi="Times New Roman" w:cs="Times New Roman"/>
        </w:rPr>
        <w:t>and</w:t>
      </w:r>
      <w:r w:rsidRPr="004100CF">
        <w:rPr>
          <w:rFonts w:ascii="Times New Roman" w:hAnsi="Times New Roman" w:cs="Times New Roman"/>
        </w:rPr>
        <w:t xml:space="preserve"> (ii) freezing or truncating the atoms far from the binding pocket</w:t>
      </w:r>
      <w:r w:rsidR="00247D42" w:rsidRPr="004100CF">
        <w:rPr>
          <w:rFonts w:ascii="Times New Roman" w:hAnsi="Times New Roman" w:cs="Times New Roman"/>
        </w:rPr>
        <w:t>.</w:t>
      </w:r>
    </w:p>
    <w:p w14:paraId="17132AAB" w14:textId="1B3B217F" w:rsidR="000C66C6" w:rsidRPr="004100CF" w:rsidRDefault="000C66C6" w:rsidP="000C66C6">
      <w:pPr>
        <w:spacing w:after="240"/>
        <w:rPr>
          <w:rFonts w:ascii="Times New Roman" w:hAnsi="Times New Roman" w:cs="Times New Roman"/>
        </w:rPr>
      </w:pPr>
      <w:r w:rsidRPr="004100CF">
        <w:rPr>
          <w:rFonts w:ascii="Times New Roman" w:hAnsi="Times New Roman" w:cs="Times New Roman"/>
        </w:rPr>
        <w:t xml:space="preserve">Since the </w:t>
      </w:r>
      <w:r w:rsidR="00896543" w:rsidRPr="004100CF">
        <w:rPr>
          <w:rFonts w:ascii="Times New Roman" w:hAnsi="Times New Roman" w:cs="Times New Roman"/>
        </w:rPr>
        <w:t>nonequilibrium</w:t>
      </w:r>
      <w:r w:rsidRPr="004100CF">
        <w:rPr>
          <w:rFonts w:ascii="Times New Roman" w:hAnsi="Times New Roman" w:cs="Times New Roman"/>
        </w:rPr>
        <w:t xml:space="preserve"> FEP method involved </w:t>
      </w:r>
      <w:r w:rsidR="00896543" w:rsidRPr="004100CF">
        <w:rPr>
          <w:rFonts w:ascii="Times New Roman" w:hAnsi="Times New Roman" w:cs="Times New Roman"/>
        </w:rPr>
        <w:t>energy dissipation (Supplementary Figure 2)</w:t>
      </w:r>
      <w:r w:rsidRPr="004100CF">
        <w:rPr>
          <w:rFonts w:ascii="Times New Roman" w:hAnsi="Times New Roman" w:cs="Times New Roman"/>
        </w:rPr>
        <w:t xml:space="preserve">, </w:t>
      </w:r>
      <w:r w:rsidR="00896543" w:rsidRPr="004100CF">
        <w:rPr>
          <w:rFonts w:ascii="Times New Roman" w:hAnsi="Times New Roman" w:cs="Times New Roman"/>
        </w:rPr>
        <w:t>charge-changing transitions, e.g. Lys</w:t>
      </w:r>
      <w:r w:rsidR="00D620D9" w:rsidRPr="004100CF">
        <w:rPr>
          <w:rFonts w:ascii="Times New Roman" w:hAnsi="Times New Roman" w:cs="Times New Roman"/>
          <w:vertAlign w:val="superscript"/>
        </w:rPr>
        <w:t>+1</w:t>
      </w:r>
      <w:r w:rsidR="00896543" w:rsidRPr="004100CF">
        <w:rPr>
          <w:rFonts w:ascii="Times New Roman" w:hAnsi="Times New Roman" w:cs="Times New Roman"/>
        </w:rPr>
        <w:t xml:space="preserve"> to Asn</w:t>
      </w:r>
      <w:r w:rsidR="00D620D9" w:rsidRPr="004100CF">
        <w:rPr>
          <w:rFonts w:ascii="Times New Roman" w:hAnsi="Times New Roman" w:cs="Times New Roman"/>
          <w:vertAlign w:val="superscript"/>
        </w:rPr>
        <w:t>0</w:t>
      </w:r>
      <w:r w:rsidR="00896543" w:rsidRPr="004100CF">
        <w:rPr>
          <w:rFonts w:ascii="Times New Roman" w:hAnsi="Times New Roman" w:cs="Times New Roman"/>
        </w:rPr>
        <w:t xml:space="preserve"> in K103N or Gly</w:t>
      </w:r>
      <w:r w:rsidR="00D620D9" w:rsidRPr="004100CF">
        <w:rPr>
          <w:rFonts w:ascii="Times New Roman" w:hAnsi="Times New Roman" w:cs="Times New Roman"/>
          <w:vertAlign w:val="superscript"/>
        </w:rPr>
        <w:t>0</w:t>
      </w:r>
      <w:r w:rsidR="00896543" w:rsidRPr="004100CF">
        <w:rPr>
          <w:rFonts w:ascii="Times New Roman" w:hAnsi="Times New Roman" w:cs="Times New Roman"/>
        </w:rPr>
        <w:t xml:space="preserve"> to Glu</w:t>
      </w:r>
      <w:r w:rsidR="00D620D9" w:rsidRPr="004100CF">
        <w:rPr>
          <w:rFonts w:ascii="Times New Roman" w:hAnsi="Times New Roman" w:cs="Times New Roman"/>
          <w:vertAlign w:val="superscript"/>
        </w:rPr>
        <w:t>+1</w:t>
      </w:r>
      <w:r w:rsidR="00896543" w:rsidRPr="004100CF">
        <w:rPr>
          <w:rFonts w:ascii="Times New Roman" w:hAnsi="Times New Roman" w:cs="Times New Roman"/>
        </w:rPr>
        <w:t xml:space="preserve"> in G190E, incurred </w:t>
      </w:r>
      <w:r w:rsidR="00D620D9" w:rsidRPr="004100CF">
        <w:rPr>
          <w:rFonts w:ascii="Times New Roman" w:hAnsi="Times New Roman" w:cs="Times New Roman"/>
        </w:rPr>
        <w:t>especially dissipative switches</w:t>
      </w:r>
      <w:r w:rsidR="00E62ECA" w:rsidRPr="004100CF">
        <w:rPr>
          <w:rFonts w:ascii="Times New Roman" w:hAnsi="Times New Roman" w:cs="Times New Roman"/>
        </w:rPr>
        <w:t xml:space="preserve"> (</w:t>
      </w:r>
      <w:r w:rsidR="00E62ECA" w:rsidRPr="004100CF">
        <w:rPr>
          <w:rFonts w:ascii="Cambria Math" w:hAnsi="Cambria Math" w:cs="Cambria Math"/>
          <w:szCs w:val="24"/>
        </w:rPr>
        <w:t>⟨</w:t>
      </w:r>
      <w:r w:rsidR="00E62ECA" w:rsidRPr="004100CF">
        <w:rPr>
          <w:rFonts w:ascii="Times New Roman" w:hAnsi="Times New Roman" w:cs="Times New Roman"/>
          <w:szCs w:val="24"/>
        </w:rPr>
        <w:t>W</w:t>
      </w:r>
      <w:r w:rsidR="00E62ECA" w:rsidRPr="004100CF">
        <w:rPr>
          <w:rFonts w:ascii="Times New Roman" w:hAnsi="Times New Roman" w:cs="Times New Roman"/>
          <w:szCs w:val="24"/>
          <w:vertAlign w:val="subscript"/>
        </w:rPr>
        <w:t>f</w:t>
      </w:r>
      <w:r w:rsidR="00E62ECA" w:rsidRPr="004100CF">
        <w:rPr>
          <w:rFonts w:ascii="Cambria Math" w:hAnsi="Cambria Math" w:cs="Cambria Math"/>
          <w:szCs w:val="24"/>
        </w:rPr>
        <w:t>⟩</w:t>
      </w:r>
      <w:r w:rsidR="00E62ECA" w:rsidRPr="004100CF">
        <w:rPr>
          <w:rFonts w:ascii="Times New Roman" w:hAnsi="Times New Roman" w:cs="Times New Roman"/>
          <w:szCs w:val="24"/>
        </w:rPr>
        <w:t xml:space="preserve"> - </w:t>
      </w:r>
      <w:r w:rsidR="00E62ECA" w:rsidRPr="004100CF">
        <w:rPr>
          <w:rFonts w:ascii="Cambria Math" w:hAnsi="Cambria Math" w:cs="Cambria Math"/>
          <w:szCs w:val="24"/>
        </w:rPr>
        <w:t>⟨</w:t>
      </w:r>
      <w:r w:rsidR="00E62ECA" w:rsidRPr="004100CF">
        <w:rPr>
          <w:rFonts w:ascii="Times New Roman" w:hAnsi="Times New Roman" w:cs="Times New Roman"/>
          <w:szCs w:val="24"/>
        </w:rPr>
        <w:t>W</w:t>
      </w:r>
      <w:r w:rsidR="00E62ECA" w:rsidRPr="004100CF">
        <w:rPr>
          <w:rFonts w:ascii="Times New Roman" w:hAnsi="Times New Roman" w:cs="Times New Roman"/>
          <w:szCs w:val="24"/>
          <w:vertAlign w:val="subscript"/>
        </w:rPr>
        <w:t>r</w:t>
      </w:r>
      <w:r w:rsidR="00E62ECA" w:rsidRPr="004100CF">
        <w:rPr>
          <w:rFonts w:ascii="Cambria Math" w:hAnsi="Cambria Math" w:cs="Cambria Math"/>
          <w:szCs w:val="24"/>
        </w:rPr>
        <w:t>⟩</w:t>
      </w:r>
      <w:r w:rsidR="00E62ECA" w:rsidRPr="004100CF">
        <w:rPr>
          <w:rFonts w:ascii="Times New Roman" w:hAnsi="Times New Roman" w:cs="Times New Roman"/>
          <w:szCs w:val="24"/>
        </w:rPr>
        <w:t xml:space="preserve"> </w:t>
      </w:r>
      <w:r w:rsidR="00E62ECA" w:rsidRPr="004100CF">
        <w:rPr>
          <w:rFonts w:ascii="Times New Roman" w:hAnsi="Times New Roman" w:cs="Times New Roman"/>
        </w:rPr>
        <w:t xml:space="preserve">&gt; 10kcal/mol). These cases and others required longer (500ps vs 100ps) switching protocols to obtain reasonable overlap between Work distributions. However, in some cases (e.g. G190E), this was not enough to mitigate the errors. </w:t>
      </w:r>
      <w:r w:rsidR="00F21F97" w:rsidRPr="004100CF">
        <w:rPr>
          <w:rFonts w:ascii="Times New Roman" w:hAnsi="Times New Roman" w:cs="Times New Roman"/>
        </w:rPr>
        <w:t>In such cases, errors can be mitigated by (i) increasing number of replicates and (ii) increasing length of switching protocol.</w:t>
      </w:r>
    </w:p>
    <w:p w14:paraId="789889F9" w14:textId="7322CA4D" w:rsidR="00CA031B" w:rsidRPr="004100CF" w:rsidRDefault="000C3A23" w:rsidP="00B813C0">
      <w:pPr>
        <w:spacing w:after="240"/>
        <w:rPr>
          <w:rFonts w:ascii="Times New Roman" w:hAnsi="Times New Roman" w:cs="Times New Roman"/>
        </w:rPr>
      </w:pPr>
      <w:r w:rsidRPr="004100CF">
        <w:rPr>
          <w:rFonts w:ascii="Times New Roman" w:hAnsi="Times New Roman" w:cs="Times New Roman"/>
        </w:rPr>
        <w:t xml:space="preserve">Beyond error mitigation, there is a fundamental gap in comparing </w:t>
      </w:r>
      <w:r w:rsidRPr="004100CF">
        <w:rPr>
          <w:rFonts w:ascii="Times New Roman" w:hAnsi="Times New Roman" w:cs="Times New Roman"/>
          <w:i/>
          <w:iCs/>
        </w:rPr>
        <w:t xml:space="preserve">in silico </w:t>
      </w:r>
      <w:r w:rsidRPr="004100CF">
        <w:rPr>
          <w:rFonts w:ascii="Times New Roman" w:hAnsi="Times New Roman" w:cs="Times New Roman"/>
        </w:rPr>
        <w:t xml:space="preserve">binding </w:t>
      </w:r>
      <w:r w:rsidR="004B4FAC" w:rsidRPr="004100CF">
        <w:rPr>
          <w:rFonts w:ascii="Times New Roman" w:hAnsi="Times New Roman" w:cs="Times New Roman"/>
        </w:rPr>
        <w:t xml:space="preserve">free </w:t>
      </w:r>
      <w:r w:rsidRPr="004100CF">
        <w:rPr>
          <w:rFonts w:ascii="Times New Roman" w:hAnsi="Times New Roman" w:cs="Times New Roman"/>
        </w:rPr>
        <w:t xml:space="preserve">energy calculations with drug susceptibility changes observed in the laboratory. </w:t>
      </w:r>
      <w:r w:rsidR="005F2C5F" w:rsidRPr="004100CF">
        <w:rPr>
          <w:rFonts w:ascii="Times New Roman" w:hAnsi="Times New Roman" w:cs="Times New Roman"/>
        </w:rPr>
        <w:t xml:space="preserve">Drug resistance could occur via a variety of mechanisms, including impacting </w:t>
      </w:r>
      <w:r w:rsidR="004B4FAC" w:rsidRPr="004100CF">
        <w:rPr>
          <w:rFonts w:ascii="Times New Roman" w:hAnsi="Times New Roman" w:cs="Times New Roman"/>
        </w:rPr>
        <w:t xml:space="preserve">interactions between the drug and the pocket residues, opening/closing of drug pocket in the </w:t>
      </w:r>
      <w:r w:rsidR="004B4FAC" w:rsidRPr="004100CF">
        <w:rPr>
          <w:rFonts w:ascii="Times New Roman" w:hAnsi="Times New Roman" w:cs="Times New Roman"/>
          <w:i/>
          <w:iCs/>
        </w:rPr>
        <w:t xml:space="preserve">apo </w:t>
      </w:r>
      <w:r w:rsidR="004B4FAC" w:rsidRPr="004100CF">
        <w:rPr>
          <w:rFonts w:ascii="Times New Roman" w:hAnsi="Times New Roman" w:cs="Times New Roman"/>
        </w:rPr>
        <w:t>configuration, perturbing enzyme activity/fitness, etc</w:t>
      </w:r>
      <w:r w:rsidR="007C27D8" w:rsidRPr="004100CF">
        <w:rPr>
          <w:rFonts w:ascii="Times New Roman" w:hAnsi="Times New Roman" w:cs="Times New Roman"/>
        </w:rPr>
        <w:t>., and not all of these mechanisms are captured in our calculations.</w:t>
      </w:r>
      <w:r w:rsidR="00785447" w:rsidRPr="004100CF">
        <w:rPr>
          <w:rFonts w:ascii="Times New Roman" w:hAnsi="Times New Roman" w:cs="Times New Roman"/>
        </w:rPr>
        <w:t xml:space="preserve"> These, however, can be taken into account through more advanced computational approaches</w:t>
      </w:r>
      <w:r w:rsidR="005F4A15" w:rsidRPr="004100CF">
        <w:rPr>
          <w:rFonts w:ascii="Times New Roman" w:hAnsi="Times New Roman" w:cs="Times New Roman"/>
        </w:rPr>
        <w:t xml:space="preserve">, such as </w:t>
      </w:r>
      <w:r w:rsidR="00A56C40" w:rsidRPr="004100CF">
        <w:rPr>
          <w:rFonts w:ascii="Times New Roman" w:hAnsi="Times New Roman" w:cs="Times New Roman"/>
        </w:rPr>
        <w:t>hybrid QM/MM approaches,</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{"citationID":"sLjTkXhC","properties":{"unsorted":true,"formattedCitation":"\\super 69,70\\nosupersub{}","plainCitation":"69,70","noteIndex":0},"citationItems":[{"id":338,"uris":["http://zotero.org/users/19404620/items/GTRLFGP9"],"itemData":{"id":338,"type":"article-journal","abstract":"Computational\nenzymology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69,70</w:t>
      </w:r>
      <w:r w:rsidR="00793866" w:rsidRPr="004100CF">
        <w:rPr>
          <w:rFonts w:ascii="Times New Roman" w:hAnsi="Times New Roman" w:cs="Times New Roman"/>
        </w:rPr>
        <w:fldChar w:fldCharType="end"/>
      </w:r>
      <w:r w:rsidR="00A56C40" w:rsidRPr="004100CF">
        <w:rPr>
          <w:rFonts w:ascii="Times New Roman" w:hAnsi="Times New Roman" w:cs="Times New Roman"/>
        </w:rPr>
        <w:t xml:space="preserve"> </w:t>
      </w:r>
      <w:r w:rsidR="005F4A15" w:rsidRPr="004100CF">
        <w:rPr>
          <w:rFonts w:ascii="Times New Roman" w:hAnsi="Times New Roman" w:cs="Times New Roman"/>
        </w:rPr>
        <w:t>enhanced sampling techniques</w:t>
      </w:r>
      <w:r w:rsidR="00A56C40" w:rsidRPr="004100CF">
        <w:rPr>
          <w:rFonts w:ascii="Times New Roman" w:hAnsi="Times New Roman" w:cs="Times New Roman"/>
        </w:rPr>
        <w:t>,</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{"citationID":"rSbnknBS","properties":{"unsorted":true,"formattedCitation":"\\super 71\\uc0\\u8211{}73\\nosupersub{}","plainCitation":"71–73","noteIndex":0},"citationItems":[{"id":344,"uris":["http://zotero.org/users/19404620/items/LYV9Y28D"],"itemData":{"id":344,"type":"article-journal","abstract":"Understanding the structural mechanisms of protein–ligand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μs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models","volume":"6","author":[{"family":"Plattner","given":"Nuria"},{"family":"Noé","given":"Frank"}],"issued":{"date-parts":[["2015",7,2]]}}},{"id":342,"uris":["http://zotero.org/users/19404620/items/QEBNVLBI"],"itemData":{"id":342,"type":"article-journal","abstract":"The ability to predict the mechanisms and the associated rate constants of protein–ligand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protein–ligand systems and a valid support for drug design.","container-title":"Proceedings of the National Academy of Sciences","DOI":"10.1073/pnas.1424461112","issue":"5","page":"E386-E391","publisher":"Proceedings of the National Academy of Sciences","source":"www-pnas-org.stanford.idm.oclc.org (Atypon)","title":"Kinetics of protein–ligand unbinding: Predicting pathways, rates, and rate-limiting steps","title-short":"Kinetics of protein–ligand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71–73</w:t>
      </w:r>
      <w:r w:rsidR="00793866" w:rsidRPr="004100CF">
        <w:rPr>
          <w:rFonts w:ascii="Times New Roman" w:hAnsi="Times New Roman" w:cs="Times New Roman"/>
        </w:rPr>
        <w:fldChar w:fldCharType="end"/>
      </w:r>
      <w:r w:rsidR="005F4A15" w:rsidRPr="004100CF">
        <w:rPr>
          <w:rFonts w:ascii="Times New Roman" w:hAnsi="Times New Roman" w:cs="Times New Roman"/>
        </w:rPr>
        <w:t xml:space="preserve"> and</w:t>
      </w:r>
      <w:r w:rsidR="00785447" w:rsidRPr="004100CF">
        <w:rPr>
          <w:rFonts w:ascii="Times New Roman" w:hAnsi="Times New Roman" w:cs="Times New Roman"/>
        </w:rPr>
        <w:t xml:space="preserve"> </w:t>
      </w:r>
      <w:r w:rsidR="005F4A15" w:rsidRPr="004100CF">
        <w:rPr>
          <w:rFonts w:ascii="Times New Roman" w:hAnsi="Times New Roman" w:cs="Times New Roman"/>
        </w:rPr>
        <w:t>machine learning</w:t>
      </w:r>
      <w:r w:rsidR="00785447" w:rsidRPr="004100CF">
        <w:rPr>
          <w:rFonts w:ascii="Times New Roman" w:hAnsi="Times New Roman" w:cs="Times New Roman"/>
        </w:rPr>
        <w:t>.</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{"citationID":"QwpykdhK","properties":{"unsorted":false,"formattedCitation":"\\super 74\\uc0\\u8211{}76\\nosupersub{}","plainCitation":"74–76","noteIndex":0},"citationItems":[{"id":352,"uris":["http://zotero.org/users/19404620/items/ZQMDXA4E"],"itemData":{"id":352,"type":"article","abstract":"Predicting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ä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molecule–protein binding affinity. Crucially, it achieves strong correlation with experimental readouts on many benchmarks, while being at least 1000×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74–76</w:t>
      </w:r>
      <w:r w:rsidR="00793866" w:rsidRPr="004100CF">
        <w:rPr>
          <w:rFonts w:ascii="Times New Roman" w:hAnsi="Times New Roman" w:cs="Times New Roman"/>
        </w:rPr>
        <w:fldChar w:fldCharType="end"/>
      </w:r>
    </w:p>
    <w:p w14:paraId="2B7699C5" w14:textId="2C5DD09F" w:rsidR="00574C6E" w:rsidRPr="004100CF" w:rsidRDefault="00574C6E" w:rsidP="00574C6E">
      <w:pPr>
        <w:rPr>
          <w:rFonts w:ascii="Times New Roman" w:hAnsi="Times New Roman" w:cs="Times New Roman"/>
          <w:b/>
          <w:bCs/>
          <w:sz w:val="28"/>
          <w:szCs w:val="22"/>
        </w:rPr>
      </w:pPr>
      <w:r w:rsidRPr="004100CF">
        <w:rPr>
          <w:rFonts w:ascii="Times New Roman" w:hAnsi="Times New Roman" w:cs="Times New Roman"/>
          <w:b/>
          <w:bCs/>
          <w:sz w:val="28"/>
          <w:szCs w:val="22"/>
        </w:rPr>
        <w:t>References</w:t>
      </w:r>
    </w:p>
    <w:p w14:paraId="22661414" w14:textId="77777777" w:rsidR="00793866" w:rsidRPr="004100CF" w:rsidRDefault="00574C6E" w:rsidP="00793866">
      <w:pPr>
        <w:pStyle w:val="Bibliography"/>
        <w:rPr>
          <w:rFonts w:ascii="Times New Roman" w:hAnsi="Times New Roman" w:cs="Times New Roman"/>
        </w:rPr>
      </w:pPr>
      <w:r w:rsidRPr="004100CF">
        <w:rPr>
          <w:rFonts w:ascii="Times New Roman" w:hAnsi="Times New Roman" w:cs="Times New Roman"/>
        </w:rPr>
        <w:fldChar w:fldCharType="begin"/>
      </w:r>
      <w:r w:rsidRPr="004100CF">
        <w:rPr>
          <w:rFonts w:ascii="Times New Roman" w:hAnsi="Times New Roman" w:cs="Times New Roman"/>
        </w:rPr>
        <w:instrText xml:space="preserve"> ADDIN ZOTERO_BIBL {"uncited":[],"omitted":[],"custom":[]} CSL_BIBLIOGRAPHY </w:instrText>
      </w:r>
      <w:r w:rsidRPr="004100CF">
        <w:rPr>
          <w:rFonts w:ascii="Times New Roman" w:hAnsi="Times New Roman" w:cs="Times New Roman"/>
        </w:rPr>
        <w:fldChar w:fldCharType="separate"/>
      </w:r>
      <w:r w:rsidR="00793866" w:rsidRPr="004100CF">
        <w:rPr>
          <w:rFonts w:ascii="Times New Roman" w:hAnsi="Times New Roman" w:cs="Times New Roman"/>
        </w:rPr>
        <w:t>(1)</w:t>
      </w:r>
      <w:r w:rsidR="00793866" w:rsidRPr="004100CF">
        <w:rPr>
          <w:rFonts w:ascii="Times New Roman" w:hAnsi="Times New Roman" w:cs="Times New Roman"/>
        </w:rPr>
        <w:tab/>
        <w:t xml:space="preserve">Kohlstaedt, L. A.; Wang, J.; Friedman, J. M.; Rice, P. A.; Steitz, T. A. Crystal Structure at 3.5 Å Resolution of HIV-1 Reverse Transcriptase Complexed with an Inhibitor. </w:t>
      </w:r>
      <w:r w:rsidR="00793866" w:rsidRPr="004100CF">
        <w:rPr>
          <w:rFonts w:ascii="Times New Roman" w:hAnsi="Times New Roman" w:cs="Times New Roman"/>
          <w:i/>
          <w:iCs/>
        </w:rPr>
        <w:t>Science</w:t>
      </w:r>
      <w:r w:rsidR="00793866" w:rsidRPr="004100CF">
        <w:rPr>
          <w:rFonts w:ascii="Times New Roman" w:hAnsi="Times New Roman" w:cs="Times New Roman"/>
        </w:rPr>
        <w:t xml:space="preserve"> </w:t>
      </w:r>
      <w:r w:rsidR="00793866" w:rsidRPr="004100CF">
        <w:rPr>
          <w:rFonts w:ascii="Times New Roman" w:hAnsi="Times New Roman" w:cs="Times New Roman"/>
          <w:b/>
          <w:bCs/>
        </w:rPr>
        <w:t>1992</w:t>
      </w:r>
      <w:r w:rsidR="00793866" w:rsidRPr="004100CF">
        <w:rPr>
          <w:rFonts w:ascii="Times New Roman" w:hAnsi="Times New Roman" w:cs="Times New Roman"/>
        </w:rPr>
        <w:t xml:space="preserve">, </w:t>
      </w:r>
      <w:r w:rsidR="00793866" w:rsidRPr="004100CF">
        <w:rPr>
          <w:rFonts w:ascii="Times New Roman" w:hAnsi="Times New Roman" w:cs="Times New Roman"/>
          <w:i/>
          <w:iCs/>
        </w:rPr>
        <w:t>256</w:t>
      </w:r>
      <w:r w:rsidR="00793866" w:rsidRPr="004100CF">
        <w:rPr>
          <w:rFonts w:ascii="Times New Roman" w:hAnsi="Times New Roman" w:cs="Times New Roman"/>
        </w:rPr>
        <w:t xml:space="preserve"> (5065), 1783–1790. https://doi.org/10.1126/science.1377403.</w:t>
      </w:r>
    </w:p>
    <w:p w14:paraId="411D1AB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w:t>
      </w:r>
      <w:r w:rsidRPr="004100CF">
        <w:rPr>
          <w:rFonts w:ascii="Times New Roman" w:hAnsi="Times New Roman" w:cs="Times New Roman"/>
        </w:rPr>
        <w:tab/>
        <w:t xml:space="preserve">Spence, R. A.; Kati, W. M.; Anderson, K. S.; Johnson, K. A. Mechanism of Inhibition of HIV-1 Reverse Transcriptase by Nonnucleoside Inhibitors. </w:t>
      </w:r>
      <w:r w:rsidRPr="004100CF">
        <w:rPr>
          <w:rFonts w:ascii="Times New Roman" w:hAnsi="Times New Roman" w:cs="Times New Roman"/>
          <w:i/>
          <w:iCs/>
        </w:rPr>
        <w:t>Science</w:t>
      </w:r>
      <w:r w:rsidRPr="004100CF">
        <w:rPr>
          <w:rFonts w:ascii="Times New Roman" w:hAnsi="Times New Roman" w:cs="Times New Roman"/>
        </w:rPr>
        <w:t xml:space="preserve"> </w:t>
      </w:r>
      <w:r w:rsidRPr="004100CF">
        <w:rPr>
          <w:rFonts w:ascii="Times New Roman" w:hAnsi="Times New Roman" w:cs="Times New Roman"/>
          <w:b/>
          <w:bCs/>
        </w:rPr>
        <w:t>1995</w:t>
      </w:r>
      <w:r w:rsidRPr="004100CF">
        <w:rPr>
          <w:rFonts w:ascii="Times New Roman" w:hAnsi="Times New Roman" w:cs="Times New Roman"/>
        </w:rPr>
        <w:t xml:space="preserve">, </w:t>
      </w:r>
      <w:r w:rsidRPr="004100CF">
        <w:rPr>
          <w:rFonts w:ascii="Times New Roman" w:hAnsi="Times New Roman" w:cs="Times New Roman"/>
          <w:i/>
          <w:iCs/>
        </w:rPr>
        <w:t>267</w:t>
      </w:r>
      <w:r w:rsidRPr="004100CF">
        <w:rPr>
          <w:rFonts w:ascii="Times New Roman" w:hAnsi="Times New Roman" w:cs="Times New Roman"/>
        </w:rPr>
        <w:t xml:space="preserve"> (5200), 988–993. https://doi.org/10.1126/science.7532321.</w:t>
      </w:r>
    </w:p>
    <w:p w14:paraId="14966A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w:t>
      </w:r>
      <w:r w:rsidRPr="004100CF">
        <w:rPr>
          <w:rFonts w:ascii="Times New Roman" w:hAnsi="Times New Roman" w:cs="Times New Roman"/>
        </w:rPr>
        <w:tab/>
        <w:t xml:space="preserve">Rodgers, D. W.; Gamblin, S. J.; Harris, B. A.; Ray, S.; Culp, J. S.; Hellmig, B.; Woolf, D. J.; Debouck, C.; Harrison, S. C. The Structure of Unliganded Reverse Transcriptase from the Human Immunodeficiency Virus Type 1.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1995</w:t>
      </w:r>
      <w:r w:rsidRPr="004100CF">
        <w:rPr>
          <w:rFonts w:ascii="Times New Roman" w:hAnsi="Times New Roman" w:cs="Times New Roman"/>
        </w:rPr>
        <w:t xml:space="preserve">, </w:t>
      </w:r>
      <w:r w:rsidRPr="004100CF">
        <w:rPr>
          <w:rFonts w:ascii="Times New Roman" w:hAnsi="Times New Roman" w:cs="Times New Roman"/>
          <w:i/>
          <w:iCs/>
        </w:rPr>
        <w:t>92</w:t>
      </w:r>
      <w:r w:rsidRPr="004100CF">
        <w:rPr>
          <w:rFonts w:ascii="Times New Roman" w:hAnsi="Times New Roman" w:cs="Times New Roman"/>
        </w:rPr>
        <w:t xml:space="preserve"> (4), 1222–1226. https://doi.org/10.1073/pnas.92.4.1222.</w:t>
      </w:r>
    </w:p>
    <w:p w14:paraId="6985199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w:t>
      </w:r>
      <w:r w:rsidRPr="004100CF">
        <w:rPr>
          <w:rFonts w:ascii="Times New Roman" w:hAnsi="Times New Roman" w:cs="Times New Roman"/>
        </w:rPr>
        <w:tab/>
        <w:t xml:space="preserve">Hsiou, Y.; Ding, J.; Das, K.; AD Clark, J.; Hughes, S. H.; Arnold, E. Structure of Unliganded HIV-1 Reverse Transcriptase at 2.7 å Resolution: Implications of Conformational Changes for Polymerization and Inhibition Mechanisms. </w:t>
      </w:r>
      <w:r w:rsidRPr="004100CF">
        <w:rPr>
          <w:rFonts w:ascii="Times New Roman" w:hAnsi="Times New Roman" w:cs="Times New Roman"/>
          <w:i/>
          <w:iCs/>
        </w:rPr>
        <w:t>Structure</w:t>
      </w:r>
      <w:r w:rsidRPr="004100CF">
        <w:rPr>
          <w:rFonts w:ascii="Times New Roman" w:hAnsi="Times New Roman" w:cs="Times New Roman"/>
        </w:rPr>
        <w:t xml:space="preserve"> </w:t>
      </w:r>
      <w:r w:rsidRPr="004100CF">
        <w:rPr>
          <w:rFonts w:ascii="Times New Roman" w:hAnsi="Times New Roman" w:cs="Times New Roman"/>
          <w:b/>
          <w:bCs/>
        </w:rPr>
        <w:t>1996</w:t>
      </w:r>
      <w:r w:rsidRPr="004100CF">
        <w:rPr>
          <w:rFonts w:ascii="Times New Roman" w:hAnsi="Times New Roman" w:cs="Times New Roman"/>
        </w:rPr>
        <w:t xml:space="preserve">, </w:t>
      </w:r>
      <w:r w:rsidRPr="004100CF">
        <w:rPr>
          <w:rFonts w:ascii="Times New Roman" w:hAnsi="Times New Roman" w:cs="Times New Roman"/>
          <w:i/>
          <w:iCs/>
        </w:rPr>
        <w:t>4</w:t>
      </w:r>
      <w:r w:rsidRPr="004100CF">
        <w:rPr>
          <w:rFonts w:ascii="Times New Roman" w:hAnsi="Times New Roman" w:cs="Times New Roman"/>
        </w:rPr>
        <w:t xml:space="preserve"> (7), 853–860. https://doi.org/10.1016/S0969-2126(96)00091-3.</w:t>
      </w:r>
    </w:p>
    <w:p w14:paraId="3232DEA4"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w:t>
      </w:r>
      <w:r w:rsidRPr="004100CF">
        <w:rPr>
          <w:rFonts w:ascii="Times New Roman" w:hAnsi="Times New Roman" w:cs="Times New Roman"/>
        </w:rPr>
        <w:tab/>
        <w:t xml:space="preserve">Arts, E. J.; Hazuda, D. J. HIV-1 Antiretroviral Drug Therapy. </w:t>
      </w:r>
      <w:r w:rsidRPr="004100CF">
        <w:rPr>
          <w:rFonts w:ascii="Times New Roman" w:hAnsi="Times New Roman" w:cs="Times New Roman"/>
          <w:i/>
          <w:iCs/>
        </w:rPr>
        <w:t>Cold Spring Harb Perspect Med</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2</w:t>
      </w:r>
      <w:r w:rsidRPr="004100CF">
        <w:rPr>
          <w:rFonts w:ascii="Times New Roman" w:hAnsi="Times New Roman" w:cs="Times New Roman"/>
        </w:rPr>
        <w:t xml:space="preserve"> (4), a007161. https://doi.org/10.1101/cshperspect.a007161.</w:t>
      </w:r>
    </w:p>
    <w:p w14:paraId="649402EE"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w:t>
      </w:r>
      <w:r w:rsidRPr="004100CF">
        <w:rPr>
          <w:rFonts w:ascii="Times New Roman" w:hAnsi="Times New Roman" w:cs="Times New Roman"/>
        </w:rPr>
        <w:tab/>
        <w:t xml:space="preserve">Cilento, M. E.; Kirby, K. A.; Sarafianos, S. G. Avoiding Drug Resistance in HIV Reverse Transcriptase. </w:t>
      </w:r>
      <w:r w:rsidRPr="004100CF">
        <w:rPr>
          <w:rFonts w:ascii="Times New Roman" w:hAnsi="Times New Roman" w:cs="Times New Roman"/>
          <w:i/>
          <w:iCs/>
        </w:rPr>
        <w:t>Chem. Rev.</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121</w:t>
      </w:r>
      <w:r w:rsidRPr="004100CF">
        <w:rPr>
          <w:rFonts w:ascii="Times New Roman" w:hAnsi="Times New Roman" w:cs="Times New Roman"/>
        </w:rPr>
        <w:t xml:space="preserve"> (6), 3271–3296. https://doi.org/10.1021/acs.chemrev.0c00967.</w:t>
      </w:r>
    </w:p>
    <w:p w14:paraId="1D415DF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w:t>
      </w:r>
      <w:r w:rsidRPr="004100CF">
        <w:rPr>
          <w:rFonts w:ascii="Times New Roman" w:hAnsi="Times New Roman" w:cs="Times New Roma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4100CF">
        <w:rPr>
          <w:rFonts w:ascii="Times New Roman" w:hAnsi="Times New Roman" w:cs="Times New Roman"/>
          <w:i/>
          <w:iCs/>
        </w:rPr>
        <w:lastRenderedPageBreak/>
        <w:t>Journal of Molecular Biology</w:t>
      </w:r>
      <w:r w:rsidRPr="004100CF">
        <w:rPr>
          <w:rFonts w:ascii="Times New Roman" w:hAnsi="Times New Roman" w:cs="Times New Roman"/>
        </w:rPr>
        <w:t xml:space="preserve"> </w:t>
      </w:r>
      <w:r w:rsidRPr="004100CF">
        <w:rPr>
          <w:rFonts w:ascii="Times New Roman" w:hAnsi="Times New Roman" w:cs="Times New Roman"/>
          <w:b/>
          <w:bCs/>
        </w:rPr>
        <w:t>1994</w:t>
      </w:r>
      <w:r w:rsidRPr="004100CF">
        <w:rPr>
          <w:rFonts w:ascii="Times New Roman" w:hAnsi="Times New Roman" w:cs="Times New Roman"/>
        </w:rPr>
        <w:t xml:space="preserve">, </w:t>
      </w:r>
      <w:r w:rsidRPr="004100CF">
        <w:rPr>
          <w:rFonts w:ascii="Times New Roman" w:hAnsi="Times New Roman" w:cs="Times New Roman"/>
          <w:i/>
          <w:iCs/>
        </w:rPr>
        <w:t>243</w:t>
      </w:r>
      <w:r w:rsidRPr="004100CF">
        <w:rPr>
          <w:rFonts w:ascii="Times New Roman" w:hAnsi="Times New Roman" w:cs="Times New Roman"/>
        </w:rPr>
        <w:t xml:space="preserve"> (3), 369–387. https://doi.org/10.1006/jmbi.1994.1665.</w:t>
      </w:r>
    </w:p>
    <w:p w14:paraId="6FBFCAF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(8)</w:t>
      </w:r>
      <w:r w:rsidRPr="004100CF">
        <w:rPr>
          <w:rFonts w:ascii="Times New Roman" w:hAnsi="Times New Roman" w:cs="Times New Roman"/>
        </w:rPr>
        <w:tab/>
        <w:t xml:space="preserve">Schauer, G. D.; Huber, K. D.; Leuba, S. H.; Sluis-Cremer, N. Mechanism of Allosteric Inhibition of HIV-1 Reverse Transcriptase Revealed by Single-Molecule and Ensemble Fluorescence. </w:t>
      </w:r>
      <w:r w:rsidRPr="004100CF">
        <w:rPr>
          <w:rFonts w:ascii="Times New Roman" w:hAnsi="Times New Roman" w:cs="Times New Roman"/>
          <w:i/>
          <w:iCs/>
        </w:rPr>
        <w:t>Nucleic Acids Res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42</w:t>
      </w:r>
      <w:r w:rsidRPr="004100CF">
        <w:rPr>
          <w:rFonts w:ascii="Times New Roman" w:hAnsi="Times New Roman" w:cs="Times New Roman"/>
        </w:rPr>
        <w:t xml:space="preserve"> (18), 11687–11696. https://doi.org/10.1093/nar/gku819.</w:t>
      </w:r>
    </w:p>
    <w:p w14:paraId="2BD9481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(9)</w:t>
      </w:r>
      <w:r w:rsidRPr="004100CF">
        <w:rPr>
          <w:rFonts w:ascii="Times New Roman" w:hAnsi="Times New Roman" w:cs="Times New Roman"/>
        </w:rPr>
        <w:tab/>
        <w:t xml:space="preserve">Hsiou, Y.; Ding, J.; Das, K.; Clark, A. D.; Boyer, P. L.; Lewi, P.; Janssen, P. A. J.; Kleim, J.-P.; Rösner, M.; Hughes, S. H.; Arnold, E. The Lys103Asn Mutation of HIV-1 RT: A Novel Mechanism of Drug Resistance. </w:t>
      </w:r>
      <w:r w:rsidRPr="004100CF">
        <w:rPr>
          <w:rFonts w:ascii="Times New Roman" w:hAnsi="Times New Roman" w:cs="Times New Roman"/>
          <w:i/>
          <w:iCs/>
        </w:rPr>
        <w:t>Journal of Molecular Biology</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309</w:t>
      </w:r>
      <w:r w:rsidRPr="004100CF">
        <w:rPr>
          <w:rFonts w:ascii="Times New Roman" w:hAnsi="Times New Roman" w:cs="Times New Roman"/>
        </w:rPr>
        <w:t xml:space="preserve"> (2), 437–445. https://doi.org/10.1006/jmbi.2001.4648.</w:t>
      </w:r>
    </w:p>
    <w:p w14:paraId="49AF20E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(10)</w:t>
      </w:r>
      <w:r w:rsidRPr="004100CF">
        <w:rPr>
          <w:rFonts w:ascii="Times New Roman" w:hAnsi="Times New Roman" w:cs="Times New Roman"/>
        </w:rPr>
        <w:tab/>
        <w:t xml:space="preserve">Lai, M.-T.; Munshi, V.; Lu, M.; Feng, M.; Hrin-Solt, R.; McKenna, P. M.; Hazuda, D. J.; Miller, M. D. Mechanistic Study of Common Non-Nucleoside Reverse Transcriptase Inhibitor-Resistant Mutations with K103N and Y181C Substitutions. </w:t>
      </w:r>
      <w:r w:rsidRPr="004100CF">
        <w:rPr>
          <w:rFonts w:ascii="Times New Roman" w:hAnsi="Times New Roman" w:cs="Times New Roman"/>
          <w:i/>
          <w:iCs/>
        </w:rPr>
        <w:t>Viruses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(10), 263. https://doi.org/10.3390/v8100263.</w:t>
      </w:r>
    </w:p>
    <w:p w14:paraId="5E8D03A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(11)</w:t>
      </w:r>
      <w:r w:rsidRPr="004100CF">
        <w:rPr>
          <w:rFonts w:ascii="Times New Roman" w:hAnsi="Times New Roman" w:cs="Times New Roma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4100CF">
        <w:rPr>
          <w:rFonts w:ascii="Times New Roman" w:hAnsi="Times New Roman" w:cs="Times New Roman"/>
          <w:i/>
          <w:iCs/>
        </w:rPr>
        <w:t>Journal of Molecular Biology</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312</w:t>
      </w:r>
      <w:r w:rsidRPr="004100CF">
        <w:rPr>
          <w:rFonts w:ascii="Times New Roman" w:hAnsi="Times New Roman" w:cs="Times New Roman"/>
        </w:rPr>
        <w:t xml:space="preserve"> (4), 795–805. https://doi.org/10.1006/jmbi.2001.4988.</w:t>
      </w:r>
    </w:p>
    <w:p w14:paraId="62D1BBB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(12)</w:t>
      </w:r>
      <w:r w:rsidRPr="004100CF">
        <w:rPr>
          <w:rFonts w:ascii="Times New Roman" w:hAnsi="Times New Roman" w:cs="Times New Roman"/>
        </w:rPr>
        <w:tab/>
        <w:t xml:space="preserve">Das, K.; Clark, Arthur D.; Lewi, P. J.; Heeres, J.; de Jonge, M. R.; Koymans, L. M. H.; Vinkers, H. M.; Daeyaert,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4100CF">
        <w:rPr>
          <w:rFonts w:ascii="Times New Roman" w:hAnsi="Times New Roman" w:cs="Times New Roman"/>
          <w:i/>
          <w:iCs/>
        </w:rPr>
        <w:t>J. Med. Chem.</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47</w:t>
      </w:r>
      <w:r w:rsidRPr="004100CF">
        <w:rPr>
          <w:rFonts w:ascii="Times New Roman" w:hAnsi="Times New Roman" w:cs="Times New Roman"/>
        </w:rPr>
        <w:t xml:space="preserve"> (10), 2550–2560. https://doi.org/10.1021/jm030558s.</w:t>
      </w:r>
    </w:p>
    <w:p w14:paraId="231B2F1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(13)</w:t>
      </w:r>
      <w:r w:rsidRPr="004100CF">
        <w:rPr>
          <w:rFonts w:ascii="Times New Roman" w:hAnsi="Times New Roman" w:cs="Times New Roman"/>
        </w:rPr>
        <w:tab/>
        <w:t xml:space="preserve">Das, K.; Bauman, J. D.; Clark, A. D.; Frenkel, Y. V.; Lewi, P. J.; Shatkin, A. J.; Hughes, S. H.; Arnold, E. High-Resolution Structures of HIV-1 Reverse Transcriptase/TMC278 Complexes: Strategic Flexibility Explains Potency against Resistance Mutations.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2008</w:t>
      </w:r>
      <w:r w:rsidRPr="004100CF">
        <w:rPr>
          <w:rFonts w:ascii="Times New Roman" w:hAnsi="Times New Roman" w:cs="Times New Roman"/>
        </w:rPr>
        <w:t xml:space="preserve">, </w:t>
      </w:r>
      <w:r w:rsidRPr="004100CF">
        <w:rPr>
          <w:rFonts w:ascii="Times New Roman" w:hAnsi="Times New Roman" w:cs="Times New Roman"/>
          <w:i/>
          <w:iCs/>
        </w:rPr>
        <w:t>105</w:t>
      </w:r>
      <w:r w:rsidRPr="004100CF">
        <w:rPr>
          <w:rFonts w:ascii="Times New Roman" w:hAnsi="Times New Roman" w:cs="Times New Roman"/>
        </w:rPr>
        <w:t xml:space="preserve"> (5), 1466–1471. https://doi.org/10.1073/pnas.0711209105.</w:t>
      </w:r>
    </w:p>
    <w:p w14:paraId="64EAC73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(14)</w:t>
      </w:r>
      <w:r w:rsidRPr="004100CF">
        <w:rPr>
          <w:rFonts w:ascii="Times New Roman" w:hAnsi="Times New Roman" w:cs="Times New Roman"/>
        </w:rPr>
        <w:tab/>
        <w:t xml:space="preserve">Côté, B.; Burch, J. D.; Asante-Appiah, E.; Bayly, C.; Bédard, L.; Blouin, M.; Campeau, L.-C.; Cauchon, E.; Chan, M.; Chefson, A.; Coulombe, N.; Cromlish, W.; Debnath, S.; Deschênes, D.; Dupont-Gaudet, K.; Falgueyret, J.-P.; Forget, R.; Gagné, S.; Gauvreau, D.; Girardin, M.; Guiral, S.; Langlois, E.; Li, C. S.; Nguyen, N.; Papp, R.; Plamondon, S.; Roy, A.; Roy, S.; Seliniotakis, R.; St-Onge, M.; Ouellet, S.; Tawa, P.; Truchon, J.-F.; Vacca, J.; Wrona, M.; Yan, Y.; Ducharme, Y. Discovery of MK-1439, an Orally Bioavailable Non-Nucleoside Reverse Transcriptase Inhibitor Potent against a Wide Range of Resistant Mutant HIV Viruses. </w:t>
      </w:r>
      <w:r w:rsidRPr="004100CF">
        <w:rPr>
          <w:rFonts w:ascii="Times New Roman" w:hAnsi="Times New Roman" w:cs="Times New Roman"/>
          <w:i/>
          <w:iCs/>
        </w:rPr>
        <w:t>Bioorganic &amp; Medicinal Chemistry Letters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24</w:t>
      </w:r>
      <w:r w:rsidRPr="004100CF">
        <w:rPr>
          <w:rFonts w:ascii="Times New Roman" w:hAnsi="Times New Roman" w:cs="Times New Roman"/>
        </w:rPr>
        <w:t xml:space="preserve"> (3), 917–922. https://doi.org/10.1016/j.bmcl.2013.12.070.</w:t>
      </w:r>
    </w:p>
    <w:p w14:paraId="1DE89F5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(15)</w:t>
      </w:r>
      <w:r w:rsidRPr="004100CF">
        <w:rPr>
          <w:rFonts w:ascii="Times New Roman" w:hAnsi="Times New Roman" w:cs="Times New Roman"/>
        </w:rPr>
        <w:tab/>
        <w:t xml:space="preserve">Hwang, C.; Lai, M.-T.; Hazuda, D. Rational Design of Doravirine: From Bench to Patients. </w:t>
      </w:r>
      <w:r w:rsidRPr="004100CF">
        <w:rPr>
          <w:rFonts w:ascii="Times New Roman" w:hAnsi="Times New Roman" w:cs="Times New Roman"/>
          <w:i/>
          <w:iCs/>
        </w:rPr>
        <w:t>ACS Infect. Dis.</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(1), 64–73. https://doi.org/10.1021/acsinfecdis.9b00178.</w:t>
      </w:r>
    </w:p>
    <w:p w14:paraId="0035556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(16)</w:t>
      </w:r>
      <w:r w:rsidRPr="004100CF">
        <w:rPr>
          <w:rFonts w:ascii="Times New Roman" w:hAnsi="Times New Roman" w:cs="Times New Roman"/>
        </w:rPr>
        <w:tab/>
        <w:t>Lai, M.-T.; Feng, M.; Falgueyret, J.-P.; Tawa, P.; Witmer, M.; DiStefano, D.; Li, Y.; Burch, J.; Sachs, N.; Lu, M.; Cauchon, E.; Campeau, L.-C.; Grobler, J.; Yan, Y.; Ducharme, Y.; Côté, B.; Asante-Appiah, E.; Hazuda, D. J.; Miller, M. D. In Vitro Characterization of MK-</w:t>
      </w:r>
      <w:r w:rsidRPr="004100CF">
        <w:rPr>
          <w:rFonts w:ascii="Times New Roman" w:hAnsi="Times New Roman" w:cs="Times New Roman"/>
        </w:rPr>
        <w:lastRenderedPageBreak/>
        <w:t xml:space="preserve">1439, a Novel HIV-1 Nonnucleoside Reverse Transcriptase Inhibitor.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58</w:t>
      </w:r>
      <w:r w:rsidRPr="004100CF">
        <w:rPr>
          <w:rFonts w:ascii="Times New Roman" w:hAnsi="Times New Roman" w:cs="Times New Roman"/>
        </w:rPr>
        <w:t xml:space="preserve"> (3), 1652–1663. https://doi.org/10.1128/aac.02403-13.</w:t>
      </w:r>
    </w:p>
    <w:p w14:paraId="1919010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(17)</w:t>
      </w:r>
      <w:r w:rsidRPr="004100CF">
        <w:rPr>
          <w:rFonts w:ascii="Times New Roman" w:hAnsi="Times New Roman" w:cs="Times New Roman"/>
        </w:rPr>
        <w:tab/>
        <w:t xml:space="preserve">Feng, M.; Wang, D.; Grobler, J. A.; Hazuda, D. J.; Miller, M. D.; Lai, M.-T. In Vitro Resistance Selection with Doravirine (MK-1439), a Novel Nonnucleoside Reverse Transcriptase Inhibitor with Distinct Mutation Development Pathways.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59</w:t>
      </w:r>
      <w:r w:rsidRPr="004100CF">
        <w:rPr>
          <w:rFonts w:ascii="Times New Roman" w:hAnsi="Times New Roman" w:cs="Times New Roman"/>
        </w:rPr>
        <w:t xml:space="preserve"> (1), 590–598. https://doi.org/10.1128/aac.04201-14.</w:t>
      </w:r>
    </w:p>
    <w:p w14:paraId="6F48D8A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(18)</w:t>
      </w:r>
      <w:r w:rsidRPr="004100CF">
        <w:rPr>
          <w:rFonts w:ascii="Times New Roman" w:hAnsi="Times New Roman" w:cs="Times New Roman"/>
        </w:rPr>
        <w:tab/>
        <w:t xml:space="preserve">Rhee, S.-Y.; Schapiro, J. M.; Saladini, F.; Zazzi, M.; Khoo, S.; Shafer, R. W. Potential Role of Doravirine for the Treatment of HIV-1-Infected Persons with Transmitted Drug Resistance. </w:t>
      </w:r>
      <w:r w:rsidRPr="004100CF">
        <w:rPr>
          <w:rFonts w:ascii="Times New Roman" w:hAnsi="Times New Roman" w:cs="Times New Roman"/>
          <w:i/>
          <w:iCs/>
        </w:rPr>
        <w:t>AIDS Res Ther</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20</w:t>
      </w:r>
      <w:r w:rsidRPr="004100CF">
        <w:rPr>
          <w:rFonts w:ascii="Times New Roman" w:hAnsi="Times New Roman" w:cs="Times New Roman"/>
        </w:rPr>
        <w:t xml:space="preserve"> (1), 8. https://doi.org/10.1186/s12981-023-00503-5.</w:t>
      </w:r>
    </w:p>
    <w:p w14:paraId="58AD9EC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(19)</w:t>
      </w:r>
      <w:r w:rsidRPr="004100CF">
        <w:rPr>
          <w:rFonts w:ascii="Times New Roman" w:hAnsi="Times New Roman" w:cs="Times New Roman"/>
        </w:rPr>
        <w:tab/>
        <w:t xml:space="preserve">Calza, L.; Colangeli, V.; Pensalfine, G.; Appolloni, L.; Vitale, S.; Bon, I.; Viale, P. Doravirine/Lamivudine/Tenofovir Disoproxil Fumarate in Virologically Suppressed People Living with HIV: A Real-Life Experience. </w:t>
      </w:r>
      <w:r w:rsidRPr="004100CF">
        <w:rPr>
          <w:rFonts w:ascii="Times New Roman" w:hAnsi="Times New Roman" w:cs="Times New Roman"/>
          <w:i/>
          <w:iCs/>
        </w:rPr>
        <w:t>Int J STD AIDS</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34</w:t>
      </w:r>
      <w:r w:rsidRPr="004100CF">
        <w:rPr>
          <w:rFonts w:ascii="Times New Roman" w:hAnsi="Times New Roman" w:cs="Times New Roman"/>
        </w:rPr>
        <w:t xml:space="preserve"> (14), 1018–1023. https://doi.org/10.1177/09564624231195084.</w:t>
      </w:r>
    </w:p>
    <w:p w14:paraId="17B1F9A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(20)</w:t>
      </w:r>
      <w:r w:rsidRPr="004100CF">
        <w:rPr>
          <w:rFonts w:ascii="Times New Roman" w:hAnsi="Times New Roman" w:cs="Times New Roman"/>
        </w:rPr>
        <w:tab/>
        <w:t xml:space="preserve">Mejías-Trueba, M.; Gutierrez-Valencia, A.; Llaves-Flores, S.; Roca-Oporto, C.; Herrero, M.; Sotomayor de la Piedra, C.; Lopez-Cortes, L. F.; Espinosa, N. Long-Term Effectiveness, Safety, and Tolerability of Doravirine in Antiretroviral-Experienced People with HIV in Real Life. </w:t>
      </w:r>
      <w:r w:rsidRPr="004100CF">
        <w:rPr>
          <w:rFonts w:ascii="Times New Roman" w:hAnsi="Times New Roman" w:cs="Times New Roman"/>
          <w:i/>
          <w:iCs/>
        </w:rPr>
        <w:t>Microbiology Spectrum</w:t>
      </w:r>
      <w:r w:rsidRPr="004100CF">
        <w:rPr>
          <w:rFonts w:ascii="Times New Roman" w:hAnsi="Times New Roman" w:cs="Times New Roman"/>
        </w:rPr>
        <w:t xml:space="preserve"> </w:t>
      </w:r>
      <w:r w:rsidRPr="004100CF">
        <w:rPr>
          <w:rFonts w:ascii="Times New Roman" w:hAnsi="Times New Roman" w:cs="Times New Roman"/>
          <w:b/>
          <w:bCs/>
        </w:rPr>
        <w:t>2024</w:t>
      </w:r>
      <w:r w:rsidRPr="004100CF">
        <w:rPr>
          <w:rFonts w:ascii="Times New Roman" w:hAnsi="Times New Roman" w:cs="Times New Roman"/>
        </w:rPr>
        <w:t xml:space="preserve">, </w:t>
      </w:r>
      <w:r w:rsidRPr="004100CF">
        <w:rPr>
          <w:rFonts w:ascii="Times New Roman" w:hAnsi="Times New Roman" w:cs="Times New Roman"/>
          <w:i/>
          <w:iCs/>
        </w:rPr>
        <w:t>12</w:t>
      </w:r>
      <w:r w:rsidRPr="004100CF">
        <w:rPr>
          <w:rFonts w:ascii="Times New Roman" w:hAnsi="Times New Roman" w:cs="Times New Roman"/>
        </w:rPr>
        <w:t xml:space="preserve"> (8), e00654-24. https://doi.org/10.1128/spectrum.00654-24.</w:t>
      </w:r>
    </w:p>
    <w:p w14:paraId="21C3A46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(21)</w:t>
      </w:r>
      <w:r w:rsidRPr="004100CF">
        <w:rPr>
          <w:rFonts w:ascii="Times New Roman" w:hAnsi="Times New Roman" w:cs="Times New Roman"/>
        </w:rPr>
        <w:tab/>
        <w:t xml:space="preserve">Yang, H.; Li, M.; Liu, Q.; Zeng, Q.; Yuan, J. The Efficacy and Safety of Doravirine/Lamivudine/Tenofovir Disoproxil Fumarate in Treatment-Naïve and Treatment-Experienced Patients with HIV. </w:t>
      </w:r>
      <w:r w:rsidRPr="004100CF">
        <w:rPr>
          <w:rFonts w:ascii="Times New Roman" w:hAnsi="Times New Roman" w:cs="Times New Roman"/>
          <w:i/>
          <w:iCs/>
        </w:rPr>
        <w:t>Annals of Medicine</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57</w:t>
      </w:r>
      <w:r w:rsidRPr="004100CF">
        <w:rPr>
          <w:rFonts w:ascii="Times New Roman" w:hAnsi="Times New Roman" w:cs="Times New Roman"/>
        </w:rPr>
        <w:t xml:space="preserve"> (1), 2564286. https://doi.org/10.1080/07853890.2025.2564286.</w:t>
      </w:r>
    </w:p>
    <w:p w14:paraId="698705B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(22)</w:t>
      </w:r>
      <w:r w:rsidRPr="004100CF">
        <w:rPr>
          <w:rFonts w:ascii="Times New Roman" w:hAnsi="Times New Roman" w:cs="Times New Roman"/>
        </w:rPr>
        <w:tab/>
        <w:t xml:space="preserve">Orkin, C.; Mngqibisa, R.; Velez, J. D.; Kumar, P.; Braun, D. L.; Carr, A.; Bloch, M.; Walmsley, S.; Tebas, P.; Yokomaku, Y.; Diamond, T. L.; Jackson, B.; Eves, K.; Grandhi, A.; Fuszard, M.; Klopfer, S. O.; Stamm, L. M.; Fox, M. C.; Kim, J. Switch to Fixed-Dose Doravirine (100 Mg) and Islatravir (0·25 Mg) Once Daily in Virologically Suppressed Adults with HIV-1 on Oral Antiretroviral Therapy: 48-Week Results of a Phase 3, Multicentre, Randomised, Open-Label, Non-Inferiority Trial. </w:t>
      </w:r>
      <w:r w:rsidRPr="004100CF">
        <w:rPr>
          <w:rFonts w:ascii="Times New Roman" w:hAnsi="Times New Roman" w:cs="Times New Roman"/>
          <w:i/>
          <w:iCs/>
        </w:rPr>
        <w:t>The Lancet</w:t>
      </w:r>
      <w:r w:rsidRPr="004100CF">
        <w:rPr>
          <w:rFonts w:ascii="Times New Roman" w:hAnsi="Times New Roman" w:cs="Times New Roman"/>
        </w:rPr>
        <w:t xml:space="preserve"> </w:t>
      </w:r>
      <w:r w:rsidRPr="004100CF">
        <w:rPr>
          <w:rFonts w:ascii="Times New Roman" w:hAnsi="Times New Roman" w:cs="Times New Roman"/>
          <w:b/>
          <w:bCs/>
        </w:rPr>
        <w:t>2026</w:t>
      </w:r>
      <w:r w:rsidRPr="004100CF">
        <w:rPr>
          <w:rFonts w:ascii="Times New Roman" w:hAnsi="Times New Roman" w:cs="Times New Roman"/>
        </w:rPr>
        <w:t xml:space="preserve">, </w:t>
      </w:r>
      <w:r w:rsidRPr="004100CF">
        <w:rPr>
          <w:rFonts w:ascii="Times New Roman" w:hAnsi="Times New Roman" w:cs="Times New Roman"/>
          <w:i/>
          <w:iCs/>
        </w:rPr>
        <w:t>407</w:t>
      </w:r>
      <w:r w:rsidRPr="004100CF">
        <w:rPr>
          <w:rFonts w:ascii="Times New Roman" w:hAnsi="Times New Roman" w:cs="Times New Roman"/>
        </w:rPr>
        <w:t xml:space="preserve"> (10528), 599–610. https://doi.org/10.1016/S0140-6736(25)01945-2.</w:t>
      </w:r>
    </w:p>
    <w:p w14:paraId="7BF338C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(23)</w:t>
      </w:r>
      <w:r w:rsidRPr="004100CF">
        <w:rPr>
          <w:rFonts w:ascii="Times New Roman" w:hAnsi="Times New Roman" w:cs="Times New Roman"/>
        </w:rPr>
        <w:tab/>
        <w:t xml:space="preserve">Rizzo, R. C.; Wang, D.-P.; Tirado-Rives, J.; Jorgensen, W. L. Validation of a Model for the Complex of HIV-1 Reverse Transcriptase with Sustiva through Computation of Resistance Profiles.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2000</w:t>
      </w:r>
      <w:r w:rsidRPr="004100CF">
        <w:rPr>
          <w:rFonts w:ascii="Times New Roman" w:hAnsi="Times New Roman" w:cs="Times New Roman"/>
        </w:rPr>
        <w:t xml:space="preserve">, </w:t>
      </w:r>
      <w:r w:rsidRPr="004100CF">
        <w:rPr>
          <w:rFonts w:ascii="Times New Roman" w:hAnsi="Times New Roman" w:cs="Times New Roman"/>
          <w:i/>
          <w:iCs/>
        </w:rPr>
        <w:t>122</w:t>
      </w:r>
      <w:r w:rsidRPr="004100CF">
        <w:rPr>
          <w:rFonts w:ascii="Times New Roman" w:hAnsi="Times New Roman" w:cs="Times New Roman"/>
        </w:rPr>
        <w:t xml:space="preserve"> (51), 12898–12900. https://doi.org/10.1021/ja003113r.</w:t>
      </w:r>
    </w:p>
    <w:p w14:paraId="3CD75CA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(24)</w:t>
      </w:r>
      <w:r w:rsidRPr="004100CF">
        <w:rPr>
          <w:rFonts w:ascii="Times New Roman" w:hAnsi="Times New Roman" w:cs="Times New Roman"/>
        </w:rPr>
        <w:tab/>
        <w:t xml:space="preserve">Wang, D.-P.; Rizzo, R. C.; Tirado-Rives, J.; Jorgensen, W. L. Antiviral Drug Design: Computational Analyses of the Effects of the L100I Mutation for HIV-RT on the Binding of NNRTIs. </w:t>
      </w:r>
      <w:r w:rsidRPr="004100CF">
        <w:rPr>
          <w:rFonts w:ascii="Times New Roman" w:hAnsi="Times New Roman" w:cs="Times New Roman"/>
          <w:i/>
          <w:iCs/>
        </w:rPr>
        <w:t>Bioorganic &amp; Medicinal Chemistry Letters</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(21), 2799–2802. https://doi.org/10.1016/S0960-894X(01)00510-8.</w:t>
      </w:r>
    </w:p>
    <w:p w14:paraId="2D0A4B7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(25)</w:t>
      </w:r>
      <w:r w:rsidRPr="004100CF">
        <w:rPr>
          <w:rFonts w:ascii="Times New Roman" w:hAnsi="Times New Roman" w:cs="Times New Roman"/>
        </w:rPr>
        <w:tab/>
        <w:t xml:space="preserve">Udier-Blagović, M.; Tirado-Rives, J.; Jorgensen, W. L. Validation of a Model for the Complex of HIV-1 Reverse Transcriptase with Nonnucleoside Inhibitor TMC125.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2003</w:t>
      </w:r>
      <w:r w:rsidRPr="004100CF">
        <w:rPr>
          <w:rFonts w:ascii="Times New Roman" w:hAnsi="Times New Roman" w:cs="Times New Roman"/>
        </w:rPr>
        <w:t xml:space="preserve">, </w:t>
      </w:r>
      <w:r w:rsidRPr="004100CF">
        <w:rPr>
          <w:rFonts w:ascii="Times New Roman" w:hAnsi="Times New Roman" w:cs="Times New Roman"/>
          <w:i/>
          <w:iCs/>
        </w:rPr>
        <w:t>125</w:t>
      </w:r>
      <w:r w:rsidRPr="004100CF">
        <w:rPr>
          <w:rFonts w:ascii="Times New Roman" w:hAnsi="Times New Roman" w:cs="Times New Roman"/>
        </w:rPr>
        <w:t xml:space="preserve"> (20), 6016–6017. https://doi.org/10.1021/ja034308c.</w:t>
      </w:r>
    </w:p>
    <w:p w14:paraId="7EFDAAB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(26)</w:t>
      </w:r>
      <w:r w:rsidRPr="004100CF">
        <w:rPr>
          <w:rFonts w:ascii="Times New Roman" w:hAnsi="Times New Roman" w:cs="Times New Roman"/>
        </w:rPr>
        <w:tab/>
        <w:t xml:space="preserve">Udier-Blagović, M.; Tirado-Rives, J.; Jorgensen, W. L. Structural and Energetic Analyses of the Effects of the K103N Mutation of HIV-1 Reverse Transcriptase on Efavirenz Analogues. </w:t>
      </w:r>
      <w:r w:rsidRPr="004100CF">
        <w:rPr>
          <w:rFonts w:ascii="Times New Roman" w:hAnsi="Times New Roman" w:cs="Times New Roman"/>
          <w:i/>
          <w:iCs/>
        </w:rPr>
        <w:t>J. Med. Chem.</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47</w:t>
      </w:r>
      <w:r w:rsidRPr="004100CF">
        <w:rPr>
          <w:rFonts w:ascii="Times New Roman" w:hAnsi="Times New Roman" w:cs="Times New Roman"/>
        </w:rPr>
        <w:t xml:space="preserve"> (9), 2389–2392. https://doi.org/10.1021/jm0303507.</w:t>
      </w:r>
    </w:p>
    <w:p w14:paraId="648ACE7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(27)</w:t>
      </w:r>
      <w:r w:rsidRPr="004100CF">
        <w:rPr>
          <w:rFonts w:ascii="Times New Roman" w:hAnsi="Times New Roman" w:cs="Times New Roman"/>
        </w:rPr>
        <w:tab/>
        <w:t xml:space="preserve">Rodríguez-Barrios, F.; Balzarini, J.; Gago, F. The Molecular Basis of Resilience to the Effect of the Lys103Asn Mutation in Non-Nucleoside HIV-1 Reverse Transcriptase </w:t>
      </w:r>
      <w:r w:rsidRPr="004100CF">
        <w:rPr>
          <w:rFonts w:ascii="Times New Roman" w:hAnsi="Times New Roman" w:cs="Times New Roman"/>
        </w:rPr>
        <w:lastRenderedPageBreak/>
        <w:t xml:space="preserve">Inhibitors Studied by Targeted Molecular Dynamics Simulations.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2005</w:t>
      </w:r>
      <w:r w:rsidRPr="004100CF">
        <w:rPr>
          <w:rFonts w:ascii="Times New Roman" w:hAnsi="Times New Roman" w:cs="Times New Roman"/>
        </w:rPr>
        <w:t xml:space="preserve">, </w:t>
      </w:r>
      <w:r w:rsidRPr="004100CF">
        <w:rPr>
          <w:rFonts w:ascii="Times New Roman" w:hAnsi="Times New Roman" w:cs="Times New Roman"/>
          <w:i/>
          <w:iCs/>
        </w:rPr>
        <w:t>127</w:t>
      </w:r>
      <w:r w:rsidRPr="004100CF">
        <w:rPr>
          <w:rFonts w:ascii="Times New Roman" w:hAnsi="Times New Roman" w:cs="Times New Roman"/>
        </w:rPr>
        <w:t xml:space="preserve"> (20), 7570–7578. https://doi.org/10.1021/ja042289g.</w:t>
      </w:r>
    </w:p>
    <w:p w14:paraId="3C1FE76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(28)</w:t>
      </w:r>
      <w:r w:rsidRPr="004100CF">
        <w:rPr>
          <w:rFonts w:ascii="Times New Roman" w:hAnsi="Times New Roman" w:cs="Times New Roman"/>
        </w:rPr>
        <w:tab/>
        <w:t xml:space="preserve">Zhou, Z.; Madrid, M.; Evanseck, J. D.; Madura, J. D. Effect of a Bound Non-Nucleoside RT Inhibitor on the Dynamics of Wild-Type and Mutant HIV-1 Reverse Transcriptase. </w:t>
      </w:r>
      <w:r w:rsidRPr="004100CF">
        <w:rPr>
          <w:rFonts w:ascii="Times New Roman" w:hAnsi="Times New Roman" w:cs="Times New Roman"/>
          <w:i/>
          <w:iCs/>
        </w:rPr>
        <w:t>J. Am. Chem. Soc.</w:t>
      </w:r>
      <w:r w:rsidRPr="004100CF">
        <w:rPr>
          <w:rFonts w:ascii="Times New Roman" w:hAnsi="Times New Roman" w:cs="Times New Roman"/>
        </w:rPr>
        <w:t xml:space="preserve"> </w:t>
      </w:r>
      <w:r w:rsidRPr="004100CF">
        <w:rPr>
          <w:rFonts w:ascii="Times New Roman" w:hAnsi="Times New Roman" w:cs="Times New Roman"/>
          <w:b/>
          <w:bCs/>
        </w:rPr>
        <w:t>2005</w:t>
      </w:r>
      <w:r w:rsidRPr="004100CF">
        <w:rPr>
          <w:rFonts w:ascii="Times New Roman" w:hAnsi="Times New Roman" w:cs="Times New Roman"/>
        </w:rPr>
        <w:t xml:space="preserve">, </w:t>
      </w:r>
      <w:r w:rsidRPr="004100CF">
        <w:rPr>
          <w:rFonts w:ascii="Times New Roman" w:hAnsi="Times New Roman" w:cs="Times New Roman"/>
          <w:i/>
          <w:iCs/>
        </w:rPr>
        <w:t>127</w:t>
      </w:r>
      <w:r w:rsidRPr="004100CF">
        <w:rPr>
          <w:rFonts w:ascii="Times New Roman" w:hAnsi="Times New Roman" w:cs="Times New Roman"/>
        </w:rPr>
        <w:t xml:space="preserve"> (49), 17253–17260. https://doi.org/10.1021/ja053973d.</w:t>
      </w:r>
    </w:p>
    <w:p w14:paraId="2EFC2B8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(29)</w:t>
      </w:r>
      <w:r w:rsidRPr="004100CF">
        <w:rPr>
          <w:rFonts w:ascii="Times New Roman" w:hAnsi="Times New Roman" w:cs="Times New Roman"/>
        </w:rPr>
        <w:tab/>
        <w:t xml:space="preserve">Vijayan, R. S. K.; Arnold, E.; Das, K. Molecular Dynamics Study of HIV-1 RT-DNA-Nevirapine Complexes Explains NNRTI Inhibition and Resistance by Connection Mutations. </w:t>
      </w:r>
      <w:r w:rsidRPr="004100CF">
        <w:rPr>
          <w:rFonts w:ascii="Times New Roman" w:hAnsi="Times New Roman" w:cs="Times New Roman"/>
          <w:i/>
          <w:iCs/>
        </w:rPr>
        <w:t>Proteins: Structure, Function, and Bioinformatics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82</w:t>
      </w:r>
      <w:r w:rsidRPr="004100CF">
        <w:rPr>
          <w:rFonts w:ascii="Times New Roman" w:hAnsi="Times New Roman" w:cs="Times New Roman"/>
        </w:rPr>
        <w:t xml:space="preserve"> (5), 815–829. https://doi.org/10.1002/prot.24460.</w:t>
      </w:r>
    </w:p>
    <w:p w14:paraId="1B1F028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(30)</w:t>
      </w:r>
      <w:r w:rsidRPr="004100CF">
        <w:rPr>
          <w:rFonts w:ascii="Times New Roman" w:hAnsi="Times New Roman" w:cs="Times New Roman"/>
        </w:rPr>
        <w:tab/>
        <w:t xml:space="preserve">Ghidini, A.; Serra, E.; Cavalli, A. On Free Energy Calculations in Drug Discovery. </w:t>
      </w:r>
      <w:r w:rsidRPr="004100CF">
        <w:rPr>
          <w:rFonts w:ascii="Times New Roman" w:hAnsi="Times New Roman" w:cs="Times New Roman"/>
          <w:i/>
          <w:iCs/>
        </w:rPr>
        <w:t>Acc. Chem. Res.</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58</w:t>
      </w:r>
      <w:r w:rsidRPr="004100CF">
        <w:rPr>
          <w:rFonts w:ascii="Times New Roman" w:hAnsi="Times New Roman" w:cs="Times New Roman"/>
        </w:rPr>
        <w:t xml:space="preserve"> (20), 3137–3145. https://doi.org/10.1021/acs.accounts.5c00465.</w:t>
      </w:r>
    </w:p>
    <w:p w14:paraId="0FB1EEF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(31)</w:t>
      </w:r>
      <w:r w:rsidRPr="004100CF">
        <w:rPr>
          <w:rFonts w:ascii="Times New Roman" w:hAnsi="Times New Roman" w:cs="Times New Roman"/>
        </w:rPr>
        <w:tab/>
        <w:t xml:space="preserve">Gapsys, V.; Pérez-Benito, L.; Aldeghi, M.; Seeliger, D.; van Vlijmen, H.; Tresadern, G.; de Groot, B. L. Large Scale Relative Protein Ligand Binding Affinities Using Non-Equilibrium Alchemy. </w:t>
      </w:r>
      <w:r w:rsidRPr="004100CF">
        <w:rPr>
          <w:rFonts w:ascii="Times New Roman" w:hAnsi="Times New Roman" w:cs="Times New Roman"/>
          <w:i/>
          <w:iCs/>
        </w:rPr>
        <w:t>Chem. Sci.</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(4), 1140–1152. https://doi.org/10.1039/c9sc03754c.</w:t>
      </w:r>
    </w:p>
    <w:p w14:paraId="3829F484"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(32)</w:t>
      </w:r>
      <w:r w:rsidRPr="004100CF">
        <w:rPr>
          <w:rFonts w:ascii="Times New Roman" w:hAnsi="Times New Roman" w:cs="Times New Roman"/>
        </w:rPr>
        <w:tab/>
        <w:t xml:space="preserve">Kabsch, W. A Solution for the Best Rotation to Relate Two Sets of Vectors. </w:t>
      </w:r>
      <w:r w:rsidRPr="004100CF">
        <w:rPr>
          <w:rFonts w:ascii="Times New Roman" w:hAnsi="Times New Roman" w:cs="Times New Roman"/>
          <w:i/>
          <w:iCs/>
        </w:rPr>
        <w:t>Acta Crystallographica Section A</w:t>
      </w:r>
      <w:r w:rsidRPr="004100CF">
        <w:rPr>
          <w:rFonts w:ascii="Times New Roman" w:hAnsi="Times New Roman" w:cs="Times New Roman"/>
        </w:rPr>
        <w:t xml:space="preserve"> </w:t>
      </w:r>
      <w:r w:rsidRPr="004100CF">
        <w:rPr>
          <w:rFonts w:ascii="Times New Roman" w:hAnsi="Times New Roman" w:cs="Times New Roman"/>
          <w:b/>
          <w:bCs/>
        </w:rPr>
        <w:t>1976</w:t>
      </w:r>
      <w:r w:rsidRPr="004100CF">
        <w:rPr>
          <w:rFonts w:ascii="Times New Roman" w:hAnsi="Times New Roman" w:cs="Times New Roman"/>
        </w:rPr>
        <w:t xml:space="preserve">, </w:t>
      </w:r>
      <w:r w:rsidRPr="004100CF">
        <w:rPr>
          <w:rFonts w:ascii="Times New Roman" w:hAnsi="Times New Roman" w:cs="Times New Roman"/>
          <w:i/>
          <w:iCs/>
        </w:rPr>
        <w:t>32</w:t>
      </w:r>
      <w:r w:rsidRPr="004100CF">
        <w:rPr>
          <w:rFonts w:ascii="Times New Roman" w:hAnsi="Times New Roman" w:cs="Times New Roman"/>
        </w:rPr>
        <w:t xml:space="preserve"> (5), 922–923. https://doi.org/10.1107/S0567739476001873.</w:t>
      </w:r>
    </w:p>
    <w:p w14:paraId="3C9643E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(33)</w:t>
      </w:r>
      <w:r w:rsidRPr="004100CF">
        <w:rPr>
          <w:rFonts w:ascii="Times New Roman" w:hAnsi="Times New Roman" w:cs="Times New Roman"/>
        </w:rPr>
        <w:tab/>
        <w:t xml:space="preserve">Eastman, P.; Swails, J.; Chodera, J. D.; McGibbon, R. T.; Zhao, Y.; Beauchamp, K. A.; Wang, L.-P.; Simmonett, A. C.; Harrigan, M. P.; Stern, C. D.; Wiewiora, R. P.; Brooks, B. R.; Pande, V. S. OpenMM 7: Rapid Development of High Performance Algorithms for Molecular Dynamics. </w:t>
      </w:r>
      <w:r w:rsidRPr="004100CF">
        <w:rPr>
          <w:rFonts w:ascii="Times New Roman" w:hAnsi="Times New Roman" w:cs="Times New Roman"/>
          <w:i/>
          <w:iCs/>
        </w:rPr>
        <w:t>PLOS Computational Biology</w:t>
      </w:r>
      <w:r w:rsidRPr="004100CF">
        <w:rPr>
          <w:rFonts w:ascii="Times New Roman" w:hAnsi="Times New Roman" w:cs="Times New Roman"/>
        </w:rPr>
        <w:t xml:space="preserve"> </w:t>
      </w:r>
      <w:r w:rsidRPr="004100CF">
        <w:rPr>
          <w:rFonts w:ascii="Times New Roman" w:hAnsi="Times New Roman" w:cs="Times New Roman"/>
          <w:b/>
          <w:bCs/>
        </w:rPr>
        <w:t>2017</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(7), e1005659. https://doi.org/10.1371/journal.pcbi.1005659.</w:t>
      </w:r>
    </w:p>
    <w:p w14:paraId="6BB871A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(34)</w:t>
      </w:r>
      <w:r w:rsidRPr="004100CF">
        <w:rPr>
          <w:rFonts w:ascii="Times New Roman" w:hAnsi="Times New Roman" w:cs="Times New Roman"/>
        </w:rPr>
        <w:tab/>
        <w:t xml:space="preserve">Maier, J. A.; Martinez, C.; Kasavajhala, K.; Wickstrom, L.; Hauser, K. E.; Simmerling, C. ff14SB: Improving the Accuracy of Protein Side Chain and Backbone Parameters from ff99SB. </w:t>
      </w:r>
      <w:r w:rsidRPr="004100CF">
        <w:rPr>
          <w:rFonts w:ascii="Times New Roman" w:hAnsi="Times New Roman" w:cs="Times New Roman"/>
          <w:i/>
          <w:iCs/>
        </w:rPr>
        <w:t>J. Chem. Theory Comput.</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(8), 3696–3713. https://doi.org/10.1021/acs.jctc.5b00255.</w:t>
      </w:r>
    </w:p>
    <w:p w14:paraId="1DECE0F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(35)</w:t>
      </w:r>
      <w:r w:rsidRPr="004100CF">
        <w:rPr>
          <w:rFonts w:ascii="Times New Roman" w:hAnsi="Times New Roman" w:cs="Times New Roman"/>
        </w:rPr>
        <w:tab/>
        <w:t xml:space="preserve">Ivani, I.; Dans, P. D.; Noy, A.; Pérez, A.; Faustino, I.; Hospital, A.; Walther, J.; Andrio, P.; Goñi, R.; Balaceanu, A.; Portella, G.; Battistini, F.; Gelpí, J. L.; González, C.; Vendruscolo, M.; Laughton, C. A.; Harris, S. A.; Case, D. A.; Orozco, M. Parmbsc1: A Refined Force Field for DNA Simulations. </w:t>
      </w:r>
      <w:r w:rsidRPr="004100CF">
        <w:rPr>
          <w:rFonts w:ascii="Times New Roman" w:hAnsi="Times New Roman" w:cs="Times New Roman"/>
          <w:i/>
          <w:iCs/>
        </w:rPr>
        <w:t>Nat Methods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(1), 55–58. https://doi.org/10.1038/nmeth.3658.</w:t>
      </w:r>
    </w:p>
    <w:p w14:paraId="23805B7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(36)</w:t>
      </w:r>
      <w:r w:rsidRPr="004100CF">
        <w:rPr>
          <w:rFonts w:ascii="Times New Roman" w:hAnsi="Times New Roman" w:cs="Times New Roman"/>
        </w:rPr>
        <w:tab/>
        <w:t xml:space="preserve">Jorgensen, W. L.; Chandrasekhar, J.; Madura, J. D.; Impey, R. W.; Klein, M. L. Comparison of Simple Potential Functions for Simulating Liquid Water.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1983</w:t>
      </w:r>
      <w:r w:rsidRPr="004100CF">
        <w:rPr>
          <w:rFonts w:ascii="Times New Roman" w:hAnsi="Times New Roman" w:cs="Times New Roman"/>
        </w:rPr>
        <w:t xml:space="preserve">, </w:t>
      </w:r>
      <w:r w:rsidRPr="004100CF">
        <w:rPr>
          <w:rFonts w:ascii="Times New Roman" w:hAnsi="Times New Roman" w:cs="Times New Roman"/>
          <w:i/>
          <w:iCs/>
        </w:rPr>
        <w:t>79</w:t>
      </w:r>
      <w:r w:rsidRPr="004100CF">
        <w:rPr>
          <w:rFonts w:ascii="Times New Roman" w:hAnsi="Times New Roman" w:cs="Times New Roman"/>
        </w:rPr>
        <w:t xml:space="preserve"> (2), 926–935. https://doi.org/10.1063/1.445869.</w:t>
      </w:r>
    </w:p>
    <w:p w14:paraId="0E42EE3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(37)</w:t>
      </w:r>
      <w:r w:rsidRPr="004100CF">
        <w:rPr>
          <w:rFonts w:ascii="Times New Roman" w:hAnsi="Times New Roman" w:cs="Times New Roman"/>
        </w:rPr>
        <w:tab/>
        <w:t xml:space="preserve">Mobley, D. L.; Bannan, C. C.; Rizzi, A.; Bayly, C. I.; Chodera, J. D.; Lim, V. T.; Lim, N. M.; Beauchamp, K. A.; Slochower, D. R.; Shirts, M. R.; Gilson, M. K.; Eastman, P. K. Escaping Atom Types in Force Fields Using Direct Chemical Perception. </w:t>
      </w:r>
      <w:r w:rsidRPr="004100CF">
        <w:rPr>
          <w:rFonts w:ascii="Times New Roman" w:hAnsi="Times New Roman" w:cs="Times New Roman"/>
          <w:i/>
          <w:iCs/>
        </w:rPr>
        <w:t>J. Chem. Theory Comput.</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14</w:t>
      </w:r>
      <w:r w:rsidRPr="004100CF">
        <w:rPr>
          <w:rFonts w:ascii="Times New Roman" w:hAnsi="Times New Roman" w:cs="Times New Roman"/>
        </w:rPr>
        <w:t xml:space="preserve"> (11), 6076–6092. https://doi.org/10.1021/acs.jctc.8b00640.</w:t>
      </w:r>
    </w:p>
    <w:p w14:paraId="38B91D4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(38)</w:t>
      </w:r>
      <w:r w:rsidRPr="004100CF">
        <w:rPr>
          <w:rFonts w:ascii="Times New Roman" w:hAnsi="Times New Roman" w:cs="Times New Roman"/>
        </w:rPr>
        <w:tab/>
        <w:t xml:space="preserve">Gasteiger, J.; Marsili, M. Iterative Partial Equalization of Orbital Electronegativity—a Rapid Access to Atomic Charges. </w:t>
      </w:r>
      <w:r w:rsidRPr="004100CF">
        <w:rPr>
          <w:rFonts w:ascii="Times New Roman" w:hAnsi="Times New Roman" w:cs="Times New Roman"/>
          <w:i/>
          <w:iCs/>
        </w:rPr>
        <w:t>Tetrahedron</w:t>
      </w:r>
      <w:r w:rsidRPr="004100CF">
        <w:rPr>
          <w:rFonts w:ascii="Times New Roman" w:hAnsi="Times New Roman" w:cs="Times New Roman"/>
        </w:rPr>
        <w:t xml:space="preserve"> </w:t>
      </w:r>
      <w:r w:rsidRPr="004100CF">
        <w:rPr>
          <w:rFonts w:ascii="Times New Roman" w:hAnsi="Times New Roman" w:cs="Times New Roman"/>
          <w:b/>
          <w:bCs/>
        </w:rPr>
        <w:t>1980</w:t>
      </w:r>
      <w:r w:rsidRPr="004100CF">
        <w:rPr>
          <w:rFonts w:ascii="Times New Roman" w:hAnsi="Times New Roman" w:cs="Times New Roman"/>
        </w:rPr>
        <w:t xml:space="preserve">, </w:t>
      </w:r>
      <w:r w:rsidRPr="004100CF">
        <w:rPr>
          <w:rFonts w:ascii="Times New Roman" w:hAnsi="Times New Roman" w:cs="Times New Roman"/>
          <w:i/>
          <w:iCs/>
        </w:rPr>
        <w:t>36</w:t>
      </w:r>
      <w:r w:rsidRPr="004100CF">
        <w:rPr>
          <w:rFonts w:ascii="Times New Roman" w:hAnsi="Times New Roman" w:cs="Times New Roman"/>
        </w:rPr>
        <w:t xml:space="preserve"> (22), 3219–3228. https://doi.org/10.1016/0040-4020(80)80168-2.</w:t>
      </w:r>
    </w:p>
    <w:p w14:paraId="30A5053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(39)</w:t>
      </w:r>
      <w:r w:rsidRPr="004100CF">
        <w:rPr>
          <w:rFonts w:ascii="Times New Roman" w:hAnsi="Times New Roman" w:cs="Times New Roman"/>
        </w:rPr>
        <w:tab/>
        <w:t>Darden, T.; York, D.; Pedersen, L. Particle Mesh Ewald: An N</w:t>
      </w:r>
      <w:r w:rsidRPr="004100CF">
        <w:rPr>
          <w:rFonts w:ascii="Cambria Math" w:hAnsi="Cambria Math" w:cs="Cambria Math"/>
        </w:rPr>
        <w:t>⋅</w:t>
      </w:r>
      <w:r w:rsidRPr="004100CF">
        <w:rPr>
          <w:rFonts w:ascii="Times New Roman" w:hAnsi="Times New Roman" w:cs="Times New Roman"/>
        </w:rPr>
        <w:t xml:space="preserve">log(N) Method for Ewald Sums in Large Systems.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1993</w:t>
      </w:r>
      <w:r w:rsidRPr="004100CF">
        <w:rPr>
          <w:rFonts w:ascii="Times New Roman" w:hAnsi="Times New Roman" w:cs="Times New Roman"/>
        </w:rPr>
        <w:t xml:space="preserve">, </w:t>
      </w:r>
      <w:r w:rsidRPr="004100CF">
        <w:rPr>
          <w:rFonts w:ascii="Times New Roman" w:hAnsi="Times New Roman" w:cs="Times New Roman"/>
          <w:i/>
          <w:iCs/>
        </w:rPr>
        <w:t>98</w:t>
      </w:r>
      <w:r w:rsidRPr="004100CF">
        <w:rPr>
          <w:rFonts w:ascii="Times New Roman" w:hAnsi="Times New Roman" w:cs="Times New Roman"/>
        </w:rPr>
        <w:t xml:space="preserve"> (12), 10089–10092. https://doi.org/10.1063/1.464397.</w:t>
      </w:r>
    </w:p>
    <w:p w14:paraId="45C5A8F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(40)</w:t>
      </w:r>
      <w:r w:rsidRPr="004100CF">
        <w:rPr>
          <w:rFonts w:ascii="Times New Roman" w:hAnsi="Times New Roman" w:cs="Times New Roman"/>
        </w:rPr>
        <w:tab/>
        <w:t xml:space="preserve">Michaud-Agrawal, N.; Denning, E. J.; Woolf, T. B.; Beckstein, O. MDAnalysis: A Toolkit for the Analysis of Molecular Dynamics Simulations. </w:t>
      </w:r>
      <w:r w:rsidRPr="004100CF">
        <w:rPr>
          <w:rFonts w:ascii="Times New Roman" w:hAnsi="Times New Roman" w:cs="Times New Roman"/>
          <w:i/>
          <w:iCs/>
        </w:rPr>
        <w:t>Journal of Computational Chemistry</w:t>
      </w:r>
      <w:r w:rsidRPr="004100CF">
        <w:rPr>
          <w:rFonts w:ascii="Times New Roman" w:hAnsi="Times New Roman" w:cs="Times New Roman"/>
        </w:rPr>
        <w:t xml:space="preserve"> </w:t>
      </w:r>
      <w:r w:rsidRPr="004100CF">
        <w:rPr>
          <w:rFonts w:ascii="Times New Roman" w:hAnsi="Times New Roman" w:cs="Times New Roman"/>
          <w:b/>
          <w:bCs/>
        </w:rPr>
        <w:t>2011</w:t>
      </w:r>
      <w:r w:rsidRPr="004100CF">
        <w:rPr>
          <w:rFonts w:ascii="Times New Roman" w:hAnsi="Times New Roman" w:cs="Times New Roman"/>
        </w:rPr>
        <w:t xml:space="preserve">, </w:t>
      </w:r>
      <w:r w:rsidRPr="004100CF">
        <w:rPr>
          <w:rFonts w:ascii="Times New Roman" w:hAnsi="Times New Roman" w:cs="Times New Roman"/>
          <w:i/>
          <w:iCs/>
        </w:rPr>
        <w:t>32</w:t>
      </w:r>
      <w:r w:rsidRPr="004100CF">
        <w:rPr>
          <w:rFonts w:ascii="Times New Roman" w:hAnsi="Times New Roman" w:cs="Times New Roman"/>
        </w:rPr>
        <w:t xml:space="preserve"> (10), 2319–2327. https://doi.org/10.1002/jcc.21787.</w:t>
      </w:r>
    </w:p>
    <w:p w14:paraId="4AF0802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(41)</w:t>
      </w:r>
      <w:r w:rsidRPr="004100CF">
        <w:rPr>
          <w:rFonts w:ascii="Times New Roman" w:hAnsi="Times New Roman" w:cs="Times New Roman"/>
        </w:rPr>
        <w:tab/>
        <w:t xml:space="preserve">McGibbon, R. T.; Beauchamp, K. A.; Harrigan, M. P.; Klein, C.; Swails, J. M.; Hernández, C. X.; Schwantes, C. R.; Wang, L.-P.; Lane, T. J.; Pande, V. S. MDTraj: A Modern Open Library for the Analysis of Molecular Dynamics Trajectories. </w:t>
      </w:r>
      <w:r w:rsidRPr="004100CF">
        <w:rPr>
          <w:rFonts w:ascii="Times New Roman" w:hAnsi="Times New Roman" w:cs="Times New Roman"/>
          <w:i/>
          <w:iCs/>
        </w:rPr>
        <w:t>Biophysical Journal</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109</w:t>
      </w:r>
      <w:r w:rsidRPr="004100CF">
        <w:rPr>
          <w:rFonts w:ascii="Times New Roman" w:hAnsi="Times New Roman" w:cs="Times New Roman"/>
        </w:rPr>
        <w:t xml:space="preserve"> (8), 1528–1532. https://doi.org/10.1016/j.bpj.2015.08.015.</w:t>
      </w:r>
    </w:p>
    <w:p w14:paraId="0770F8E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(42)</w:t>
      </w:r>
      <w:r w:rsidRPr="004100CF">
        <w:rPr>
          <w:rFonts w:ascii="Times New Roman" w:hAnsi="Times New Roman" w:cs="Times New Roman"/>
        </w:rPr>
        <w:tab/>
        <w:t xml:space="preserve">Massova, I.; Kollman, P. A. Combined Molecular Mechanical and Continuum Solvent Approach (MM-PBSA/GBSA) to Predict Ligand Binding. </w:t>
      </w:r>
      <w:r w:rsidRPr="004100CF">
        <w:rPr>
          <w:rFonts w:ascii="Times New Roman" w:hAnsi="Times New Roman" w:cs="Times New Roman"/>
          <w:i/>
          <w:iCs/>
        </w:rPr>
        <w:t>Perspectives in Drug Discovery and Design</w:t>
      </w:r>
      <w:r w:rsidRPr="004100CF">
        <w:rPr>
          <w:rFonts w:ascii="Times New Roman" w:hAnsi="Times New Roman" w:cs="Times New Roman"/>
        </w:rPr>
        <w:t xml:space="preserve"> </w:t>
      </w:r>
      <w:r w:rsidRPr="004100CF">
        <w:rPr>
          <w:rFonts w:ascii="Times New Roman" w:hAnsi="Times New Roman" w:cs="Times New Roman"/>
          <w:b/>
          <w:bCs/>
        </w:rPr>
        <w:t>2000</w:t>
      </w:r>
      <w:r w:rsidRPr="004100CF">
        <w:rPr>
          <w:rFonts w:ascii="Times New Roman" w:hAnsi="Times New Roman" w:cs="Times New Roman"/>
        </w:rPr>
        <w:t xml:space="preserve">, </w:t>
      </w:r>
      <w:r w:rsidRPr="004100CF">
        <w:rPr>
          <w:rFonts w:ascii="Times New Roman" w:hAnsi="Times New Roman" w:cs="Times New Roman"/>
          <w:i/>
          <w:iCs/>
        </w:rPr>
        <w:t>18</w:t>
      </w:r>
      <w:r w:rsidRPr="004100CF">
        <w:rPr>
          <w:rFonts w:ascii="Times New Roman" w:hAnsi="Times New Roman" w:cs="Times New Roman"/>
        </w:rPr>
        <w:t xml:space="preserve"> (1), 113–135. https://doi.org/10.1023/A:1008763014207.</w:t>
      </w:r>
    </w:p>
    <w:p w14:paraId="1409EAF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(43)</w:t>
      </w:r>
      <w:r w:rsidRPr="004100CF">
        <w:rPr>
          <w:rFonts w:ascii="Times New Roman" w:hAnsi="Times New Roman" w:cs="Times New Roman"/>
        </w:rPr>
        <w:tab/>
        <w:t xml:space="preserve">Onufriev, A.; Bashford, D.; Case, D. A. Exploring Protein Native States and Large-Scale Conformational Changes with a Modified Generalized Born Model. </w:t>
      </w:r>
      <w:r w:rsidRPr="004100CF">
        <w:rPr>
          <w:rFonts w:ascii="Times New Roman" w:hAnsi="Times New Roman" w:cs="Times New Roman"/>
          <w:i/>
          <w:iCs/>
        </w:rPr>
        <w:t>Proteins: Structure, Function, and Bioinformatics</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55</w:t>
      </w:r>
      <w:r w:rsidRPr="004100CF">
        <w:rPr>
          <w:rFonts w:ascii="Times New Roman" w:hAnsi="Times New Roman" w:cs="Times New Roman"/>
        </w:rPr>
        <w:t xml:space="preserve"> (2), 383–394. https://doi.org/10.1002/prot.20033.</w:t>
      </w:r>
    </w:p>
    <w:p w14:paraId="5B8719C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(44)</w:t>
      </w:r>
      <w:r w:rsidRPr="004100CF">
        <w:rPr>
          <w:rFonts w:ascii="Times New Roman" w:hAnsi="Times New Roman" w:cs="Times New Roman"/>
        </w:rPr>
        <w:tab/>
        <w:t xml:space="preserve">Gapsys, V.; Michielssens, S.; Seeliger, D.; de Groot, B. L. Pmx: Automated Protein Structure and Topology Generation for Alchemical Perturbations. </w:t>
      </w:r>
      <w:r w:rsidRPr="004100CF">
        <w:rPr>
          <w:rFonts w:ascii="Times New Roman" w:hAnsi="Times New Roman" w:cs="Times New Roman"/>
          <w:i/>
          <w:iCs/>
        </w:rPr>
        <w:t>Journal of Computational Chemistry</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36</w:t>
      </w:r>
      <w:r w:rsidRPr="004100CF">
        <w:rPr>
          <w:rFonts w:ascii="Times New Roman" w:hAnsi="Times New Roman" w:cs="Times New Roman"/>
        </w:rPr>
        <w:t xml:space="preserve"> (5), 348–354. https://doi.org/10.1002/jcc.23804.</w:t>
      </w:r>
    </w:p>
    <w:p w14:paraId="68F40B2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(45)</w:t>
      </w:r>
      <w:r w:rsidRPr="004100CF">
        <w:rPr>
          <w:rFonts w:ascii="Times New Roman" w:hAnsi="Times New Roman" w:cs="Times New Roman"/>
        </w:rPr>
        <w:tab/>
        <w:t xml:space="preserve">Abraham, M. J.; Murtola, T.; Schulz, R.; Páll, S.; Smith, J. C.; Hess, B.; Lindahl, E. GROMACS: High Performance Molecular Simulations through Multi-Level Parallelism from Laptops to Supercomputers. </w:t>
      </w:r>
      <w:r w:rsidRPr="004100CF">
        <w:rPr>
          <w:rFonts w:ascii="Times New Roman" w:hAnsi="Times New Roman" w:cs="Times New Roman"/>
          <w:i/>
          <w:iCs/>
        </w:rPr>
        <w:t>SoftwareX</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1–2</w:t>
      </w:r>
      <w:r w:rsidRPr="004100CF">
        <w:rPr>
          <w:rFonts w:ascii="Times New Roman" w:hAnsi="Times New Roman" w:cs="Times New Roman"/>
        </w:rPr>
        <w:t>, 19–25. https://doi.org/10.1016/j.softx.2015.06.001.</w:t>
      </w:r>
    </w:p>
    <w:p w14:paraId="755BE12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(46)</w:t>
      </w:r>
      <w:r w:rsidRPr="004100CF">
        <w:rPr>
          <w:rFonts w:ascii="Times New Roman" w:hAnsi="Times New Roman" w:cs="Times New Roman"/>
        </w:rPr>
        <w:tab/>
        <w:t xml:space="preserve">Gapsys, V.; Seeliger, D.; de Groot, B. L. New Soft-Core Potential Function for Molecular Dynamics Based Alchemical Free Energy Calculations. </w:t>
      </w:r>
      <w:r w:rsidRPr="004100CF">
        <w:rPr>
          <w:rFonts w:ascii="Times New Roman" w:hAnsi="Times New Roman" w:cs="Times New Roman"/>
          <w:i/>
          <w:iCs/>
        </w:rPr>
        <w:t>J. Chem. Theory Comput.</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(7), 2373–2382. https://doi.org/10.1021/ct300220p.</w:t>
      </w:r>
    </w:p>
    <w:p w14:paraId="60D9922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(47)</w:t>
      </w:r>
      <w:r w:rsidRPr="004100CF">
        <w:rPr>
          <w:rFonts w:ascii="Times New Roman" w:hAnsi="Times New Roman" w:cs="Times New Roman"/>
        </w:rPr>
        <w:tab/>
        <w:t xml:space="preserve">Jarzynski, C. Nonequilibrium Equality for Free Energy Differences. </w:t>
      </w:r>
      <w:r w:rsidRPr="004100CF">
        <w:rPr>
          <w:rFonts w:ascii="Times New Roman" w:hAnsi="Times New Roman" w:cs="Times New Roman"/>
          <w:i/>
          <w:iCs/>
        </w:rPr>
        <w:t>Phys. Rev. Lett.</w:t>
      </w:r>
      <w:r w:rsidRPr="004100CF">
        <w:rPr>
          <w:rFonts w:ascii="Times New Roman" w:hAnsi="Times New Roman" w:cs="Times New Roman"/>
        </w:rPr>
        <w:t xml:space="preserve"> </w:t>
      </w:r>
      <w:r w:rsidRPr="004100CF">
        <w:rPr>
          <w:rFonts w:ascii="Times New Roman" w:hAnsi="Times New Roman" w:cs="Times New Roman"/>
          <w:b/>
          <w:bCs/>
        </w:rPr>
        <w:t>1997</w:t>
      </w:r>
      <w:r w:rsidRPr="004100CF">
        <w:rPr>
          <w:rFonts w:ascii="Times New Roman" w:hAnsi="Times New Roman" w:cs="Times New Roman"/>
        </w:rPr>
        <w:t xml:space="preserve">, </w:t>
      </w:r>
      <w:r w:rsidRPr="004100CF">
        <w:rPr>
          <w:rFonts w:ascii="Times New Roman" w:hAnsi="Times New Roman" w:cs="Times New Roman"/>
          <w:i/>
          <w:iCs/>
        </w:rPr>
        <w:t>78</w:t>
      </w:r>
      <w:r w:rsidRPr="004100CF">
        <w:rPr>
          <w:rFonts w:ascii="Times New Roman" w:hAnsi="Times New Roman" w:cs="Times New Roman"/>
        </w:rPr>
        <w:t xml:space="preserve"> (14), 2690–2693. https://doi.org/10.1103/PhysRevLett.78.2690.</w:t>
      </w:r>
    </w:p>
    <w:p w14:paraId="15C894B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(48)</w:t>
      </w:r>
      <w:r w:rsidRPr="004100CF">
        <w:rPr>
          <w:rFonts w:ascii="Times New Roman" w:hAnsi="Times New Roman" w:cs="Times New Roman"/>
        </w:rPr>
        <w:tab/>
        <w:t xml:space="preserve">Crooks, G. E. Entropy Production Fluctuation Theorem and the Nonequilibrium Work Relation for Free Energy Differences. </w:t>
      </w:r>
      <w:r w:rsidRPr="004100CF">
        <w:rPr>
          <w:rFonts w:ascii="Times New Roman" w:hAnsi="Times New Roman" w:cs="Times New Roman"/>
          <w:i/>
          <w:iCs/>
        </w:rPr>
        <w:t>Phys. Rev. E</w:t>
      </w:r>
      <w:r w:rsidRPr="004100CF">
        <w:rPr>
          <w:rFonts w:ascii="Times New Roman" w:hAnsi="Times New Roman" w:cs="Times New Roman"/>
        </w:rPr>
        <w:t xml:space="preserve"> </w:t>
      </w:r>
      <w:r w:rsidRPr="004100CF">
        <w:rPr>
          <w:rFonts w:ascii="Times New Roman" w:hAnsi="Times New Roman" w:cs="Times New Roman"/>
          <w:b/>
          <w:bCs/>
        </w:rPr>
        <w:t>1999</w:t>
      </w:r>
      <w:r w:rsidRPr="004100CF">
        <w:rPr>
          <w:rFonts w:ascii="Times New Roman" w:hAnsi="Times New Roman" w:cs="Times New Roman"/>
        </w:rPr>
        <w:t xml:space="preserve">, </w:t>
      </w:r>
      <w:r w:rsidRPr="004100CF">
        <w:rPr>
          <w:rFonts w:ascii="Times New Roman" w:hAnsi="Times New Roman" w:cs="Times New Roman"/>
          <w:i/>
          <w:iCs/>
        </w:rPr>
        <w:t>60</w:t>
      </w:r>
      <w:r w:rsidRPr="004100CF">
        <w:rPr>
          <w:rFonts w:ascii="Times New Roman" w:hAnsi="Times New Roman" w:cs="Times New Roman"/>
        </w:rPr>
        <w:t xml:space="preserve"> (3), 2721–2726. https://doi.org/10.1103/PhysRevE.60.2721.</w:t>
      </w:r>
    </w:p>
    <w:p w14:paraId="4AFF2E2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(49)</w:t>
      </w:r>
      <w:r w:rsidRPr="004100CF">
        <w:rPr>
          <w:rFonts w:ascii="Times New Roman" w:hAnsi="Times New Roman" w:cs="Times New Roman"/>
        </w:rPr>
        <w:tab/>
        <w:t xml:space="preserve">Bernetti, M.; Bussi, G. Pressure Control Using Stochastic Cell Rescaling.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153</w:t>
      </w:r>
      <w:r w:rsidRPr="004100CF">
        <w:rPr>
          <w:rFonts w:ascii="Times New Roman" w:hAnsi="Times New Roman" w:cs="Times New Roman"/>
        </w:rPr>
        <w:t xml:space="preserve"> (11), 114107. https://doi.org/10.1063/5.0020514.</w:t>
      </w:r>
    </w:p>
    <w:p w14:paraId="3A9AE5B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(50)</w:t>
      </w:r>
      <w:r w:rsidRPr="004100CF">
        <w:rPr>
          <w:rFonts w:ascii="Times New Roman" w:hAnsi="Times New Roman" w:cs="Times New Roman"/>
        </w:rPr>
        <w:tab/>
        <w:t xml:space="preserve">Bennett, C. H. Efficient Estimation of Free Energy Differences from Monte Carlo Data. </w:t>
      </w:r>
      <w:r w:rsidRPr="004100CF">
        <w:rPr>
          <w:rFonts w:ascii="Times New Roman" w:hAnsi="Times New Roman" w:cs="Times New Roman"/>
          <w:i/>
          <w:iCs/>
        </w:rPr>
        <w:t>Journal of Computational Physics</w:t>
      </w:r>
      <w:r w:rsidRPr="004100CF">
        <w:rPr>
          <w:rFonts w:ascii="Times New Roman" w:hAnsi="Times New Roman" w:cs="Times New Roman"/>
        </w:rPr>
        <w:t xml:space="preserve"> </w:t>
      </w:r>
      <w:r w:rsidRPr="004100CF">
        <w:rPr>
          <w:rFonts w:ascii="Times New Roman" w:hAnsi="Times New Roman" w:cs="Times New Roman"/>
          <w:b/>
          <w:bCs/>
        </w:rPr>
        <w:t>1976</w:t>
      </w:r>
      <w:r w:rsidRPr="004100CF">
        <w:rPr>
          <w:rFonts w:ascii="Times New Roman" w:hAnsi="Times New Roman" w:cs="Times New Roman"/>
        </w:rPr>
        <w:t xml:space="preserve">, </w:t>
      </w:r>
      <w:r w:rsidRPr="004100CF">
        <w:rPr>
          <w:rFonts w:ascii="Times New Roman" w:hAnsi="Times New Roman" w:cs="Times New Roman"/>
          <w:i/>
          <w:iCs/>
        </w:rPr>
        <w:t>22</w:t>
      </w:r>
      <w:r w:rsidRPr="004100CF">
        <w:rPr>
          <w:rFonts w:ascii="Times New Roman" w:hAnsi="Times New Roman" w:cs="Times New Roman"/>
        </w:rPr>
        <w:t xml:space="preserve"> (2), 245–268. https://doi.org/10.1016/0021-9991(76)90078-4.</w:t>
      </w:r>
    </w:p>
    <w:p w14:paraId="636C4D6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(51)</w:t>
      </w:r>
      <w:r w:rsidRPr="004100CF">
        <w:rPr>
          <w:rFonts w:ascii="Times New Roman" w:hAnsi="Times New Roman" w:cs="Times New Roman"/>
        </w:rPr>
        <w:tab/>
        <w:t xml:space="preserve">Rocklin, G. J.; Mobley, D. L.; Dill, K. A.; Hünenberger, P. H. Calculating the Binding Free Energies of Charged Species Based on Explicit-Solvent Simulations Employing Lattice-Sum Methods: An Accurate Correction Scheme for Electrostatic Finite-Size Effects.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2013</w:t>
      </w:r>
      <w:r w:rsidRPr="004100CF">
        <w:rPr>
          <w:rFonts w:ascii="Times New Roman" w:hAnsi="Times New Roman" w:cs="Times New Roman"/>
        </w:rPr>
        <w:t xml:space="preserve">, </w:t>
      </w:r>
      <w:r w:rsidRPr="004100CF">
        <w:rPr>
          <w:rFonts w:ascii="Times New Roman" w:hAnsi="Times New Roman" w:cs="Times New Roman"/>
          <w:i/>
          <w:iCs/>
        </w:rPr>
        <w:t>139</w:t>
      </w:r>
      <w:r w:rsidRPr="004100CF">
        <w:rPr>
          <w:rFonts w:ascii="Times New Roman" w:hAnsi="Times New Roman" w:cs="Times New Roman"/>
        </w:rPr>
        <w:t xml:space="preserve"> (18), 184103. https://doi.org/10.1063/1.4826261.</w:t>
      </w:r>
    </w:p>
    <w:p w14:paraId="4CE1C4F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(52)</w:t>
      </w:r>
      <w:r w:rsidRPr="004100CF">
        <w:rPr>
          <w:rFonts w:ascii="Times New Roman" w:hAnsi="Times New Roman" w:cs="Times New Roman"/>
        </w:rPr>
        <w:tab/>
        <w:t xml:space="preserve">Asante-Appiah, E.; Lai, J.; Wan, H.; Yang, D.; Martin, E. A.; Sklar, P.; Hazuda, D.; Petropoulos, C. J.; Walworth, C.; Grobler, J. A. Impact of HIV-1 Resistance-Associated Mutations on Susceptibility to Doravirine: Analysis of Real-World Clinical Isolates.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65</w:t>
      </w:r>
      <w:r w:rsidRPr="004100CF">
        <w:rPr>
          <w:rFonts w:ascii="Times New Roman" w:hAnsi="Times New Roman" w:cs="Times New Roman"/>
        </w:rPr>
        <w:t xml:space="preserve"> (12), 10.1128/aac.01216-21. https://doi.org/10.1128/aac.01216-21.</w:t>
      </w:r>
    </w:p>
    <w:p w14:paraId="0C4E87E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(53)</w:t>
      </w:r>
      <w:r w:rsidRPr="004100CF">
        <w:rPr>
          <w:rFonts w:ascii="Times New Roman" w:hAnsi="Times New Roman" w:cs="Times New Roman"/>
        </w:rPr>
        <w:tab/>
        <w:t xml:space="preserve">Lai, M.-T.; Xu, M.; Ngo, W.; Feng, M.; Graham, D.; Wang, J.; Hazuda, D. J.; Hanna, G. J.; Kumar, S.; Xu, X.; Martin, E.; Hwang, C. </w:t>
      </w:r>
      <w:r w:rsidRPr="004100CF">
        <w:rPr>
          <w:rFonts w:ascii="Times New Roman" w:hAnsi="Times New Roman" w:cs="Times New Roman"/>
          <w:i/>
          <w:iCs/>
        </w:rPr>
        <w:t>Characterization of Doravirine-Selected Resistance Patterns From Participants in Treatment-Naïve Phase 3 Clinical Trials</w:t>
      </w:r>
      <w:r w:rsidRPr="004100CF">
        <w:rPr>
          <w:rFonts w:ascii="Times New Roman" w:hAnsi="Times New Roman" w:cs="Times New Roman"/>
        </w:rPr>
        <w:t>. https://www.natap.org/2018/IAC/IAC_54.htm (accessed 2026-05-24).</w:t>
      </w:r>
    </w:p>
    <w:p w14:paraId="3BBFB38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(54)</w:t>
      </w:r>
      <w:r w:rsidRPr="004100CF">
        <w:rPr>
          <w:rFonts w:ascii="Times New Roman" w:hAnsi="Times New Roman" w:cs="Times New Roman"/>
        </w:rPr>
        <w:tab/>
        <w:t xml:space="preserve">Hazuda, D. J.; Xu, M.; Ngo, W.; Feng, M.; Hwang, C.; Grobler, J. A.; Lai, M.-T. </w:t>
      </w:r>
      <w:r w:rsidRPr="004100CF">
        <w:rPr>
          <w:rFonts w:ascii="Times New Roman" w:hAnsi="Times New Roman" w:cs="Times New Roman"/>
          <w:i/>
          <w:iCs/>
        </w:rPr>
        <w:t>Understanding the Resistance Profile of the HIV-1 NNRTI Doravirine in Combination With the Novel NRTTI MK-8591</w:t>
      </w:r>
      <w:r w:rsidRPr="004100CF">
        <w:rPr>
          <w:rFonts w:ascii="Times New Roman" w:hAnsi="Times New Roman" w:cs="Times New Roman"/>
        </w:rPr>
        <w:t>. https://www.natap.org/2018/IAC/IAC_48.htm (accessed 2026-05-24).</w:t>
      </w:r>
    </w:p>
    <w:p w14:paraId="445643D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(55)</w:t>
      </w:r>
      <w:r w:rsidRPr="004100CF">
        <w:rPr>
          <w:rFonts w:ascii="Times New Roman" w:hAnsi="Times New Roman" w:cs="Times New Roman"/>
        </w:rPr>
        <w:tab/>
        <w:t xml:space="preserve">Smith, S. J.; Pauly, G. T.; Akram, A.; Melody, K.; Ambrose, Z.; Schneider, J. P.; Hughes, S. H. Rilpivirine and Doravirine Have Complementary Efficacies Against NNRTI-Resistant HIV-1 Mutants. </w:t>
      </w:r>
      <w:r w:rsidRPr="004100CF">
        <w:rPr>
          <w:rFonts w:ascii="Times New Roman" w:hAnsi="Times New Roman" w:cs="Times New Roman"/>
          <w:i/>
          <w:iCs/>
        </w:rPr>
        <w:t>JAIDS Journal of Acquired Immune Deficiency Syndromes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72</w:t>
      </w:r>
      <w:r w:rsidRPr="004100CF">
        <w:rPr>
          <w:rFonts w:ascii="Times New Roman" w:hAnsi="Times New Roman" w:cs="Times New Roman"/>
        </w:rPr>
        <w:t xml:space="preserve"> (5), 485. https://doi.org/10.1097/QAI.0000000000001031.</w:t>
      </w:r>
    </w:p>
    <w:p w14:paraId="3C7653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(56)</w:t>
      </w:r>
      <w:r w:rsidRPr="004100CF">
        <w:rPr>
          <w:rFonts w:ascii="Times New Roman" w:hAnsi="Times New Roman" w:cs="Times New Roman"/>
        </w:rPr>
        <w:tab/>
        <w:t xml:space="preserve">Kellinger, M. W.; Johnson, K. A. Nucleotide-Dependent Conformational Change Governs Specificity and Analog Discrimination by HIV Reverse Transcriptase.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2010</w:t>
      </w:r>
      <w:r w:rsidRPr="004100CF">
        <w:rPr>
          <w:rFonts w:ascii="Times New Roman" w:hAnsi="Times New Roman" w:cs="Times New Roman"/>
        </w:rPr>
        <w:t xml:space="preserve">, </w:t>
      </w:r>
      <w:r w:rsidRPr="004100CF">
        <w:rPr>
          <w:rFonts w:ascii="Times New Roman" w:hAnsi="Times New Roman" w:cs="Times New Roman"/>
          <w:i/>
          <w:iCs/>
        </w:rPr>
        <w:t>107</w:t>
      </w:r>
      <w:r w:rsidRPr="004100CF">
        <w:rPr>
          <w:rFonts w:ascii="Times New Roman" w:hAnsi="Times New Roman" w:cs="Times New Roman"/>
        </w:rPr>
        <w:t xml:space="preserve"> (17), 7734–7739. https://doi.org/10.1073/pnas.0913946107.</w:t>
      </w:r>
    </w:p>
    <w:p w14:paraId="2272C88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(57)</w:t>
      </w:r>
      <w:r w:rsidRPr="004100CF">
        <w:rPr>
          <w:rFonts w:ascii="Times New Roman" w:hAnsi="Times New Roman" w:cs="Times New Roman"/>
        </w:rPr>
        <w:tab/>
        <w:t xml:space="preserve">Chachra, R.; Rizzo, R. C. Origins of Resistance Conferred by the R292K Neuraminidase Mutation via Molecular Dynamics and Free Energy Calculations. </w:t>
      </w:r>
      <w:r w:rsidRPr="004100CF">
        <w:rPr>
          <w:rFonts w:ascii="Times New Roman" w:hAnsi="Times New Roman" w:cs="Times New Roman"/>
          <w:i/>
          <w:iCs/>
        </w:rPr>
        <w:t>J. Chem. Theory Comput.</w:t>
      </w:r>
      <w:r w:rsidRPr="004100CF">
        <w:rPr>
          <w:rFonts w:ascii="Times New Roman" w:hAnsi="Times New Roman" w:cs="Times New Roman"/>
        </w:rPr>
        <w:t xml:space="preserve"> </w:t>
      </w:r>
      <w:r w:rsidRPr="004100CF">
        <w:rPr>
          <w:rFonts w:ascii="Times New Roman" w:hAnsi="Times New Roman" w:cs="Times New Roman"/>
          <w:b/>
          <w:bCs/>
        </w:rPr>
        <w:t>2008</w:t>
      </w:r>
      <w:r w:rsidRPr="004100CF">
        <w:rPr>
          <w:rFonts w:ascii="Times New Roman" w:hAnsi="Times New Roman" w:cs="Times New Roman"/>
        </w:rPr>
        <w:t xml:space="preserve">, </w:t>
      </w:r>
      <w:r w:rsidRPr="004100CF">
        <w:rPr>
          <w:rFonts w:ascii="Times New Roman" w:hAnsi="Times New Roman" w:cs="Times New Roman"/>
          <w:i/>
          <w:iCs/>
        </w:rPr>
        <w:t>4</w:t>
      </w:r>
      <w:r w:rsidRPr="004100CF">
        <w:rPr>
          <w:rFonts w:ascii="Times New Roman" w:hAnsi="Times New Roman" w:cs="Times New Roman"/>
        </w:rPr>
        <w:t xml:space="preserve"> (9), 1526–1540. https://doi.org/10.1021/ct800068v.</w:t>
      </w:r>
    </w:p>
    <w:p w14:paraId="28841E7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(58)</w:t>
      </w:r>
      <w:r w:rsidRPr="004100CF">
        <w:rPr>
          <w:rFonts w:ascii="Times New Roman" w:hAnsi="Times New Roman" w:cs="Times New Roman"/>
        </w:rPr>
        <w:tab/>
        <w:t xml:space="preserve">Ripoll, D. R.; Khavrutskii, I. V.; Chaudhury, S.; Liu, J.; Kuschner, R. A.; Wallqvist, A.; Reifman, J. Quantitative Predictions of Binding Free Energy Changes in Drug-Resistant Influenza Neuraminidase. </w:t>
      </w:r>
      <w:r w:rsidRPr="004100CF">
        <w:rPr>
          <w:rFonts w:ascii="Times New Roman" w:hAnsi="Times New Roman" w:cs="Times New Roman"/>
          <w:i/>
          <w:iCs/>
        </w:rPr>
        <w:t>PLOS Computational Biology</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(8), e1002665. https://doi.org/10.1371/journal.pcbi.1002665.</w:t>
      </w:r>
    </w:p>
    <w:p w14:paraId="6F90936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(59)</w:t>
      </w:r>
      <w:r w:rsidRPr="004100CF">
        <w:rPr>
          <w:rFonts w:ascii="Times New Roman" w:hAnsi="Times New Roman" w:cs="Times New Roman"/>
        </w:rPr>
        <w:tab/>
        <w:t xml:space="preserve">Havranek, B.; Demissie, R.; Lee, H.; Lan, S.; Zhang, H.; Sarafianos, S.; Ayitou, A. J.-L.; Islam, S. M. Discovery of Nirmatrelvir Resistance Mutations in SARS-CoV‑2 3CLpro: A Computational-Experimental Approach.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63</w:t>
      </w:r>
      <w:r w:rsidRPr="004100CF">
        <w:rPr>
          <w:rFonts w:ascii="Times New Roman" w:hAnsi="Times New Roman" w:cs="Times New Roman"/>
        </w:rPr>
        <w:t xml:space="preserve"> (22), 7180–7188. https://doi.org/10.1021/acs.jcim.3c01269.</w:t>
      </w:r>
    </w:p>
    <w:p w14:paraId="187341F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(60)</w:t>
      </w:r>
      <w:r w:rsidRPr="004100CF">
        <w:rPr>
          <w:rFonts w:ascii="Times New Roman" w:hAnsi="Times New Roman" w:cs="Times New Roman"/>
        </w:rPr>
        <w:tab/>
        <w:t xml:space="preserve">Cai, Y.; Schiffer, C. A. Decomposing the Energetic Impact of Drug Resistant Mutations in HIV-1 Protease on Binding DRV. </w:t>
      </w:r>
      <w:r w:rsidRPr="004100CF">
        <w:rPr>
          <w:rFonts w:ascii="Times New Roman" w:hAnsi="Times New Roman" w:cs="Times New Roman"/>
          <w:i/>
          <w:iCs/>
        </w:rPr>
        <w:t>J. Chem. Theory Comput.</w:t>
      </w:r>
      <w:r w:rsidRPr="004100CF">
        <w:rPr>
          <w:rFonts w:ascii="Times New Roman" w:hAnsi="Times New Roman" w:cs="Times New Roman"/>
        </w:rPr>
        <w:t xml:space="preserve"> </w:t>
      </w:r>
      <w:r w:rsidRPr="004100CF">
        <w:rPr>
          <w:rFonts w:ascii="Times New Roman" w:hAnsi="Times New Roman" w:cs="Times New Roman"/>
          <w:b/>
          <w:bCs/>
        </w:rPr>
        <w:t>2010</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(4), 1358–1368. https://doi.org/10.1021/ct9004678.</w:t>
      </w:r>
    </w:p>
    <w:p w14:paraId="18B66418"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(61)</w:t>
      </w:r>
      <w:r w:rsidRPr="004100CF">
        <w:rPr>
          <w:rFonts w:ascii="Times New Roman" w:hAnsi="Times New Roman" w:cs="Times New Roman"/>
        </w:rPr>
        <w:tab/>
        <w:t xml:space="preserve">Bastys, T.; Gapsys, V.; Doncheva, N. T.; Kaiser, R.; de Groot, B. L.; Kalinina, O. V. Consistent Prediction of Mutation Effect on Drug Binding in HIV‑1 Protease Using Alchemical Calculations. </w:t>
      </w:r>
      <w:r w:rsidRPr="004100CF">
        <w:rPr>
          <w:rFonts w:ascii="Times New Roman" w:hAnsi="Times New Roman" w:cs="Times New Roman"/>
          <w:i/>
          <w:iCs/>
        </w:rPr>
        <w:t>J. Chem. Theory Comput.</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14</w:t>
      </w:r>
      <w:r w:rsidRPr="004100CF">
        <w:rPr>
          <w:rFonts w:ascii="Times New Roman" w:hAnsi="Times New Roman" w:cs="Times New Roman"/>
        </w:rPr>
        <w:t xml:space="preserve"> (7), 3397–3408. https://doi.org/10.1021/acs.jctc.7b01109.</w:t>
      </w:r>
    </w:p>
    <w:p w14:paraId="282AAB8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(62)</w:t>
      </w:r>
      <w:r w:rsidRPr="004100CF">
        <w:rPr>
          <w:rFonts w:ascii="Times New Roman" w:hAnsi="Times New Roman" w:cs="Times New Roman"/>
        </w:rPr>
        <w:tab/>
        <w:t xml:space="preserve">Bastys, T.; Gapsys, V.; Walter, H.; Heger, E.; Doncheva, N. T.; Kaiser, R.; de Groot, B. L.; Kalinina, O. V. Non-Active Site Mutants of HIV-1 Protease Influence Resistance and Sensitisation towards Protease Inhibitors. </w:t>
      </w:r>
      <w:r w:rsidRPr="004100CF">
        <w:rPr>
          <w:rFonts w:ascii="Times New Roman" w:hAnsi="Times New Roman" w:cs="Times New Roman"/>
          <w:i/>
          <w:iCs/>
        </w:rPr>
        <w:t>Retrovirology</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17</w:t>
      </w:r>
      <w:r w:rsidRPr="004100CF">
        <w:rPr>
          <w:rFonts w:ascii="Times New Roman" w:hAnsi="Times New Roman" w:cs="Times New Roman"/>
        </w:rPr>
        <w:t xml:space="preserve"> (1), 13. https://doi.org/10.1186/s12977-020-00520-6.</w:t>
      </w:r>
    </w:p>
    <w:p w14:paraId="08027C5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(63)</w:t>
      </w:r>
      <w:r w:rsidRPr="004100CF">
        <w:rPr>
          <w:rFonts w:ascii="Times New Roman" w:hAnsi="Times New Roman" w:cs="Times New Roman"/>
        </w:rPr>
        <w:tab/>
        <w:t xml:space="preserve">Sun, Q.; Levy, R. M.; Kirby, K. A.; Wang, Z.; Sarafianos, S. G.; Deng, N. Molecular Dynamics Free Energy Simulations Reveal the Mechanism for the Antiviral Resistance of the M66I HIV-1 Capsid Mutation. </w:t>
      </w:r>
      <w:r w:rsidRPr="004100CF">
        <w:rPr>
          <w:rFonts w:ascii="Times New Roman" w:hAnsi="Times New Roman" w:cs="Times New Roman"/>
          <w:i/>
          <w:iCs/>
        </w:rPr>
        <w:t>Viruses</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(5), 920. https://doi.org/10.3390/v13050920.</w:t>
      </w:r>
    </w:p>
    <w:p w14:paraId="6267B3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(64)</w:t>
      </w:r>
      <w:r w:rsidRPr="004100CF">
        <w:rPr>
          <w:rFonts w:ascii="Times New Roman" w:hAnsi="Times New Roman" w:cs="Times New Roman"/>
        </w:rPr>
        <w:tab/>
        <w:t xml:space="preserve">Li, M.; Oliveira Passos, D.; Shan, Z.; Smith, S. J.; Sun, Q.; Biswas, A.; Choudhuri, I.; Strutzenberg, T. S.; Haldane, A.; Deng, N.; Li, Z.; Zhao, X. Z.; Briganti, L.; Kvaratskhelia, M.; Burke, T. R.; Levy, R. M.; Hughes, S. H.; Craigie, R.; Lyumkis, D. Mechanisms of HIV-1 Integrase Resistance to Dolutegravir and Potent Inhibition of Drug-Resistant Variants. </w:t>
      </w:r>
      <w:r w:rsidRPr="004100CF">
        <w:rPr>
          <w:rFonts w:ascii="Times New Roman" w:hAnsi="Times New Roman" w:cs="Times New Roman"/>
          <w:i/>
          <w:iCs/>
        </w:rPr>
        <w:t>Science Advances</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9</w:t>
      </w:r>
      <w:r w:rsidRPr="004100CF">
        <w:rPr>
          <w:rFonts w:ascii="Times New Roman" w:hAnsi="Times New Roman" w:cs="Times New Roman"/>
        </w:rPr>
        <w:t xml:space="preserve"> (29), eadg5953. https://doi.org/10.1126/sciadv.adg5953.</w:t>
      </w:r>
    </w:p>
    <w:p w14:paraId="3F62BB3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(65)</w:t>
      </w:r>
      <w:r w:rsidRPr="004100CF">
        <w:rPr>
          <w:rFonts w:ascii="Times New Roman" w:hAnsi="Times New Roman" w:cs="Times New Roman"/>
        </w:rPr>
        <w:tab/>
        <w:t xml:space="preserve">Hauser, K.; Negron, C.; Albanese, S. K.; Ray, S.; Steinbrecher, T.; Abel, R.; Chodera, J. D.; Wang, L. Predicting Resistance of Clinical Abl Mutations to Targeted Kinase Inhibitors </w:t>
      </w:r>
      <w:r w:rsidRPr="004100CF">
        <w:rPr>
          <w:rFonts w:ascii="Times New Roman" w:hAnsi="Times New Roman" w:cs="Times New Roman"/>
        </w:rPr>
        <w:lastRenderedPageBreak/>
        <w:t xml:space="preserve">Using Alchemical Free-Energy Calculations. </w:t>
      </w:r>
      <w:r w:rsidRPr="004100CF">
        <w:rPr>
          <w:rFonts w:ascii="Times New Roman" w:hAnsi="Times New Roman" w:cs="Times New Roman"/>
          <w:i/>
          <w:iCs/>
        </w:rPr>
        <w:t>Commun Biol</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w:t>
      </w:r>
      <w:r w:rsidRPr="004100CF">
        <w:rPr>
          <w:rFonts w:ascii="Times New Roman" w:hAnsi="Times New Roman" w:cs="Times New Roman"/>
        </w:rPr>
        <w:t xml:space="preserve"> (1), 70. https://doi.org/10.1038/s42003-018-0075-x.</w:t>
      </w:r>
    </w:p>
    <w:p w14:paraId="49B43E3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(66)</w:t>
      </w:r>
      <w:r w:rsidRPr="004100CF">
        <w:rPr>
          <w:rFonts w:ascii="Times New Roman" w:hAnsi="Times New Roman" w:cs="Times New Roman"/>
        </w:rPr>
        <w:tab/>
        <w:t xml:space="preserve">Nagarajan, A.; Amberg-Johnson, K.; Paull, E.; Huang, K.; Ghanakota, P.; Chandrasinghe, A.; Chief Elk, J.; Sampson, J. M.; Wang, L.; Abel, R.; Albanese, S. K. Predicting Resistance to Small Molecule Kinase Inhibitors.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65</w:t>
      </w:r>
      <w:r w:rsidRPr="004100CF">
        <w:rPr>
          <w:rFonts w:ascii="Times New Roman" w:hAnsi="Times New Roman" w:cs="Times New Roman"/>
        </w:rPr>
        <w:t xml:space="preserve"> (5), 2543–2557. https://doi.org/10.1021/acs.jcim.4c02313.</w:t>
      </w:r>
    </w:p>
    <w:p w14:paraId="22C4722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(67)</w:t>
      </w:r>
      <w:r w:rsidRPr="004100CF">
        <w:rPr>
          <w:rFonts w:ascii="Times New Roman" w:hAnsi="Times New Roman" w:cs="Times New Roman"/>
        </w:rPr>
        <w:tab/>
        <w:t xml:space="preserve">Wang, L.; Wu, Y.; Deng, Y.; Kim, B.; Pierce, L.; Krilov, G.; Lupyan, D.; Robinson, S.; Dahlgren, M. K.; Greenwood, J.; Romero, D. L.; Masse, C.; Knight, J. L.; Steinbrecher, T.; Beuming,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137</w:t>
      </w:r>
      <w:r w:rsidRPr="004100CF">
        <w:rPr>
          <w:rFonts w:ascii="Times New Roman" w:hAnsi="Times New Roman" w:cs="Times New Roman"/>
        </w:rPr>
        <w:t xml:space="preserve"> (7), 2695–2703. https://doi.org/10.1021/ja512751q.</w:t>
      </w:r>
    </w:p>
    <w:p w14:paraId="655CA47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(68)</w:t>
      </w:r>
      <w:r w:rsidRPr="004100CF">
        <w:rPr>
          <w:rFonts w:ascii="Times New Roman" w:hAnsi="Times New Roman" w:cs="Times New Roman"/>
        </w:rPr>
        <w:tab/>
        <w:t xml:space="preserve">Schindler, C. E. M.; Baumann, H.; Blum, A.; Böse, D.; Buchstaller, H.-P.; Burgdorf, L.; Cappel, D.; Chekler, E.; Czodrowski, P.; Dorsch, D.; Eguida, M. K. I.; Follows, B.; Fuchß, T.; Grädler, U.; Gunera, J.; Johnson, T.; Jorand Lebrun, C.; Karra, S.; Klein, M.; Knehans, T.; Koetzner, L.; Krier, M.; Leiendecker, M.; Leuthner, B.; Li, L.; Mochalkin, I.; Musil, D.; Neagu, C.; Rippmann, F.; Schiemann, K.; Schulz, R.; Steinbrecher, T.; Tanzer, E.-M.; Unzue Lopez, A.; Viacava Follis, A.; Wegener, A.; Kuhn, D. Large-Scale Assessment of Binding Free Energy Calculations in Active Drug Discovery Projects.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60</w:t>
      </w:r>
      <w:r w:rsidRPr="004100CF">
        <w:rPr>
          <w:rFonts w:ascii="Times New Roman" w:hAnsi="Times New Roman" w:cs="Times New Roman"/>
        </w:rPr>
        <w:t xml:space="preserve"> (11), 5457–5474. https://doi.org/10.1021/acs.jcim.0c00900.</w:t>
      </w:r>
    </w:p>
    <w:p w14:paraId="2E1DBEE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(69)</w:t>
      </w:r>
      <w:r w:rsidRPr="004100CF">
        <w:rPr>
          <w:rFonts w:ascii="Times New Roman" w:hAnsi="Times New Roman" w:cs="Times New Roman"/>
        </w:rPr>
        <w:tab/>
        <w:t xml:space="preserve">van der Kamp, M. W.; Mulholland, A. J. Combined Quantum Mechanics/Molecular Mechanics (QM/MM) Methods in Computational Enzymology. </w:t>
      </w:r>
      <w:r w:rsidRPr="004100CF">
        <w:rPr>
          <w:rFonts w:ascii="Times New Roman" w:hAnsi="Times New Roman" w:cs="Times New Roman"/>
          <w:i/>
          <w:iCs/>
        </w:rPr>
        <w:t>Biochemistry</w:t>
      </w:r>
      <w:r w:rsidRPr="004100CF">
        <w:rPr>
          <w:rFonts w:ascii="Times New Roman" w:hAnsi="Times New Roman" w:cs="Times New Roman"/>
        </w:rPr>
        <w:t xml:space="preserve"> </w:t>
      </w:r>
      <w:r w:rsidRPr="004100CF">
        <w:rPr>
          <w:rFonts w:ascii="Times New Roman" w:hAnsi="Times New Roman" w:cs="Times New Roman"/>
          <w:b/>
          <w:bCs/>
        </w:rPr>
        <w:t>2013</w:t>
      </w:r>
      <w:r w:rsidRPr="004100CF">
        <w:rPr>
          <w:rFonts w:ascii="Times New Roman" w:hAnsi="Times New Roman" w:cs="Times New Roman"/>
        </w:rPr>
        <w:t xml:space="preserve">, </w:t>
      </w:r>
      <w:r w:rsidRPr="004100CF">
        <w:rPr>
          <w:rFonts w:ascii="Times New Roman" w:hAnsi="Times New Roman" w:cs="Times New Roman"/>
          <w:i/>
          <w:iCs/>
        </w:rPr>
        <w:t>52</w:t>
      </w:r>
      <w:r w:rsidRPr="004100CF">
        <w:rPr>
          <w:rFonts w:ascii="Times New Roman" w:hAnsi="Times New Roman" w:cs="Times New Roman"/>
        </w:rPr>
        <w:t xml:space="preserve"> (16), 2708–2728. https://doi.org/10.1021/bi400215w.</w:t>
      </w:r>
    </w:p>
    <w:p w14:paraId="46313F5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(70)</w:t>
      </w:r>
      <w:r w:rsidRPr="004100CF">
        <w:rPr>
          <w:rFonts w:ascii="Times New Roman" w:hAnsi="Times New Roman" w:cs="Times New Roman"/>
        </w:rPr>
        <w:tab/>
        <w:t xml:space="preserve">Taguchi, M.; Oyama, R.; Kaneso, M.; Hayashi, S. Hybrid QM/MM Free-Energy Evaluation of Drug-Resistant Mutational Effect on the Binding of an Inhibitor Indinavir to HIV‑1 Protease.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2022</w:t>
      </w:r>
      <w:r w:rsidRPr="004100CF">
        <w:rPr>
          <w:rFonts w:ascii="Times New Roman" w:hAnsi="Times New Roman" w:cs="Times New Roman"/>
        </w:rPr>
        <w:t xml:space="preserve">, </w:t>
      </w:r>
      <w:r w:rsidRPr="004100CF">
        <w:rPr>
          <w:rFonts w:ascii="Times New Roman" w:hAnsi="Times New Roman" w:cs="Times New Roman"/>
          <w:i/>
          <w:iCs/>
        </w:rPr>
        <w:t>62</w:t>
      </w:r>
      <w:r w:rsidRPr="004100CF">
        <w:rPr>
          <w:rFonts w:ascii="Times New Roman" w:hAnsi="Times New Roman" w:cs="Times New Roman"/>
        </w:rPr>
        <w:t xml:space="preserve"> (5), 1328–1344. https://doi.org/10.1021/acs.jcim.1c01193.</w:t>
      </w:r>
    </w:p>
    <w:p w14:paraId="6A57D8E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(71)</w:t>
      </w:r>
      <w:r w:rsidRPr="004100CF">
        <w:rPr>
          <w:rFonts w:ascii="Times New Roman" w:hAnsi="Times New Roman" w:cs="Times New Roman"/>
        </w:rPr>
        <w:tab/>
        <w:t xml:space="preserve">Plattner, N.; Noé, F. Protein Conformational Plasticity and Complex Ligand-Binding Kinetics Explored by Atomistic Simulations and Markov Models. </w:t>
      </w:r>
      <w:r w:rsidRPr="004100CF">
        <w:rPr>
          <w:rFonts w:ascii="Times New Roman" w:hAnsi="Times New Roman" w:cs="Times New Roman"/>
          <w:i/>
          <w:iCs/>
        </w:rPr>
        <w:t>Nat Commun</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(1), 7653. https://doi.org/10.1038/ncomms8653.</w:t>
      </w:r>
    </w:p>
    <w:p w14:paraId="4727F54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(72)</w:t>
      </w:r>
      <w:r w:rsidRPr="004100CF">
        <w:rPr>
          <w:rFonts w:ascii="Times New Roman" w:hAnsi="Times New Roman" w:cs="Times New Roman"/>
        </w:rPr>
        <w:tab/>
        <w:t xml:space="preserve">Tiwary, P.; Limongelli, V.; Salvalaglio, M.; Parrinello, M. Kinetics of Protein–Ligand Unbinding: Predicting Pathways, Rates, and Rate-Limiting Steps.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112</w:t>
      </w:r>
      <w:r w:rsidRPr="004100CF">
        <w:rPr>
          <w:rFonts w:ascii="Times New Roman" w:hAnsi="Times New Roman" w:cs="Times New Roman"/>
        </w:rPr>
        <w:t xml:space="preserve"> (5), E386–E391. https://doi.org/10.1073/pnas.1424461112.</w:t>
      </w:r>
    </w:p>
    <w:p w14:paraId="62F9477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(73)</w:t>
      </w:r>
      <w:r w:rsidRPr="004100CF">
        <w:rPr>
          <w:rFonts w:ascii="Times New Roman" w:hAnsi="Times New Roman" w:cs="Times New Roman"/>
        </w:rPr>
        <w:tab/>
        <w:t xml:space="preserve">Jagger, B. R.; Ojha, A. A.; Amaro, R. E. Predicting Ligand Binding Kinetics Using a Markovian Milestoning with Voronoi Tessellations Multiscale Approach. </w:t>
      </w:r>
      <w:r w:rsidRPr="004100CF">
        <w:rPr>
          <w:rFonts w:ascii="Times New Roman" w:hAnsi="Times New Roman" w:cs="Times New Roman"/>
          <w:i/>
          <w:iCs/>
        </w:rPr>
        <w:t>J. Chem. Theory Comput.</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16</w:t>
      </w:r>
      <w:r w:rsidRPr="004100CF">
        <w:rPr>
          <w:rFonts w:ascii="Times New Roman" w:hAnsi="Times New Roman" w:cs="Times New Roman"/>
        </w:rPr>
        <w:t xml:space="preserve"> (8), 5348–5357. https://doi.org/10.1021/acs.jctc.0c00495.</w:t>
      </w:r>
    </w:p>
    <w:p w14:paraId="10383DB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(74)</w:t>
      </w:r>
      <w:r w:rsidRPr="004100CF">
        <w:rPr>
          <w:rFonts w:ascii="Times New Roman" w:hAnsi="Times New Roman" w:cs="Times New Roman"/>
        </w:rPr>
        <w:tab/>
        <w:t>Corso, G.; Stärk, H.; Jing, B.; Barzilay, R.; Jaakkola, T. DiffDock: Diffusion Steps, Twists, and Turns for Molecular Docking. arXiv February 11, 2023. https://doi.org/10.48550/arXiv.2210.01776.</w:t>
      </w:r>
    </w:p>
    <w:p w14:paraId="58A4248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(75)</w:t>
      </w:r>
      <w:r w:rsidRPr="004100CF">
        <w:rPr>
          <w:rFonts w:ascii="Times New Roman" w:hAnsi="Times New Roman" w:cs="Times New Roman"/>
        </w:rPr>
        <w:tab/>
        <w:t>Wohlwend, J.; Corso, G.; Passaro, S.; Getz, N.; Reveiz, M.; Leidal, K.; Swiderski, W.; Atkinson, L.; Portnoi, T.; Chinn, I.; Silterra, J.; Jaakkola, T.; Barzilay, R. Boltz-1 Democratizing Biomolecular Interaction Modeling. bioRxiv May 6, 2025, p 2024.11.19.624167. https://doi.org/10.1101/2024.11.19.624167.</w:t>
      </w:r>
    </w:p>
    <w:p w14:paraId="2C1AAF88"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(76)</w:t>
      </w:r>
      <w:r w:rsidRPr="004100CF">
        <w:rPr>
          <w:rFonts w:ascii="Times New Roman" w:hAnsi="Times New Roman" w:cs="Times New Roman"/>
        </w:rPr>
        <w:tab/>
        <w:t>Passaro, S.; Corso, G.; Wohlwend, J.; Reveiz, M.; Thaler, S.; Somnath, V. R.; Getz, N.; Portnoi, T.; Roy, J.; Stark, H.; Kwabi-Addo, D.; Beaini, D.; Jaakkola, T.; Barzilay, R. Boltz-2: Towards Accurate and Efficient Binding Affinity Prediction. bioRxiv June 18, 2025, p 2025.06.14.659707. https://doi.org/10.1101/2025.06.14.659707.</w:t>
      </w:r>
    </w:p>
    <w:p w14:paraId="58013FE1" w14:textId="16CCAF61" w:rsidR="00574C6E" w:rsidRPr="004100CF" w:rsidRDefault="00574C6E" w:rsidP="00793866">
      <w:pPr>
        <w:pStyle w:val="Bibliography"/>
        <w:rPr>
          <w:rFonts w:ascii="Times New Roman" w:hAnsi="Times New Roman" w:cs="Times New Roman"/>
        </w:rPr>
      </w:pPr>
      <w:r w:rsidRPr="004100CF">
        <w:rPr>
          <w:rFonts w:ascii="Times New Roman" w:hAnsi="Times New Roman" w:cs="Times New Roman"/>
        </w:rPr>
        <w:fldChar w:fldCharType="end"/>
      </w:r>
    </w:p>
    <w:sectPr w:rsidR="00574C6E" w:rsidRPr="004100C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Robert W. Shafer" w:date="2026-08-24T14:41:00Z" w:initials="RS">
    <w:p w14:paraId="7BE31C40" w14:textId="77777777" w:rsidR="00FD121C" w:rsidRDefault="00FD121C" w:rsidP="00FD121C">
      <w:r>
        <w:rPr>
          <w:rStyle w:val="CommentReference"/>
        </w:rPr>
        <w:annotationRef/>
      </w:r>
      <w:r>
        <w:rPr>
          <w:sz w:val="20"/>
          <w:szCs w:val="18"/>
        </w:rPr>
        <w:t>The part about Tyr181 seems unclear.</w:t>
      </w:r>
    </w:p>
  </w:comment>
  <w:comment w:id="1" w:author="Robert W. Shafer" w:date="2026-08-24T14:44:00Z" w:initials="RS">
    <w:p w14:paraId="2A9DF87D" w14:textId="77777777" w:rsidR="00FD121C" w:rsidRDefault="00FD121C" w:rsidP="00FD121C">
      <w:r>
        <w:rPr>
          <w:rStyle w:val="CommentReference"/>
        </w:rPr>
        <w:annotationRef/>
      </w:r>
      <w:r>
        <w:rPr>
          <w:sz w:val="20"/>
          <w:szCs w:val="18"/>
        </w:rPr>
        <w:t>It will be easier for you and I to discuss this rather than (or before) I check these papers.</w:t>
      </w:r>
    </w:p>
  </w:comment>
  <w:comment w:id="2" w:author="Robert W. Shafer" w:date="2026-08-24T14:46:00Z" w:initials="RS">
    <w:p w14:paraId="0137A0BC" w14:textId="77777777" w:rsidR="00096ED7" w:rsidRDefault="00096ED7" w:rsidP="00096ED7">
      <w:r>
        <w:rPr>
          <w:rStyle w:val="CommentReference"/>
        </w:rPr>
        <w:annotationRef/>
      </w:r>
      <w:r>
        <w:rPr>
          <w:sz w:val="20"/>
          <w:szCs w:val="18"/>
        </w:rPr>
        <w:t>We should make sure that all likely reviewers would understand these 2 calculations.</w:t>
      </w:r>
    </w:p>
  </w:comment>
  <w:comment w:id="4" w:author="Robert W. Shafer" w:date="2026-08-24T15:29:00Z" w:initials="RS">
    <w:p w14:paraId="792365A0" w14:textId="77777777" w:rsidR="00AF4BCB" w:rsidRDefault="00AF4BCB" w:rsidP="00AF4BCB">
      <w:r>
        <w:rPr>
          <w:rStyle w:val="CommentReference"/>
        </w:rPr>
        <w:annotationRef/>
      </w:r>
      <w:r>
        <w:rPr>
          <w:sz w:val="20"/>
          <w:szCs w:val="18"/>
        </w:rPr>
        <w:t>What about A98G+F227C?</w:t>
      </w:r>
    </w:p>
  </w:comment>
  <w:comment w:id="5" w:author="Robert W. Shafer" w:date="2026-08-24T15:24:00Z" w:initials="RS">
    <w:p w14:paraId="081D3DD1" w14:textId="77777777" w:rsidR="005B7484" w:rsidRDefault="005B7484" w:rsidP="005B7484">
      <w:r>
        <w:rPr>
          <w:rStyle w:val="CommentReference"/>
        </w:rPr>
        <w:annotationRef/>
      </w:r>
      <w:r>
        <w:rPr>
          <w:sz w:val="20"/>
          <w:szCs w:val="18"/>
        </w:rPr>
        <w:t>Do these need to be expanded in the footnote?</w:t>
      </w:r>
    </w:p>
    <w:p w14:paraId="401831E0" w14:textId="77777777" w:rsidR="005B7484" w:rsidRDefault="005B7484" w:rsidP="005B748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E31C40" w15:done="0"/>
  <w15:commentEx w15:paraId="2A9DF87D" w15:done="0"/>
  <w15:commentEx w15:paraId="0137A0BC" w15:done="0"/>
  <w15:commentEx w15:paraId="792365A0" w15:done="0"/>
  <w15:commentEx w15:paraId="401831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7B8A175" w16cex:dateUtc="2026-08-24T21:41:00Z"/>
  <w16cex:commentExtensible w16cex:durableId="7D8F1C56" w16cex:dateUtc="2026-08-24T21:44:00Z"/>
  <w16cex:commentExtensible w16cex:durableId="648B7E8A" w16cex:dateUtc="2026-08-24T21:46:00Z"/>
  <w16cex:commentExtensible w16cex:durableId="2732946D" w16cex:dateUtc="2026-08-24T22:29:00Z"/>
  <w16cex:commentExtensible w16cex:durableId="4BEB92BB" w16cex:dateUtc="2026-08-24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E31C40" w16cid:durableId="37B8A175"/>
  <w16cid:commentId w16cid:paraId="2A9DF87D" w16cid:durableId="7D8F1C56"/>
  <w16cid:commentId w16cid:paraId="0137A0BC" w16cid:durableId="648B7E8A"/>
  <w16cid:commentId w16cid:paraId="792365A0" w16cid:durableId="2732946D"/>
  <w16cid:commentId w16cid:paraId="401831E0" w16cid:durableId="4BEB92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bert W. Shafer">
    <w15:presenceInfo w15:providerId="AD" w15:userId="S::rshafer@stanford.edu::caa380a3-1bad-4c28-a71e-425b426e364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62F9"/>
    <w:rsid w:val="000073C6"/>
    <w:rsid w:val="000412F0"/>
    <w:rsid w:val="0004553D"/>
    <w:rsid w:val="0006771E"/>
    <w:rsid w:val="000745F0"/>
    <w:rsid w:val="00096ED7"/>
    <w:rsid w:val="000A3C07"/>
    <w:rsid w:val="000B5278"/>
    <w:rsid w:val="000C3A23"/>
    <w:rsid w:val="000C66C6"/>
    <w:rsid w:val="000E15E2"/>
    <w:rsid w:val="000E2996"/>
    <w:rsid w:val="00100DCA"/>
    <w:rsid w:val="00106118"/>
    <w:rsid w:val="001521FB"/>
    <w:rsid w:val="001B25CB"/>
    <w:rsid w:val="001C4CE6"/>
    <w:rsid w:val="001D654C"/>
    <w:rsid w:val="00200876"/>
    <w:rsid w:val="00230627"/>
    <w:rsid w:val="00247D42"/>
    <w:rsid w:val="0025147D"/>
    <w:rsid w:val="002975D3"/>
    <w:rsid w:val="002C6515"/>
    <w:rsid w:val="002E236A"/>
    <w:rsid w:val="00327F04"/>
    <w:rsid w:val="00376843"/>
    <w:rsid w:val="003874B7"/>
    <w:rsid w:val="003D726F"/>
    <w:rsid w:val="003D7E51"/>
    <w:rsid w:val="003E5220"/>
    <w:rsid w:val="003F5FB4"/>
    <w:rsid w:val="004100CF"/>
    <w:rsid w:val="00423928"/>
    <w:rsid w:val="004260F0"/>
    <w:rsid w:val="00426549"/>
    <w:rsid w:val="0045260D"/>
    <w:rsid w:val="0047062D"/>
    <w:rsid w:val="004770A2"/>
    <w:rsid w:val="004917E3"/>
    <w:rsid w:val="00492042"/>
    <w:rsid w:val="004B4FAC"/>
    <w:rsid w:val="005125AB"/>
    <w:rsid w:val="00523326"/>
    <w:rsid w:val="00567977"/>
    <w:rsid w:val="00574C6E"/>
    <w:rsid w:val="005B7484"/>
    <w:rsid w:val="005F2C5F"/>
    <w:rsid w:val="005F4A15"/>
    <w:rsid w:val="00627654"/>
    <w:rsid w:val="00672978"/>
    <w:rsid w:val="00674E9E"/>
    <w:rsid w:val="006F0935"/>
    <w:rsid w:val="006F69F6"/>
    <w:rsid w:val="00703302"/>
    <w:rsid w:val="00714E97"/>
    <w:rsid w:val="00717134"/>
    <w:rsid w:val="00725DDC"/>
    <w:rsid w:val="007842CF"/>
    <w:rsid w:val="00785447"/>
    <w:rsid w:val="00793866"/>
    <w:rsid w:val="007B5479"/>
    <w:rsid w:val="007C27D8"/>
    <w:rsid w:val="007D7A4D"/>
    <w:rsid w:val="007E05DC"/>
    <w:rsid w:val="00831C83"/>
    <w:rsid w:val="008437F2"/>
    <w:rsid w:val="00851C44"/>
    <w:rsid w:val="0087658B"/>
    <w:rsid w:val="00880E04"/>
    <w:rsid w:val="00883619"/>
    <w:rsid w:val="00896543"/>
    <w:rsid w:val="008B08D7"/>
    <w:rsid w:val="008D0E12"/>
    <w:rsid w:val="00904E1B"/>
    <w:rsid w:val="00943376"/>
    <w:rsid w:val="0095348C"/>
    <w:rsid w:val="009B49B5"/>
    <w:rsid w:val="009D30A5"/>
    <w:rsid w:val="009D3750"/>
    <w:rsid w:val="00A56C40"/>
    <w:rsid w:val="00A9487C"/>
    <w:rsid w:val="00AB074A"/>
    <w:rsid w:val="00AB26F7"/>
    <w:rsid w:val="00AC54E3"/>
    <w:rsid w:val="00AC6E17"/>
    <w:rsid w:val="00AD1C7A"/>
    <w:rsid w:val="00AF24CC"/>
    <w:rsid w:val="00AF4BCB"/>
    <w:rsid w:val="00B06E69"/>
    <w:rsid w:val="00B3601C"/>
    <w:rsid w:val="00B62678"/>
    <w:rsid w:val="00B813C0"/>
    <w:rsid w:val="00B96F1D"/>
    <w:rsid w:val="00B97C82"/>
    <w:rsid w:val="00BA0839"/>
    <w:rsid w:val="00BD699E"/>
    <w:rsid w:val="00BE1E8F"/>
    <w:rsid w:val="00C06CDC"/>
    <w:rsid w:val="00C13FA8"/>
    <w:rsid w:val="00C67814"/>
    <w:rsid w:val="00C96A03"/>
    <w:rsid w:val="00CA031B"/>
    <w:rsid w:val="00CB56D2"/>
    <w:rsid w:val="00CC257C"/>
    <w:rsid w:val="00CD7535"/>
    <w:rsid w:val="00D10CD4"/>
    <w:rsid w:val="00D51091"/>
    <w:rsid w:val="00D57381"/>
    <w:rsid w:val="00D620D9"/>
    <w:rsid w:val="00DA2A0D"/>
    <w:rsid w:val="00DB01C0"/>
    <w:rsid w:val="00DB0CDA"/>
    <w:rsid w:val="00DD61CC"/>
    <w:rsid w:val="00DE20DB"/>
    <w:rsid w:val="00DE40F6"/>
    <w:rsid w:val="00E00FF0"/>
    <w:rsid w:val="00E032F1"/>
    <w:rsid w:val="00E366D3"/>
    <w:rsid w:val="00E4582F"/>
    <w:rsid w:val="00E50017"/>
    <w:rsid w:val="00E62ECA"/>
    <w:rsid w:val="00ED7148"/>
    <w:rsid w:val="00EF12BD"/>
    <w:rsid w:val="00F21F97"/>
    <w:rsid w:val="00F775DD"/>
    <w:rsid w:val="00F77785"/>
    <w:rsid w:val="00F84272"/>
    <w:rsid w:val="00F84BC2"/>
    <w:rsid w:val="00F908FC"/>
    <w:rsid w:val="00FD121C"/>
    <w:rsid w:val="00FF6C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912"/>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935"/>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eastAsia="Times New Roman" w:hAnsi="Times New Roman" w:cs="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 w:type="character" w:styleId="CommentReference">
    <w:name w:val="annotation reference"/>
    <w:basedOn w:val="DefaultParagraphFont"/>
    <w:uiPriority w:val="99"/>
    <w:semiHidden/>
    <w:unhideWhenUsed/>
    <w:rsid w:val="00FD121C"/>
    <w:rPr>
      <w:sz w:val="16"/>
      <w:szCs w:val="16"/>
    </w:rPr>
  </w:style>
  <w:style w:type="paragraph" w:styleId="CommentText">
    <w:name w:val="annotation text"/>
    <w:basedOn w:val="Normal"/>
    <w:link w:val="CommentTextChar"/>
    <w:uiPriority w:val="99"/>
    <w:semiHidden/>
    <w:unhideWhenUsed/>
    <w:rsid w:val="00FD121C"/>
    <w:rPr>
      <w:sz w:val="20"/>
      <w:szCs w:val="18"/>
    </w:rPr>
  </w:style>
  <w:style w:type="character" w:customStyle="1" w:styleId="CommentTextChar">
    <w:name w:val="Comment Text Char"/>
    <w:basedOn w:val="DefaultParagraphFont"/>
    <w:link w:val="CommentText"/>
    <w:uiPriority w:val="99"/>
    <w:semiHidden/>
    <w:rsid w:val="00FD121C"/>
    <w:rPr>
      <w:sz w:val="20"/>
      <w:szCs w:val="18"/>
    </w:rPr>
  </w:style>
  <w:style w:type="paragraph" w:styleId="CommentSubject">
    <w:name w:val="annotation subject"/>
    <w:basedOn w:val="CommentText"/>
    <w:next w:val="CommentText"/>
    <w:link w:val="CommentSubjectChar"/>
    <w:uiPriority w:val="99"/>
    <w:semiHidden/>
    <w:unhideWhenUsed/>
    <w:rsid w:val="00FD121C"/>
    <w:rPr>
      <w:b/>
      <w:bCs/>
    </w:rPr>
  </w:style>
  <w:style w:type="character" w:customStyle="1" w:styleId="CommentSubjectChar">
    <w:name w:val="Comment Subject Char"/>
    <w:basedOn w:val="CommentTextChar"/>
    <w:link w:val="CommentSubject"/>
    <w:uiPriority w:val="99"/>
    <w:semiHidden/>
    <w:rsid w:val="00FD121C"/>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2.em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hivdb.stanford.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jp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pubchem.ncbi.nlm.nih.gov/compound/Doravirine" TargetMode="External"/><Relationship Id="rId4" Type="http://schemas.openxmlformats.org/officeDocument/2006/relationships/webSettings" Target="webSettings.xml"/><Relationship Id="rId9" Type="http://schemas.openxmlformats.org/officeDocument/2006/relationships/hyperlink" Target="https://www.rcsb.org/structure/4NC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18</Pages>
  <Words>42334</Words>
  <Characters>241306</Characters>
  <Application>Microsoft Office Word</Application>
  <DocSecurity>0</DocSecurity>
  <Lines>2010</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6</cp:revision>
  <dcterms:created xsi:type="dcterms:W3CDTF">2026-08-20T20:41:00Z</dcterms:created>
  <dcterms:modified xsi:type="dcterms:W3CDTF">2026-08-25T22:28:00Z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id="sGQf21Pk"/&gt;&lt;style id="http://www.zotero.org/styles/american-chemical-society" hasBibliography="1" bibliographyStyleHasBeenSet="1"/&gt;&lt;prefs&gt;&lt;pref name="fieldType" value="Field"/&gt;&lt;/prefs&gt;&lt;/data&gt;</vt:lpwstr>
  </property>
</Properties>
</file>