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7F4AAE" w14:textId="77777777" w:rsidR="00640EF9" w:rsidRPr="00666531" w:rsidRDefault="00000000" w:rsidP="00666531">
      <w:pPr>
        <w:spacing w:after="40"/>
        <w:rPr>
          <w:rFonts w:ascii="Times New Roman" w:hAnsi="Times New Roman" w:cs="Times New Roman"/>
          <w:color w:val="000000" w:themeColor="text1"/>
        </w:rPr>
      </w:pPr>
      <w:r w:rsidRPr="00666531">
        <w:rPr>
          <w:rFonts w:ascii="Times New Roman" w:hAnsi="Times New Roman" w:cs="Times New Roman"/>
          <w:b/>
          <w:bCs/>
          <w:color w:val="000000" w:themeColor="text1"/>
          <w:sz w:val="32"/>
          <w:szCs w:val="32"/>
        </w:rPr>
        <w:t>RT–DOR binding-energy calculations using free-energy perturbation (FEP)</w:t>
      </w:r>
    </w:p>
    <w:p w14:paraId="373BA8A7" w14:textId="4C7BAC12" w:rsidR="00640EF9" w:rsidRPr="00666531" w:rsidRDefault="00666531">
      <w:pPr>
        <w:pStyle w:val="Heading1"/>
        <w:spacing w:before="280" w:after="120"/>
        <w:rPr>
          <w:rFonts w:ascii="Times New Roman" w:hAnsi="Times New Roman" w:cs="Times New Roman"/>
          <w:color w:val="000000" w:themeColor="text1"/>
        </w:rPr>
      </w:pPr>
      <w:r>
        <w:rPr>
          <w:rFonts w:ascii="Times New Roman" w:hAnsi="Times New Roman" w:cs="Times New Roman"/>
          <w:b/>
          <w:bCs/>
          <w:color w:val="000000" w:themeColor="text1"/>
        </w:rPr>
        <w:t>Summary</w:t>
      </w:r>
    </w:p>
    <w:p w14:paraId="06C1DE9F" w14:textId="2F4C6308" w:rsidR="00640EF9" w:rsidRPr="00666531" w:rsidRDefault="00000000">
      <w:pPr>
        <w:spacing w:after="120" w:line="276" w:lineRule="auto"/>
        <w:jc w:val="both"/>
        <w:rPr>
          <w:rFonts w:ascii="Times New Roman" w:hAnsi="Times New Roman" w:cs="Times New Roman"/>
          <w:color w:val="000000" w:themeColor="text1"/>
        </w:rPr>
      </w:pPr>
      <w:r w:rsidRPr="00666531">
        <w:rPr>
          <w:rFonts w:ascii="Times New Roman" w:hAnsi="Times New Roman" w:cs="Times New Roman"/>
          <w:color w:val="000000" w:themeColor="text1"/>
          <w:sz w:val="22"/>
          <w:szCs w:val="22"/>
        </w:rPr>
        <w:t xml:space="preserve">HIV acquires resistance to doravirine through mutations in reverse transcriptase (RT). Resistance can arise in several ways — the mutation may weaken drug binding, alter the enzyme’s catalytic activity or fitness, or change the kinetics by which the inhibitor binds and the non-nucleoside pocket forms. We compute one of these contributions from physical first principles: how much a mutation changes the binding free energy of doravirine. Across the </w:t>
      </w:r>
      <w:r w:rsidR="00666531">
        <w:rPr>
          <w:rFonts w:ascii="Times New Roman" w:hAnsi="Times New Roman" w:cs="Times New Roman"/>
          <w:color w:val="000000" w:themeColor="text1"/>
          <w:sz w:val="22"/>
          <w:szCs w:val="22"/>
        </w:rPr>
        <w:t>genotype</w:t>
      </w:r>
      <w:r w:rsidRPr="00666531">
        <w:rPr>
          <w:rFonts w:ascii="Times New Roman" w:hAnsi="Times New Roman" w:cs="Times New Roman"/>
          <w:color w:val="000000" w:themeColor="text1"/>
          <w:sz w:val="22"/>
          <w:szCs w:val="22"/>
        </w:rPr>
        <w:t xml:space="preserve"> panel we then ask where that change accounts for the measured resistance and where it does not.</w:t>
      </w:r>
    </w:p>
    <w:p w14:paraId="568625F8" w14:textId="16A8A927" w:rsidR="00640EF9" w:rsidRPr="00666531" w:rsidRDefault="00000000">
      <w:pPr>
        <w:spacing w:after="120" w:line="276" w:lineRule="auto"/>
        <w:jc w:val="both"/>
        <w:rPr>
          <w:rFonts w:ascii="Times New Roman" w:hAnsi="Times New Roman" w:cs="Times New Roman"/>
          <w:color w:val="000000" w:themeColor="text1"/>
        </w:rPr>
      </w:pPr>
      <w:r w:rsidRPr="00666531">
        <w:rPr>
          <w:rFonts w:ascii="Times New Roman" w:hAnsi="Times New Roman" w:cs="Times New Roman"/>
          <w:color w:val="000000" w:themeColor="text1"/>
          <w:sz w:val="22"/>
          <w:szCs w:val="22"/>
        </w:rPr>
        <w:t xml:space="preserve">The binding free energy sets how strongly doravirine </w:t>
      </w:r>
      <w:r w:rsidR="00666531">
        <w:rPr>
          <w:rFonts w:ascii="Times New Roman" w:hAnsi="Times New Roman" w:cs="Times New Roman"/>
          <w:color w:val="000000" w:themeColor="text1"/>
          <w:sz w:val="22"/>
          <w:szCs w:val="22"/>
        </w:rPr>
        <w:t>binds</w:t>
      </w:r>
      <w:r w:rsidRPr="00666531">
        <w:rPr>
          <w:rFonts w:ascii="Times New Roman" w:hAnsi="Times New Roman" w:cs="Times New Roman"/>
          <w:color w:val="000000" w:themeColor="text1"/>
          <w:sz w:val="22"/>
          <w:szCs w:val="22"/>
        </w:rPr>
        <w:t xml:space="preserve"> into its pocket rather than staying in solution. A mutation shifts it; we compute that shift, ΔΔG</w:t>
      </w:r>
      <w:r w:rsidR="00666531">
        <w:rPr>
          <w:rFonts w:ascii="Times New Roman" w:hAnsi="Times New Roman" w:cs="Times New Roman"/>
          <w:color w:val="000000" w:themeColor="text1"/>
          <w:sz w:val="22"/>
          <w:szCs w:val="22"/>
          <w:vertAlign w:val="subscript"/>
        </w:rPr>
        <w:t>bind</w:t>
      </w:r>
      <w:r w:rsidRPr="00666531">
        <w:rPr>
          <w:rFonts w:ascii="Times New Roman" w:hAnsi="Times New Roman" w:cs="Times New Roman"/>
          <w:color w:val="000000" w:themeColor="text1"/>
          <w:sz w:val="22"/>
          <w:szCs w:val="22"/>
        </w:rPr>
        <w:t>, for each mutation. It is not the whole of resistance, but it is the component binding physics can</w:t>
      </w:r>
      <w:r w:rsidR="00666531">
        <w:rPr>
          <w:rFonts w:ascii="Times New Roman" w:hAnsi="Times New Roman" w:cs="Times New Roman"/>
          <w:color w:val="000000" w:themeColor="text1"/>
          <w:sz w:val="22"/>
          <w:szCs w:val="22"/>
        </w:rPr>
        <w:t>, in principle,</w:t>
      </w:r>
      <w:r w:rsidRPr="00666531">
        <w:rPr>
          <w:rFonts w:ascii="Times New Roman" w:hAnsi="Times New Roman" w:cs="Times New Roman"/>
          <w:color w:val="000000" w:themeColor="text1"/>
          <w:sz w:val="22"/>
          <w:szCs w:val="22"/>
        </w:rPr>
        <w:t xml:space="preserve"> settle rigorously, and for mutations where binding dominates it is directly comparable to the clinical fold-change.</w:t>
      </w:r>
    </w:p>
    <w:p w14:paraId="7D68FB5F" w14:textId="5C2C4555" w:rsidR="00640EF9" w:rsidRPr="00666531" w:rsidRDefault="00000000">
      <w:pPr>
        <w:spacing w:after="120" w:line="276" w:lineRule="auto"/>
        <w:jc w:val="both"/>
        <w:rPr>
          <w:rFonts w:ascii="Times New Roman" w:hAnsi="Times New Roman" w:cs="Times New Roman"/>
          <w:color w:val="000000" w:themeColor="text1"/>
        </w:rPr>
      </w:pPr>
      <w:r w:rsidRPr="00666531">
        <w:rPr>
          <w:rFonts w:ascii="Times New Roman" w:hAnsi="Times New Roman" w:cs="Times New Roman"/>
          <w:color w:val="000000" w:themeColor="text1"/>
          <w:sz w:val="22"/>
          <w:szCs w:val="22"/>
        </w:rPr>
        <w:t xml:space="preserve">Absolute binding free energies are hard to compute reliably; the difference between wild-type and mutant is not. We morph the wild-type residue into the mutant one atom by atom inside the simulation and measure the energetic cost — once with doravirine in the pocket, once in the empty enzyme. The difference between the two costs is the change in binding; everything common to both cancels (Figure 1; the </w:t>
      </w:r>
      <w:r w:rsidR="00EB2C3A">
        <w:rPr>
          <w:rFonts w:ascii="Times New Roman" w:hAnsi="Times New Roman" w:cs="Times New Roman"/>
          <w:color w:val="000000" w:themeColor="text1"/>
          <w:sz w:val="22"/>
          <w:szCs w:val="22"/>
        </w:rPr>
        <w:t xml:space="preserve">Free Energy Perturbation (FEP) </w:t>
      </w:r>
      <w:r w:rsidRPr="00666531">
        <w:rPr>
          <w:rFonts w:ascii="Times New Roman" w:hAnsi="Times New Roman" w:cs="Times New Roman"/>
          <w:color w:val="000000" w:themeColor="text1"/>
          <w:sz w:val="22"/>
          <w:szCs w:val="22"/>
        </w:rPr>
        <w:t xml:space="preserve">cycle is derived in </w:t>
      </w:r>
      <w:r w:rsidR="00B96BE7">
        <w:rPr>
          <w:rFonts w:ascii="Times New Roman" w:hAnsi="Times New Roman" w:cs="Times New Roman"/>
          <w:color w:val="000000" w:themeColor="text1"/>
          <w:sz w:val="22"/>
          <w:szCs w:val="22"/>
        </w:rPr>
        <w:t>Methods Section</w:t>
      </w:r>
      <w:r w:rsidRPr="00666531">
        <w:rPr>
          <w:rFonts w:ascii="Times New Roman" w:hAnsi="Times New Roman" w:cs="Times New Roman"/>
          <w:color w:val="000000" w:themeColor="text1"/>
          <w:sz w:val="22"/>
          <w:szCs w:val="22"/>
        </w:rPr>
        <w:t>).</w:t>
      </w:r>
    </w:p>
    <w:p w14:paraId="3F806220" w14:textId="1407C9E2" w:rsidR="00640EF9" w:rsidRPr="00666531" w:rsidRDefault="00000000">
      <w:pPr>
        <w:spacing w:after="120" w:line="276" w:lineRule="auto"/>
        <w:jc w:val="both"/>
        <w:rPr>
          <w:rFonts w:ascii="Times New Roman" w:hAnsi="Times New Roman" w:cs="Times New Roman"/>
          <w:color w:val="000000" w:themeColor="text1"/>
        </w:rPr>
      </w:pPr>
      <w:r w:rsidRPr="00666531">
        <w:rPr>
          <w:rFonts w:ascii="Times New Roman" w:hAnsi="Times New Roman" w:cs="Times New Roman"/>
          <w:color w:val="000000" w:themeColor="text1"/>
          <w:sz w:val="22"/>
          <w:szCs w:val="22"/>
        </w:rPr>
        <w:t xml:space="preserve">Both morphs run in a complete simulation of the enzyme in explicit water at physiological salt, so the buried, electrostatically sensitive pocket is modeled directly rather than approximated. We run each morph with the drug bound and drug-free, in triplicate; </w:t>
      </w:r>
      <w:r w:rsidR="00861A98" w:rsidRPr="00666531">
        <w:rPr>
          <w:rFonts w:ascii="Times New Roman" w:hAnsi="Times New Roman" w:cs="Times New Roman"/>
          <w:color w:val="000000" w:themeColor="text1"/>
          <w:sz w:val="22"/>
          <w:szCs w:val="22"/>
        </w:rPr>
        <w:t>ΔΔG</w:t>
      </w:r>
      <w:r w:rsidR="00861A98">
        <w:rPr>
          <w:rFonts w:ascii="Times New Roman" w:hAnsi="Times New Roman" w:cs="Times New Roman"/>
          <w:color w:val="000000" w:themeColor="text1"/>
          <w:sz w:val="22"/>
          <w:szCs w:val="22"/>
          <w:vertAlign w:val="subscript"/>
        </w:rPr>
        <w:t>bind</w:t>
      </w:r>
      <w:r w:rsidRPr="00666531">
        <w:rPr>
          <w:rFonts w:ascii="Times New Roman" w:hAnsi="Times New Roman" w:cs="Times New Roman"/>
          <w:color w:val="000000" w:themeColor="text1"/>
          <w:sz w:val="22"/>
          <w:szCs w:val="22"/>
        </w:rPr>
        <w:t xml:space="preserve"> is the bound-minus-free difference, and the three replicates give the reported mean ± standard error.</w:t>
      </w:r>
    </w:p>
    <w:p w14:paraId="3B412DC8" w14:textId="77777777" w:rsidR="00640EF9" w:rsidRPr="00666531" w:rsidRDefault="00000000">
      <w:pPr>
        <w:spacing w:before="120" w:after="120"/>
        <w:jc w:val="center"/>
        <w:rPr>
          <w:rFonts w:ascii="Times New Roman" w:hAnsi="Times New Roman" w:cs="Times New Roman"/>
          <w:color w:val="000000" w:themeColor="text1"/>
        </w:rPr>
      </w:pPr>
      <w:r w:rsidRPr="00666531">
        <w:rPr>
          <w:rFonts w:ascii="Times New Roman" w:hAnsi="Times New Roman" w:cs="Times New Roman"/>
          <w:noProof/>
          <w:color w:val="000000" w:themeColor="text1"/>
        </w:rPr>
        <w:drawing>
          <wp:inline distT="0" distB="0" distL="0" distR="0" wp14:anchorId="55B36818" wp14:editId="5EAD4439">
            <wp:extent cx="5715000" cy="2066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066925"/>
                    </a:xfrm>
                    <a:prstGeom prst="rect">
                      <a:avLst/>
                    </a:prstGeom>
                  </pic:spPr>
                </pic:pic>
              </a:graphicData>
            </a:graphic>
          </wp:inline>
        </w:drawing>
      </w:r>
    </w:p>
    <w:p w14:paraId="4E86286C" w14:textId="6D810D1D" w:rsidR="00640EF9" w:rsidRPr="00666531" w:rsidRDefault="00000000" w:rsidP="001707BD">
      <w:pPr>
        <w:spacing w:after="180"/>
        <w:rPr>
          <w:rFonts w:ascii="Times New Roman" w:hAnsi="Times New Roman" w:cs="Times New Roman"/>
          <w:color w:val="000000" w:themeColor="text1"/>
        </w:rPr>
      </w:pPr>
      <w:r w:rsidRPr="00666531">
        <w:rPr>
          <w:rFonts w:ascii="Times New Roman" w:hAnsi="Times New Roman" w:cs="Times New Roman"/>
          <w:i/>
          <w:iCs/>
          <w:color w:val="000000" w:themeColor="text1"/>
          <w:sz w:val="18"/>
          <w:szCs w:val="18"/>
        </w:rPr>
        <w:t xml:space="preserve">Figure 1.  (A) The </w:t>
      </w:r>
      <w:r w:rsidR="00EB2C3A">
        <w:rPr>
          <w:rFonts w:ascii="Times New Roman" w:hAnsi="Times New Roman" w:cs="Times New Roman"/>
          <w:i/>
          <w:iCs/>
          <w:color w:val="000000" w:themeColor="text1"/>
          <w:sz w:val="18"/>
          <w:szCs w:val="18"/>
        </w:rPr>
        <w:t>Free Energy Perturbation (FEP)</w:t>
      </w:r>
      <w:r w:rsidRPr="00666531">
        <w:rPr>
          <w:rFonts w:ascii="Times New Roman" w:hAnsi="Times New Roman" w:cs="Times New Roman"/>
          <w:i/>
          <w:iCs/>
          <w:color w:val="000000" w:themeColor="text1"/>
          <w:sz w:val="18"/>
          <w:szCs w:val="18"/>
        </w:rPr>
        <w:t xml:space="preserve"> cycle that defines ΔΔG</w:t>
      </w:r>
      <w:r w:rsidR="001707BD">
        <w:rPr>
          <w:rFonts w:ascii="Times New Roman" w:hAnsi="Times New Roman" w:cs="Times New Roman"/>
          <w:i/>
          <w:iCs/>
          <w:color w:val="000000" w:themeColor="text1"/>
          <w:sz w:val="18"/>
          <w:szCs w:val="18"/>
          <w:vertAlign w:val="subscript"/>
        </w:rPr>
        <w:t>bind</w:t>
      </w:r>
      <w:r w:rsidRPr="00666531">
        <w:rPr>
          <w:rFonts w:ascii="Times New Roman" w:hAnsi="Times New Roman" w:cs="Times New Roman"/>
          <w:i/>
          <w:iCs/>
          <w:color w:val="000000" w:themeColor="text1"/>
          <w:sz w:val="18"/>
          <w:szCs w:val="18"/>
        </w:rPr>
        <w:t>. (B) The non-equilibrium switching workflow, run per mutation × phase (drug-bound / drug-free) × replicate.</w:t>
      </w:r>
    </w:p>
    <w:p w14:paraId="0BC99E1D" w14:textId="3AE788DC" w:rsidR="00640EF9" w:rsidRPr="00666531" w:rsidRDefault="00666531">
      <w:pPr>
        <w:pStyle w:val="Heading1"/>
        <w:spacing w:before="280" w:after="120"/>
        <w:rPr>
          <w:rFonts w:ascii="Times New Roman" w:hAnsi="Times New Roman" w:cs="Times New Roman"/>
          <w:color w:val="000000" w:themeColor="text1"/>
        </w:rPr>
      </w:pPr>
      <w:r>
        <w:rPr>
          <w:rFonts w:ascii="Times New Roman" w:hAnsi="Times New Roman" w:cs="Times New Roman"/>
          <w:b/>
          <w:bCs/>
          <w:color w:val="000000" w:themeColor="text1"/>
        </w:rPr>
        <w:t>Results</w:t>
      </w:r>
    </w:p>
    <w:p w14:paraId="50C38112" w14:textId="421D03D4" w:rsidR="00640EF9" w:rsidRPr="00666531" w:rsidRDefault="00B076E4">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Till now, w</w:t>
      </w:r>
      <w:r w:rsidR="00000000" w:rsidRPr="00666531">
        <w:rPr>
          <w:rFonts w:ascii="Times New Roman" w:hAnsi="Times New Roman" w:cs="Times New Roman"/>
          <w:color w:val="000000" w:themeColor="text1"/>
          <w:sz w:val="22"/>
          <w:szCs w:val="22"/>
        </w:rPr>
        <w:t xml:space="preserve">e have computed </w:t>
      </w:r>
      <w:r w:rsidR="001707BD" w:rsidRPr="00666531">
        <w:rPr>
          <w:rFonts w:ascii="Times New Roman" w:hAnsi="Times New Roman" w:cs="Times New Roman"/>
          <w:color w:val="000000" w:themeColor="text1"/>
          <w:sz w:val="22"/>
          <w:szCs w:val="22"/>
        </w:rPr>
        <w:t>ΔΔG</w:t>
      </w:r>
      <w:r w:rsidR="001707BD">
        <w:rPr>
          <w:rFonts w:ascii="Times New Roman" w:hAnsi="Times New Roman" w:cs="Times New Roman"/>
          <w:color w:val="000000" w:themeColor="text1"/>
          <w:sz w:val="22"/>
          <w:szCs w:val="22"/>
          <w:vertAlign w:val="subscript"/>
        </w:rPr>
        <w:t>bind</w:t>
      </w:r>
      <w:r w:rsidR="001707BD" w:rsidRPr="00666531">
        <w:rPr>
          <w:rFonts w:ascii="Times New Roman" w:hAnsi="Times New Roman" w:cs="Times New Roman"/>
          <w:color w:val="000000" w:themeColor="text1"/>
          <w:sz w:val="22"/>
          <w:szCs w:val="22"/>
        </w:rPr>
        <w:t xml:space="preserve"> </w:t>
      </w:r>
      <w:r w:rsidR="00000000" w:rsidRPr="00666531">
        <w:rPr>
          <w:rFonts w:ascii="Times New Roman" w:hAnsi="Times New Roman" w:cs="Times New Roman"/>
          <w:color w:val="000000" w:themeColor="text1"/>
          <w:sz w:val="22"/>
          <w:szCs w:val="22"/>
        </w:rPr>
        <w:t xml:space="preserve">for </w:t>
      </w:r>
      <w:r>
        <w:rPr>
          <w:rFonts w:ascii="Times New Roman" w:hAnsi="Times New Roman" w:cs="Times New Roman"/>
          <w:color w:val="000000" w:themeColor="text1"/>
          <w:sz w:val="22"/>
          <w:szCs w:val="22"/>
        </w:rPr>
        <w:t>seven of the</w:t>
      </w:r>
      <w:r w:rsidR="00000000" w:rsidRPr="00666531">
        <w:rPr>
          <w:rFonts w:ascii="Times New Roman" w:hAnsi="Times New Roman" w:cs="Times New Roman"/>
          <w:color w:val="000000" w:themeColor="text1"/>
          <w:sz w:val="22"/>
          <w:szCs w:val="22"/>
        </w:rPr>
        <w:t xml:space="preserve"> single-residue mutations of the </w:t>
      </w:r>
      <w:r>
        <w:rPr>
          <w:rFonts w:ascii="Times New Roman" w:hAnsi="Times New Roman" w:cs="Times New Roman"/>
          <w:color w:val="000000" w:themeColor="text1"/>
          <w:sz w:val="22"/>
          <w:szCs w:val="22"/>
        </w:rPr>
        <w:t xml:space="preserve">genotype </w:t>
      </w:r>
      <w:r w:rsidR="00000000" w:rsidRPr="00666531">
        <w:rPr>
          <w:rFonts w:ascii="Times New Roman" w:hAnsi="Times New Roman" w:cs="Times New Roman"/>
          <w:color w:val="000000" w:themeColor="text1"/>
          <w:sz w:val="22"/>
          <w:szCs w:val="22"/>
        </w:rPr>
        <w:t xml:space="preserve">panel; each value is the mean of three independent replicates (Table 1). </w:t>
      </w:r>
      <w:r>
        <w:rPr>
          <w:rFonts w:ascii="Times New Roman" w:hAnsi="Times New Roman" w:cs="Times New Roman"/>
          <w:color w:val="000000" w:themeColor="text1"/>
          <w:sz w:val="22"/>
          <w:szCs w:val="22"/>
        </w:rPr>
        <w:t>Two canonical resistance mutations,</w:t>
      </w:r>
      <w:r w:rsidR="00000000" w:rsidRPr="00666531">
        <w:rPr>
          <w:rFonts w:ascii="Times New Roman" w:hAnsi="Times New Roman" w:cs="Times New Roman"/>
          <w:color w:val="000000" w:themeColor="text1"/>
          <w:sz w:val="22"/>
          <w:szCs w:val="22"/>
        </w:rPr>
        <w:t xml:space="preserve"> V106A and Y188L</w:t>
      </w:r>
      <w:r>
        <w:rPr>
          <w:rFonts w:ascii="Times New Roman" w:hAnsi="Times New Roman" w:cs="Times New Roman"/>
          <w:color w:val="000000" w:themeColor="text1"/>
          <w:sz w:val="22"/>
          <w:szCs w:val="22"/>
        </w:rPr>
        <w:t>,</w:t>
      </w:r>
      <w:r w:rsidR="00000000" w:rsidRPr="00666531">
        <w:rPr>
          <w:rFonts w:ascii="Times New Roman" w:hAnsi="Times New Roman" w:cs="Times New Roman"/>
          <w:color w:val="000000" w:themeColor="text1"/>
          <w:sz w:val="22"/>
          <w:szCs w:val="22"/>
        </w:rPr>
        <w:t xml:space="preserve"> both weaken binding, with Y188L </w:t>
      </w:r>
      <w:r>
        <w:rPr>
          <w:rFonts w:ascii="Times New Roman" w:hAnsi="Times New Roman" w:cs="Times New Roman"/>
          <w:color w:val="000000" w:themeColor="text1"/>
          <w:sz w:val="22"/>
          <w:szCs w:val="22"/>
        </w:rPr>
        <w:t>showing greater impact than V106A</w:t>
      </w:r>
      <w:r w:rsidR="00000000" w:rsidRPr="00666531">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However, a</w:t>
      </w:r>
      <w:r w:rsidR="00000000" w:rsidRPr="00666531">
        <w:rPr>
          <w:rFonts w:ascii="Times New Roman" w:hAnsi="Times New Roman" w:cs="Times New Roman"/>
          <w:color w:val="000000" w:themeColor="text1"/>
          <w:sz w:val="22"/>
          <w:szCs w:val="22"/>
        </w:rPr>
        <w:t xml:space="preserve">cross the </w:t>
      </w:r>
      <w:r w:rsidR="00000000" w:rsidRPr="00666531">
        <w:rPr>
          <w:rFonts w:ascii="Times New Roman" w:hAnsi="Times New Roman" w:cs="Times New Roman"/>
          <w:color w:val="000000" w:themeColor="text1"/>
          <w:sz w:val="22"/>
          <w:szCs w:val="22"/>
        </w:rPr>
        <w:lastRenderedPageBreak/>
        <w:t xml:space="preserve">seven single mutations, the rank correlation between computed </w:t>
      </w:r>
      <w:r w:rsidRPr="00666531">
        <w:rPr>
          <w:rFonts w:ascii="Times New Roman" w:hAnsi="Times New Roman" w:cs="Times New Roman"/>
          <w:color w:val="000000" w:themeColor="text1"/>
          <w:sz w:val="22"/>
          <w:szCs w:val="22"/>
        </w:rPr>
        <w:t>ΔΔG</w:t>
      </w:r>
      <w:r>
        <w:rPr>
          <w:rFonts w:ascii="Times New Roman" w:hAnsi="Times New Roman" w:cs="Times New Roman"/>
          <w:color w:val="000000" w:themeColor="text1"/>
          <w:sz w:val="22"/>
          <w:szCs w:val="22"/>
          <w:vertAlign w:val="subscript"/>
        </w:rPr>
        <w:t>bind</w:t>
      </w:r>
      <w:r w:rsidRPr="00666531">
        <w:rPr>
          <w:rFonts w:ascii="Times New Roman" w:hAnsi="Times New Roman" w:cs="Times New Roman"/>
          <w:color w:val="000000" w:themeColor="text1"/>
          <w:sz w:val="22"/>
          <w:szCs w:val="22"/>
        </w:rPr>
        <w:t xml:space="preserve"> </w:t>
      </w:r>
      <w:r w:rsidR="00000000" w:rsidRPr="00666531">
        <w:rPr>
          <w:rFonts w:ascii="Times New Roman" w:hAnsi="Times New Roman" w:cs="Times New Roman"/>
          <w:color w:val="000000" w:themeColor="text1"/>
          <w:sz w:val="22"/>
          <w:szCs w:val="22"/>
        </w:rPr>
        <w:t xml:space="preserve">and fold-change </w:t>
      </w:r>
      <w:r w:rsidR="00B96BE7">
        <w:rPr>
          <w:rFonts w:ascii="Times New Roman" w:hAnsi="Times New Roman" w:cs="Times New Roman"/>
          <w:color w:val="000000" w:themeColor="text1"/>
          <w:sz w:val="22"/>
          <w:szCs w:val="22"/>
        </w:rPr>
        <w:t xml:space="preserve">in susceptibility </w:t>
      </w:r>
      <w:r w:rsidR="00000000" w:rsidRPr="00666531">
        <w:rPr>
          <w:rFonts w:ascii="Times New Roman" w:hAnsi="Times New Roman" w:cs="Times New Roman"/>
          <w:color w:val="000000" w:themeColor="text1"/>
          <w:sz w:val="22"/>
          <w:szCs w:val="22"/>
        </w:rPr>
        <w:t xml:space="preserve">is </w:t>
      </w:r>
      <w:r>
        <w:rPr>
          <w:rFonts w:ascii="Times New Roman" w:hAnsi="Times New Roman" w:cs="Times New Roman"/>
          <w:color w:val="000000" w:themeColor="text1"/>
          <w:sz w:val="22"/>
          <w:szCs w:val="22"/>
        </w:rPr>
        <w:t>modest (</w:t>
      </w:r>
      <w:r w:rsidR="00000000" w:rsidRPr="00666531">
        <w:rPr>
          <w:rFonts w:ascii="Times New Roman" w:hAnsi="Times New Roman" w:cs="Times New Roman"/>
          <w:color w:val="000000" w:themeColor="text1"/>
          <w:sz w:val="22"/>
          <w:szCs w:val="22"/>
        </w:rPr>
        <w:t>Spearman ρ = 0.32</w:t>
      </w:r>
      <w:r>
        <w:rPr>
          <w:rFonts w:ascii="Times New Roman" w:hAnsi="Times New Roman" w:cs="Times New Roman"/>
          <w:color w:val="000000" w:themeColor="text1"/>
          <w:sz w:val="22"/>
          <w:szCs w:val="22"/>
        </w:rPr>
        <w:t>)</w:t>
      </w:r>
      <w:r w:rsidR="00000000" w:rsidRPr="00666531">
        <w:rPr>
          <w:rFonts w:ascii="Times New Roman" w:hAnsi="Times New Roman" w:cs="Times New Roman"/>
          <w:color w:val="000000" w:themeColor="text1"/>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40EF9" w:rsidRPr="00666531" w14:paraId="70ECB150" w14:textId="77777777">
        <w:tblPrEx>
          <w:tblCellMar>
            <w:top w:w="0" w:type="dxa"/>
            <w:bottom w:w="0" w:type="dxa"/>
          </w:tblCellMar>
        </w:tblPrEx>
        <w:tc>
          <w:tcPr>
            <w:tcW w:w="3120" w:type="dxa"/>
            <w:shd w:val="clear" w:color="auto" w:fill="DCE6F1"/>
            <w:tcMar>
              <w:top w:w="40" w:type="dxa"/>
              <w:left w:w="90" w:type="dxa"/>
              <w:bottom w:w="40" w:type="dxa"/>
              <w:right w:w="90" w:type="dxa"/>
            </w:tcMar>
          </w:tcPr>
          <w:p w14:paraId="773B74C4" w14:textId="77777777" w:rsidR="00640EF9" w:rsidRPr="00666531" w:rsidRDefault="00000000">
            <w:pPr>
              <w:rPr>
                <w:rFonts w:ascii="Times New Roman" w:hAnsi="Times New Roman" w:cs="Times New Roman"/>
                <w:color w:val="000000" w:themeColor="text1"/>
              </w:rPr>
            </w:pPr>
            <w:r w:rsidRPr="00666531">
              <w:rPr>
                <w:rFonts w:ascii="Times New Roman" w:hAnsi="Times New Roman" w:cs="Times New Roman"/>
                <w:b/>
                <w:bCs/>
                <w:color w:val="000000" w:themeColor="text1"/>
                <w:sz w:val="21"/>
                <w:szCs w:val="21"/>
              </w:rPr>
              <w:t>Genotype</w:t>
            </w:r>
          </w:p>
        </w:tc>
        <w:tc>
          <w:tcPr>
            <w:tcW w:w="3120" w:type="dxa"/>
            <w:shd w:val="clear" w:color="auto" w:fill="DCE6F1"/>
            <w:tcMar>
              <w:top w:w="40" w:type="dxa"/>
              <w:left w:w="90" w:type="dxa"/>
              <w:bottom w:w="40" w:type="dxa"/>
              <w:right w:w="90" w:type="dxa"/>
            </w:tcMar>
          </w:tcPr>
          <w:p w14:paraId="3EFB6C41" w14:textId="27CB3C37" w:rsidR="00640EF9" w:rsidRPr="00666531" w:rsidRDefault="00000000">
            <w:pPr>
              <w:jc w:val="center"/>
              <w:rPr>
                <w:rFonts w:ascii="Times New Roman" w:hAnsi="Times New Roman" w:cs="Times New Roman"/>
                <w:color w:val="000000" w:themeColor="text1"/>
              </w:rPr>
            </w:pPr>
            <w:r w:rsidRPr="00666531">
              <w:rPr>
                <w:rFonts w:ascii="Times New Roman" w:hAnsi="Times New Roman" w:cs="Times New Roman"/>
                <w:b/>
                <w:bCs/>
                <w:color w:val="000000" w:themeColor="text1"/>
                <w:sz w:val="21"/>
                <w:szCs w:val="21"/>
              </w:rPr>
              <w:t>ΔΔG</w:t>
            </w:r>
            <w:r w:rsidR="00B076E4">
              <w:rPr>
                <w:rFonts w:ascii="Times New Roman" w:hAnsi="Times New Roman" w:cs="Times New Roman"/>
                <w:b/>
                <w:bCs/>
                <w:color w:val="000000" w:themeColor="text1"/>
                <w:sz w:val="21"/>
                <w:szCs w:val="21"/>
                <w:vertAlign w:val="subscript"/>
              </w:rPr>
              <w:t>bind</w:t>
            </w:r>
            <w:r w:rsidRPr="00666531">
              <w:rPr>
                <w:rFonts w:ascii="Times New Roman" w:hAnsi="Times New Roman" w:cs="Times New Roman"/>
                <w:b/>
                <w:bCs/>
                <w:color w:val="000000" w:themeColor="text1"/>
                <w:sz w:val="21"/>
                <w:szCs w:val="21"/>
              </w:rPr>
              <w:t xml:space="preserve"> (kcal/mol)</w:t>
            </w:r>
          </w:p>
        </w:tc>
        <w:tc>
          <w:tcPr>
            <w:tcW w:w="3120" w:type="dxa"/>
            <w:shd w:val="clear" w:color="auto" w:fill="DCE6F1"/>
            <w:tcMar>
              <w:top w:w="40" w:type="dxa"/>
              <w:left w:w="90" w:type="dxa"/>
              <w:bottom w:w="40" w:type="dxa"/>
              <w:right w:w="90" w:type="dxa"/>
            </w:tcMar>
          </w:tcPr>
          <w:p w14:paraId="4E74C66A" w14:textId="0A5F3281" w:rsidR="00640EF9" w:rsidRPr="00666531" w:rsidRDefault="00B96BE7">
            <w:pPr>
              <w:jc w:val="center"/>
              <w:rPr>
                <w:rFonts w:ascii="Times New Roman" w:hAnsi="Times New Roman" w:cs="Times New Roman"/>
                <w:color w:val="000000" w:themeColor="text1"/>
              </w:rPr>
            </w:pPr>
            <w:r>
              <w:rPr>
                <w:rFonts w:ascii="Times New Roman" w:hAnsi="Times New Roman" w:cs="Times New Roman"/>
                <w:b/>
                <w:bCs/>
                <w:color w:val="000000" w:themeColor="text1"/>
                <w:sz w:val="21"/>
                <w:szCs w:val="21"/>
              </w:rPr>
              <w:t>F</w:t>
            </w:r>
            <w:r w:rsidR="00000000" w:rsidRPr="00666531">
              <w:rPr>
                <w:rFonts w:ascii="Times New Roman" w:hAnsi="Times New Roman" w:cs="Times New Roman"/>
                <w:b/>
                <w:bCs/>
                <w:color w:val="000000" w:themeColor="text1"/>
                <w:sz w:val="21"/>
                <w:szCs w:val="21"/>
              </w:rPr>
              <w:t>old-change</w:t>
            </w:r>
          </w:p>
        </w:tc>
      </w:tr>
      <w:tr w:rsidR="00640EF9" w:rsidRPr="00666531" w14:paraId="3069D791" w14:textId="77777777">
        <w:tblPrEx>
          <w:tblCellMar>
            <w:top w:w="0" w:type="dxa"/>
            <w:bottom w:w="0" w:type="dxa"/>
          </w:tblCellMar>
        </w:tblPrEx>
        <w:tc>
          <w:tcPr>
            <w:tcW w:w="3120" w:type="dxa"/>
            <w:tcMar>
              <w:top w:w="40" w:type="dxa"/>
              <w:left w:w="90" w:type="dxa"/>
              <w:bottom w:w="40" w:type="dxa"/>
              <w:right w:w="90" w:type="dxa"/>
            </w:tcMar>
          </w:tcPr>
          <w:p w14:paraId="435B3DFA" w14:textId="77777777" w:rsidR="00640EF9" w:rsidRPr="00666531" w:rsidRDefault="00000000">
            <w:pPr>
              <w:rPr>
                <w:rFonts w:ascii="Times New Roman" w:hAnsi="Times New Roman" w:cs="Times New Roman"/>
                <w:color w:val="000000" w:themeColor="text1"/>
              </w:rPr>
            </w:pPr>
            <w:r w:rsidRPr="00666531">
              <w:rPr>
                <w:rFonts w:ascii="Times New Roman" w:hAnsi="Times New Roman" w:cs="Times New Roman"/>
                <w:color w:val="000000" w:themeColor="text1"/>
                <w:sz w:val="21"/>
                <w:szCs w:val="21"/>
              </w:rPr>
              <w:t>Y188L</w:t>
            </w:r>
          </w:p>
        </w:tc>
        <w:tc>
          <w:tcPr>
            <w:tcW w:w="3120" w:type="dxa"/>
            <w:tcMar>
              <w:top w:w="40" w:type="dxa"/>
              <w:left w:w="90" w:type="dxa"/>
              <w:bottom w:w="40" w:type="dxa"/>
              <w:right w:w="90" w:type="dxa"/>
            </w:tcMar>
          </w:tcPr>
          <w:p w14:paraId="1E6579A9" w14:textId="77777777" w:rsidR="00640EF9" w:rsidRPr="00666531" w:rsidRDefault="00000000">
            <w:pPr>
              <w:jc w:val="center"/>
              <w:rPr>
                <w:rFonts w:ascii="Times New Roman" w:hAnsi="Times New Roman" w:cs="Times New Roman"/>
                <w:color w:val="000000" w:themeColor="text1"/>
              </w:rPr>
            </w:pPr>
            <w:r w:rsidRPr="00666531">
              <w:rPr>
                <w:rFonts w:ascii="Times New Roman" w:hAnsi="Times New Roman" w:cs="Times New Roman"/>
                <w:color w:val="000000" w:themeColor="text1"/>
                <w:sz w:val="21"/>
                <w:szCs w:val="21"/>
              </w:rPr>
              <w:t>+4.52 ± 0.49</w:t>
            </w:r>
          </w:p>
        </w:tc>
        <w:tc>
          <w:tcPr>
            <w:tcW w:w="3120" w:type="dxa"/>
            <w:tcMar>
              <w:top w:w="40" w:type="dxa"/>
              <w:left w:w="90" w:type="dxa"/>
              <w:bottom w:w="40" w:type="dxa"/>
              <w:right w:w="90" w:type="dxa"/>
            </w:tcMar>
          </w:tcPr>
          <w:p w14:paraId="35F91A11" w14:textId="77777777" w:rsidR="00640EF9" w:rsidRPr="00666531" w:rsidRDefault="00000000">
            <w:pPr>
              <w:jc w:val="center"/>
              <w:rPr>
                <w:rFonts w:ascii="Times New Roman" w:hAnsi="Times New Roman" w:cs="Times New Roman"/>
                <w:color w:val="000000" w:themeColor="text1"/>
              </w:rPr>
            </w:pPr>
            <w:r w:rsidRPr="00666531">
              <w:rPr>
                <w:rFonts w:ascii="Times New Roman" w:hAnsi="Times New Roman" w:cs="Times New Roman"/>
                <w:color w:val="000000" w:themeColor="text1"/>
                <w:sz w:val="21"/>
                <w:szCs w:val="21"/>
              </w:rPr>
              <w:t>149×</w:t>
            </w:r>
          </w:p>
        </w:tc>
      </w:tr>
      <w:tr w:rsidR="00640EF9" w:rsidRPr="00666531" w14:paraId="776239BF" w14:textId="77777777">
        <w:tblPrEx>
          <w:tblCellMar>
            <w:top w:w="0" w:type="dxa"/>
            <w:bottom w:w="0" w:type="dxa"/>
          </w:tblCellMar>
        </w:tblPrEx>
        <w:tc>
          <w:tcPr>
            <w:tcW w:w="3120" w:type="dxa"/>
            <w:tcMar>
              <w:top w:w="40" w:type="dxa"/>
              <w:left w:w="90" w:type="dxa"/>
              <w:bottom w:w="40" w:type="dxa"/>
              <w:right w:w="90" w:type="dxa"/>
            </w:tcMar>
          </w:tcPr>
          <w:p w14:paraId="677FA3E6" w14:textId="77777777" w:rsidR="00640EF9" w:rsidRPr="00666531" w:rsidRDefault="00000000">
            <w:pPr>
              <w:rPr>
                <w:rFonts w:ascii="Times New Roman" w:hAnsi="Times New Roman" w:cs="Times New Roman"/>
                <w:color w:val="000000" w:themeColor="text1"/>
              </w:rPr>
            </w:pPr>
            <w:r w:rsidRPr="00666531">
              <w:rPr>
                <w:rFonts w:ascii="Times New Roman" w:hAnsi="Times New Roman" w:cs="Times New Roman"/>
                <w:color w:val="000000" w:themeColor="text1"/>
                <w:sz w:val="21"/>
                <w:szCs w:val="21"/>
              </w:rPr>
              <w:t>Y318F</w:t>
            </w:r>
          </w:p>
        </w:tc>
        <w:tc>
          <w:tcPr>
            <w:tcW w:w="3120" w:type="dxa"/>
            <w:tcMar>
              <w:top w:w="40" w:type="dxa"/>
              <w:left w:w="90" w:type="dxa"/>
              <w:bottom w:w="40" w:type="dxa"/>
              <w:right w:w="90" w:type="dxa"/>
            </w:tcMar>
          </w:tcPr>
          <w:p w14:paraId="26BFA0AC" w14:textId="77777777" w:rsidR="00640EF9" w:rsidRPr="00666531" w:rsidRDefault="00000000">
            <w:pPr>
              <w:jc w:val="center"/>
              <w:rPr>
                <w:rFonts w:ascii="Times New Roman" w:hAnsi="Times New Roman" w:cs="Times New Roman"/>
                <w:color w:val="000000" w:themeColor="text1"/>
              </w:rPr>
            </w:pPr>
            <w:r w:rsidRPr="00666531">
              <w:rPr>
                <w:rFonts w:ascii="Times New Roman" w:hAnsi="Times New Roman" w:cs="Times New Roman"/>
                <w:color w:val="000000" w:themeColor="text1"/>
                <w:sz w:val="21"/>
                <w:szCs w:val="21"/>
              </w:rPr>
              <w:t>+1.41 ± 0.45</w:t>
            </w:r>
          </w:p>
        </w:tc>
        <w:tc>
          <w:tcPr>
            <w:tcW w:w="3120" w:type="dxa"/>
            <w:tcMar>
              <w:top w:w="40" w:type="dxa"/>
              <w:left w:w="90" w:type="dxa"/>
              <w:bottom w:w="40" w:type="dxa"/>
              <w:right w:w="90" w:type="dxa"/>
            </w:tcMar>
          </w:tcPr>
          <w:p w14:paraId="2083B277" w14:textId="77777777" w:rsidR="00640EF9" w:rsidRPr="00666531" w:rsidRDefault="00000000">
            <w:pPr>
              <w:jc w:val="center"/>
              <w:rPr>
                <w:rFonts w:ascii="Times New Roman" w:hAnsi="Times New Roman" w:cs="Times New Roman"/>
                <w:color w:val="000000" w:themeColor="text1"/>
              </w:rPr>
            </w:pPr>
            <w:r w:rsidRPr="00666531">
              <w:rPr>
                <w:rFonts w:ascii="Times New Roman" w:hAnsi="Times New Roman" w:cs="Times New Roman"/>
                <w:color w:val="000000" w:themeColor="text1"/>
                <w:sz w:val="21"/>
                <w:szCs w:val="21"/>
              </w:rPr>
              <w:t>11×</w:t>
            </w:r>
          </w:p>
        </w:tc>
      </w:tr>
      <w:tr w:rsidR="00640EF9" w:rsidRPr="00666531" w14:paraId="32159C27" w14:textId="77777777">
        <w:tblPrEx>
          <w:tblCellMar>
            <w:top w:w="0" w:type="dxa"/>
            <w:bottom w:w="0" w:type="dxa"/>
          </w:tblCellMar>
        </w:tblPrEx>
        <w:tc>
          <w:tcPr>
            <w:tcW w:w="3120" w:type="dxa"/>
            <w:tcMar>
              <w:top w:w="40" w:type="dxa"/>
              <w:left w:w="90" w:type="dxa"/>
              <w:bottom w:w="40" w:type="dxa"/>
              <w:right w:w="90" w:type="dxa"/>
            </w:tcMar>
          </w:tcPr>
          <w:p w14:paraId="0E4E4F46" w14:textId="77777777" w:rsidR="00640EF9" w:rsidRPr="00666531" w:rsidRDefault="00000000">
            <w:pPr>
              <w:rPr>
                <w:rFonts w:ascii="Times New Roman" w:hAnsi="Times New Roman" w:cs="Times New Roman"/>
                <w:color w:val="000000" w:themeColor="text1"/>
              </w:rPr>
            </w:pPr>
            <w:r w:rsidRPr="00666531">
              <w:rPr>
                <w:rFonts w:ascii="Times New Roman" w:hAnsi="Times New Roman" w:cs="Times New Roman"/>
                <w:color w:val="000000" w:themeColor="text1"/>
                <w:sz w:val="21"/>
                <w:szCs w:val="21"/>
              </w:rPr>
              <w:t>V106A</w:t>
            </w:r>
          </w:p>
        </w:tc>
        <w:tc>
          <w:tcPr>
            <w:tcW w:w="3120" w:type="dxa"/>
            <w:tcMar>
              <w:top w:w="40" w:type="dxa"/>
              <w:left w:w="90" w:type="dxa"/>
              <w:bottom w:w="40" w:type="dxa"/>
              <w:right w:w="90" w:type="dxa"/>
            </w:tcMar>
          </w:tcPr>
          <w:p w14:paraId="6D43DFB5" w14:textId="77777777" w:rsidR="00640EF9" w:rsidRPr="00666531" w:rsidRDefault="00000000">
            <w:pPr>
              <w:jc w:val="center"/>
              <w:rPr>
                <w:rFonts w:ascii="Times New Roman" w:hAnsi="Times New Roman" w:cs="Times New Roman"/>
                <w:color w:val="000000" w:themeColor="text1"/>
              </w:rPr>
            </w:pPr>
            <w:r w:rsidRPr="00666531">
              <w:rPr>
                <w:rFonts w:ascii="Times New Roman" w:hAnsi="Times New Roman" w:cs="Times New Roman"/>
                <w:color w:val="000000" w:themeColor="text1"/>
                <w:sz w:val="21"/>
                <w:szCs w:val="21"/>
              </w:rPr>
              <w:t>+1.76 ± 0.51</w:t>
            </w:r>
          </w:p>
        </w:tc>
        <w:tc>
          <w:tcPr>
            <w:tcW w:w="3120" w:type="dxa"/>
            <w:tcMar>
              <w:top w:w="40" w:type="dxa"/>
              <w:left w:w="90" w:type="dxa"/>
              <w:bottom w:w="40" w:type="dxa"/>
              <w:right w:w="90" w:type="dxa"/>
            </w:tcMar>
          </w:tcPr>
          <w:p w14:paraId="5FEA1432" w14:textId="77777777" w:rsidR="00640EF9" w:rsidRPr="00666531" w:rsidRDefault="00000000">
            <w:pPr>
              <w:jc w:val="center"/>
              <w:rPr>
                <w:rFonts w:ascii="Times New Roman" w:hAnsi="Times New Roman" w:cs="Times New Roman"/>
                <w:color w:val="000000" w:themeColor="text1"/>
              </w:rPr>
            </w:pPr>
            <w:r w:rsidRPr="00666531">
              <w:rPr>
                <w:rFonts w:ascii="Times New Roman" w:hAnsi="Times New Roman" w:cs="Times New Roman"/>
                <w:color w:val="000000" w:themeColor="text1"/>
                <w:sz w:val="21"/>
                <w:szCs w:val="21"/>
              </w:rPr>
              <w:t>9.6×</w:t>
            </w:r>
          </w:p>
        </w:tc>
      </w:tr>
      <w:tr w:rsidR="00640EF9" w:rsidRPr="00666531" w14:paraId="5B9ED841" w14:textId="77777777">
        <w:tblPrEx>
          <w:tblCellMar>
            <w:top w:w="0" w:type="dxa"/>
            <w:bottom w:w="0" w:type="dxa"/>
          </w:tblCellMar>
        </w:tblPrEx>
        <w:tc>
          <w:tcPr>
            <w:tcW w:w="3120" w:type="dxa"/>
            <w:tcMar>
              <w:top w:w="40" w:type="dxa"/>
              <w:left w:w="90" w:type="dxa"/>
              <w:bottom w:w="40" w:type="dxa"/>
              <w:right w:w="90" w:type="dxa"/>
            </w:tcMar>
          </w:tcPr>
          <w:p w14:paraId="021463C8" w14:textId="77777777" w:rsidR="00640EF9" w:rsidRPr="00666531" w:rsidRDefault="00000000">
            <w:pPr>
              <w:rPr>
                <w:rFonts w:ascii="Times New Roman" w:hAnsi="Times New Roman" w:cs="Times New Roman"/>
                <w:color w:val="000000" w:themeColor="text1"/>
              </w:rPr>
            </w:pPr>
            <w:r w:rsidRPr="00666531">
              <w:rPr>
                <w:rFonts w:ascii="Times New Roman" w:hAnsi="Times New Roman" w:cs="Times New Roman"/>
                <w:color w:val="000000" w:themeColor="text1"/>
                <w:sz w:val="21"/>
                <w:szCs w:val="21"/>
              </w:rPr>
              <w:t>V106M</w:t>
            </w:r>
          </w:p>
        </w:tc>
        <w:tc>
          <w:tcPr>
            <w:tcW w:w="3120" w:type="dxa"/>
            <w:tcMar>
              <w:top w:w="40" w:type="dxa"/>
              <w:left w:w="90" w:type="dxa"/>
              <w:bottom w:w="40" w:type="dxa"/>
              <w:right w:w="90" w:type="dxa"/>
            </w:tcMar>
          </w:tcPr>
          <w:p w14:paraId="63449A70" w14:textId="77777777" w:rsidR="00640EF9" w:rsidRPr="00666531" w:rsidRDefault="00000000">
            <w:pPr>
              <w:jc w:val="center"/>
              <w:rPr>
                <w:rFonts w:ascii="Times New Roman" w:hAnsi="Times New Roman" w:cs="Times New Roman"/>
                <w:color w:val="000000" w:themeColor="text1"/>
              </w:rPr>
            </w:pPr>
            <w:r w:rsidRPr="00666531">
              <w:rPr>
                <w:rFonts w:ascii="Times New Roman" w:hAnsi="Times New Roman" w:cs="Times New Roman"/>
                <w:color w:val="000000" w:themeColor="text1"/>
                <w:sz w:val="21"/>
                <w:szCs w:val="21"/>
              </w:rPr>
              <w:t>+6.10 ± 0.16</w:t>
            </w:r>
          </w:p>
        </w:tc>
        <w:tc>
          <w:tcPr>
            <w:tcW w:w="3120" w:type="dxa"/>
            <w:tcMar>
              <w:top w:w="40" w:type="dxa"/>
              <w:left w:w="90" w:type="dxa"/>
              <w:bottom w:w="40" w:type="dxa"/>
              <w:right w:w="90" w:type="dxa"/>
            </w:tcMar>
          </w:tcPr>
          <w:p w14:paraId="59E5B007" w14:textId="77777777" w:rsidR="00640EF9" w:rsidRPr="00666531" w:rsidRDefault="00000000">
            <w:pPr>
              <w:jc w:val="center"/>
              <w:rPr>
                <w:rFonts w:ascii="Times New Roman" w:hAnsi="Times New Roman" w:cs="Times New Roman"/>
                <w:color w:val="000000" w:themeColor="text1"/>
              </w:rPr>
            </w:pPr>
            <w:r w:rsidRPr="00666531">
              <w:rPr>
                <w:rFonts w:ascii="Times New Roman" w:hAnsi="Times New Roman" w:cs="Times New Roman"/>
                <w:color w:val="000000" w:themeColor="text1"/>
                <w:sz w:val="21"/>
                <w:szCs w:val="21"/>
              </w:rPr>
              <w:t>3.4×</w:t>
            </w:r>
          </w:p>
        </w:tc>
      </w:tr>
      <w:tr w:rsidR="00640EF9" w:rsidRPr="00666531" w14:paraId="2837CAEF" w14:textId="77777777">
        <w:tblPrEx>
          <w:tblCellMar>
            <w:top w:w="0" w:type="dxa"/>
            <w:bottom w:w="0" w:type="dxa"/>
          </w:tblCellMar>
        </w:tblPrEx>
        <w:tc>
          <w:tcPr>
            <w:tcW w:w="3120" w:type="dxa"/>
            <w:tcMar>
              <w:top w:w="40" w:type="dxa"/>
              <w:left w:w="90" w:type="dxa"/>
              <w:bottom w:w="40" w:type="dxa"/>
              <w:right w:w="90" w:type="dxa"/>
            </w:tcMar>
          </w:tcPr>
          <w:p w14:paraId="77DB1C0A" w14:textId="77777777" w:rsidR="00640EF9" w:rsidRPr="00666531" w:rsidRDefault="00000000">
            <w:pPr>
              <w:rPr>
                <w:rFonts w:ascii="Times New Roman" w:hAnsi="Times New Roman" w:cs="Times New Roman"/>
                <w:color w:val="000000" w:themeColor="text1"/>
              </w:rPr>
            </w:pPr>
            <w:r w:rsidRPr="00666531">
              <w:rPr>
                <w:rFonts w:ascii="Times New Roman" w:hAnsi="Times New Roman" w:cs="Times New Roman"/>
                <w:color w:val="000000" w:themeColor="text1"/>
                <w:sz w:val="21"/>
                <w:szCs w:val="21"/>
              </w:rPr>
              <w:t>G190A</w:t>
            </w:r>
          </w:p>
        </w:tc>
        <w:tc>
          <w:tcPr>
            <w:tcW w:w="3120" w:type="dxa"/>
            <w:tcMar>
              <w:top w:w="40" w:type="dxa"/>
              <w:left w:w="90" w:type="dxa"/>
              <w:bottom w:w="40" w:type="dxa"/>
              <w:right w:w="90" w:type="dxa"/>
            </w:tcMar>
          </w:tcPr>
          <w:p w14:paraId="2BCF9116" w14:textId="77777777" w:rsidR="00640EF9" w:rsidRPr="00666531" w:rsidRDefault="00000000">
            <w:pPr>
              <w:jc w:val="center"/>
              <w:rPr>
                <w:rFonts w:ascii="Times New Roman" w:hAnsi="Times New Roman" w:cs="Times New Roman"/>
                <w:color w:val="000000" w:themeColor="text1"/>
              </w:rPr>
            </w:pPr>
            <w:r w:rsidRPr="00666531">
              <w:rPr>
                <w:rFonts w:ascii="Times New Roman" w:hAnsi="Times New Roman" w:cs="Times New Roman"/>
                <w:color w:val="000000" w:themeColor="text1"/>
                <w:sz w:val="21"/>
                <w:szCs w:val="21"/>
              </w:rPr>
              <w:t>+0.27 ± 0.17</w:t>
            </w:r>
          </w:p>
        </w:tc>
        <w:tc>
          <w:tcPr>
            <w:tcW w:w="3120" w:type="dxa"/>
            <w:tcMar>
              <w:top w:w="40" w:type="dxa"/>
              <w:left w:w="90" w:type="dxa"/>
              <w:bottom w:w="40" w:type="dxa"/>
              <w:right w:w="90" w:type="dxa"/>
            </w:tcMar>
          </w:tcPr>
          <w:p w14:paraId="54FDD095" w14:textId="77777777" w:rsidR="00640EF9" w:rsidRPr="00666531" w:rsidRDefault="00000000">
            <w:pPr>
              <w:jc w:val="center"/>
              <w:rPr>
                <w:rFonts w:ascii="Times New Roman" w:hAnsi="Times New Roman" w:cs="Times New Roman"/>
                <w:color w:val="000000" w:themeColor="text1"/>
              </w:rPr>
            </w:pPr>
            <w:r w:rsidRPr="00666531">
              <w:rPr>
                <w:rFonts w:ascii="Times New Roman" w:hAnsi="Times New Roman" w:cs="Times New Roman"/>
                <w:color w:val="000000" w:themeColor="text1"/>
                <w:sz w:val="21"/>
                <w:szCs w:val="21"/>
              </w:rPr>
              <w:t>2.7×</w:t>
            </w:r>
          </w:p>
        </w:tc>
      </w:tr>
      <w:tr w:rsidR="00640EF9" w:rsidRPr="00666531" w14:paraId="58F6B900" w14:textId="77777777">
        <w:tblPrEx>
          <w:tblCellMar>
            <w:top w:w="0" w:type="dxa"/>
            <w:bottom w:w="0" w:type="dxa"/>
          </w:tblCellMar>
        </w:tblPrEx>
        <w:tc>
          <w:tcPr>
            <w:tcW w:w="3120" w:type="dxa"/>
            <w:tcMar>
              <w:top w:w="40" w:type="dxa"/>
              <w:left w:w="90" w:type="dxa"/>
              <w:bottom w:w="40" w:type="dxa"/>
              <w:right w:w="90" w:type="dxa"/>
            </w:tcMar>
          </w:tcPr>
          <w:p w14:paraId="7F70EE63" w14:textId="77777777" w:rsidR="00640EF9" w:rsidRPr="00666531" w:rsidRDefault="00000000">
            <w:pPr>
              <w:rPr>
                <w:rFonts w:ascii="Times New Roman" w:hAnsi="Times New Roman" w:cs="Times New Roman"/>
                <w:color w:val="000000" w:themeColor="text1"/>
              </w:rPr>
            </w:pPr>
            <w:r w:rsidRPr="00666531">
              <w:rPr>
                <w:rFonts w:ascii="Times New Roman" w:hAnsi="Times New Roman" w:cs="Times New Roman"/>
                <w:color w:val="000000" w:themeColor="text1"/>
                <w:sz w:val="21"/>
                <w:szCs w:val="21"/>
              </w:rPr>
              <w:t>Y181C</w:t>
            </w:r>
          </w:p>
        </w:tc>
        <w:tc>
          <w:tcPr>
            <w:tcW w:w="3120" w:type="dxa"/>
            <w:tcMar>
              <w:top w:w="40" w:type="dxa"/>
              <w:left w:w="90" w:type="dxa"/>
              <w:bottom w:w="40" w:type="dxa"/>
              <w:right w:w="90" w:type="dxa"/>
            </w:tcMar>
          </w:tcPr>
          <w:p w14:paraId="2A765BAE" w14:textId="77777777" w:rsidR="00640EF9" w:rsidRPr="00666531" w:rsidRDefault="00000000">
            <w:pPr>
              <w:jc w:val="center"/>
              <w:rPr>
                <w:rFonts w:ascii="Times New Roman" w:hAnsi="Times New Roman" w:cs="Times New Roman"/>
                <w:color w:val="000000" w:themeColor="text1"/>
              </w:rPr>
            </w:pPr>
            <w:r w:rsidRPr="00666531">
              <w:rPr>
                <w:rFonts w:ascii="Times New Roman" w:hAnsi="Times New Roman" w:cs="Times New Roman"/>
                <w:color w:val="000000" w:themeColor="text1"/>
                <w:sz w:val="21"/>
                <w:szCs w:val="21"/>
              </w:rPr>
              <w:t>−0.66 ± 1.06</w:t>
            </w:r>
          </w:p>
        </w:tc>
        <w:tc>
          <w:tcPr>
            <w:tcW w:w="3120" w:type="dxa"/>
            <w:tcMar>
              <w:top w:w="40" w:type="dxa"/>
              <w:left w:w="90" w:type="dxa"/>
              <w:bottom w:w="40" w:type="dxa"/>
              <w:right w:w="90" w:type="dxa"/>
            </w:tcMar>
          </w:tcPr>
          <w:p w14:paraId="19A7E486" w14:textId="77777777" w:rsidR="00640EF9" w:rsidRPr="00666531" w:rsidRDefault="00000000">
            <w:pPr>
              <w:jc w:val="center"/>
              <w:rPr>
                <w:rFonts w:ascii="Times New Roman" w:hAnsi="Times New Roman" w:cs="Times New Roman"/>
                <w:color w:val="000000" w:themeColor="text1"/>
              </w:rPr>
            </w:pPr>
            <w:r w:rsidRPr="00666531">
              <w:rPr>
                <w:rFonts w:ascii="Times New Roman" w:hAnsi="Times New Roman" w:cs="Times New Roman"/>
                <w:color w:val="000000" w:themeColor="text1"/>
                <w:sz w:val="21"/>
                <w:szCs w:val="21"/>
              </w:rPr>
              <w:t>1.4×</w:t>
            </w:r>
          </w:p>
        </w:tc>
      </w:tr>
      <w:tr w:rsidR="00640EF9" w:rsidRPr="00666531" w14:paraId="4B61C86B" w14:textId="77777777">
        <w:tblPrEx>
          <w:tblCellMar>
            <w:top w:w="0" w:type="dxa"/>
            <w:bottom w:w="0" w:type="dxa"/>
          </w:tblCellMar>
        </w:tblPrEx>
        <w:tc>
          <w:tcPr>
            <w:tcW w:w="3120" w:type="dxa"/>
            <w:tcMar>
              <w:top w:w="40" w:type="dxa"/>
              <w:left w:w="90" w:type="dxa"/>
              <w:bottom w:w="40" w:type="dxa"/>
              <w:right w:w="90" w:type="dxa"/>
            </w:tcMar>
          </w:tcPr>
          <w:p w14:paraId="0C242A6B" w14:textId="77777777" w:rsidR="00640EF9" w:rsidRPr="00666531" w:rsidRDefault="00000000">
            <w:pPr>
              <w:rPr>
                <w:rFonts w:ascii="Times New Roman" w:hAnsi="Times New Roman" w:cs="Times New Roman"/>
                <w:color w:val="000000" w:themeColor="text1"/>
              </w:rPr>
            </w:pPr>
            <w:r w:rsidRPr="00666531">
              <w:rPr>
                <w:rFonts w:ascii="Times New Roman" w:hAnsi="Times New Roman" w:cs="Times New Roman"/>
                <w:color w:val="000000" w:themeColor="text1"/>
                <w:sz w:val="21"/>
                <w:szCs w:val="21"/>
              </w:rPr>
              <w:t>V106I</w:t>
            </w:r>
          </w:p>
        </w:tc>
        <w:tc>
          <w:tcPr>
            <w:tcW w:w="3120" w:type="dxa"/>
            <w:tcMar>
              <w:top w:w="40" w:type="dxa"/>
              <w:left w:w="90" w:type="dxa"/>
              <w:bottom w:w="40" w:type="dxa"/>
              <w:right w:w="90" w:type="dxa"/>
            </w:tcMar>
          </w:tcPr>
          <w:p w14:paraId="627BF02F" w14:textId="77777777" w:rsidR="00640EF9" w:rsidRPr="00666531" w:rsidRDefault="00000000">
            <w:pPr>
              <w:jc w:val="center"/>
              <w:rPr>
                <w:rFonts w:ascii="Times New Roman" w:hAnsi="Times New Roman" w:cs="Times New Roman"/>
                <w:color w:val="000000" w:themeColor="text1"/>
              </w:rPr>
            </w:pPr>
            <w:r w:rsidRPr="00666531">
              <w:rPr>
                <w:rFonts w:ascii="Times New Roman" w:hAnsi="Times New Roman" w:cs="Times New Roman"/>
                <w:color w:val="000000" w:themeColor="text1"/>
                <w:sz w:val="21"/>
                <w:szCs w:val="21"/>
              </w:rPr>
              <w:t>+2.27 ± 0.74</w:t>
            </w:r>
          </w:p>
        </w:tc>
        <w:tc>
          <w:tcPr>
            <w:tcW w:w="3120" w:type="dxa"/>
            <w:tcMar>
              <w:top w:w="40" w:type="dxa"/>
              <w:left w:w="90" w:type="dxa"/>
              <w:bottom w:w="40" w:type="dxa"/>
              <w:right w:w="90" w:type="dxa"/>
            </w:tcMar>
          </w:tcPr>
          <w:p w14:paraId="47BA2672" w14:textId="77777777" w:rsidR="00640EF9" w:rsidRPr="00666531" w:rsidRDefault="00000000">
            <w:pPr>
              <w:jc w:val="center"/>
              <w:rPr>
                <w:rFonts w:ascii="Times New Roman" w:hAnsi="Times New Roman" w:cs="Times New Roman"/>
                <w:color w:val="000000" w:themeColor="text1"/>
              </w:rPr>
            </w:pPr>
            <w:r w:rsidRPr="00666531">
              <w:rPr>
                <w:rFonts w:ascii="Times New Roman" w:hAnsi="Times New Roman" w:cs="Times New Roman"/>
                <w:color w:val="000000" w:themeColor="text1"/>
                <w:sz w:val="21"/>
                <w:szCs w:val="21"/>
              </w:rPr>
              <w:t>1.1×</w:t>
            </w:r>
          </w:p>
        </w:tc>
      </w:tr>
    </w:tbl>
    <w:p w14:paraId="01528505" w14:textId="7F3839FD" w:rsidR="00640EF9" w:rsidRPr="00666531" w:rsidRDefault="00000000" w:rsidP="00666531">
      <w:pPr>
        <w:spacing w:after="180"/>
        <w:rPr>
          <w:rFonts w:ascii="Times New Roman" w:hAnsi="Times New Roman" w:cs="Times New Roman"/>
          <w:color w:val="000000" w:themeColor="text1"/>
        </w:rPr>
      </w:pPr>
      <w:r w:rsidRPr="00666531">
        <w:rPr>
          <w:rFonts w:ascii="Times New Roman" w:hAnsi="Times New Roman" w:cs="Times New Roman"/>
          <w:i/>
          <w:iCs/>
          <w:color w:val="000000" w:themeColor="text1"/>
          <w:sz w:val="18"/>
          <w:szCs w:val="18"/>
        </w:rPr>
        <w:t>Table 1.  Single-mutation ΔΔG</w:t>
      </w:r>
      <w:r w:rsidR="00B96BE7">
        <w:rPr>
          <w:rFonts w:ascii="Times New Roman" w:hAnsi="Times New Roman" w:cs="Times New Roman"/>
          <w:i/>
          <w:iCs/>
          <w:color w:val="000000" w:themeColor="text1"/>
          <w:sz w:val="18"/>
          <w:szCs w:val="18"/>
          <w:vertAlign w:val="subscript"/>
        </w:rPr>
        <w:t>bind</w:t>
      </w:r>
      <w:r w:rsidRPr="00666531">
        <w:rPr>
          <w:rFonts w:ascii="Times New Roman" w:hAnsi="Times New Roman" w:cs="Times New Roman"/>
          <w:i/>
          <w:iCs/>
          <w:color w:val="000000" w:themeColor="text1"/>
          <w:sz w:val="18"/>
          <w:szCs w:val="18"/>
        </w:rPr>
        <w:t xml:space="preserve"> (mean ± SEM over 3 replicates), ordered by fold-change. Positive ΔΔG</w:t>
      </w:r>
      <w:r w:rsidR="00B96BE7">
        <w:rPr>
          <w:rFonts w:ascii="Times New Roman" w:hAnsi="Times New Roman" w:cs="Times New Roman"/>
          <w:i/>
          <w:iCs/>
          <w:color w:val="000000" w:themeColor="text1"/>
          <w:sz w:val="18"/>
          <w:szCs w:val="18"/>
          <w:vertAlign w:val="subscript"/>
        </w:rPr>
        <w:t>bind</w:t>
      </w:r>
      <w:r w:rsidRPr="00666531">
        <w:rPr>
          <w:rFonts w:ascii="Times New Roman" w:hAnsi="Times New Roman" w:cs="Times New Roman"/>
          <w:i/>
          <w:iCs/>
          <w:color w:val="000000" w:themeColor="text1"/>
          <w:sz w:val="18"/>
          <w:szCs w:val="18"/>
        </w:rPr>
        <w:t xml:space="preserve"> = weaker binding.</w:t>
      </w:r>
    </w:p>
    <w:p w14:paraId="55C5C39E" w14:textId="1AA33E5A" w:rsidR="00640EF9" w:rsidRPr="00666531" w:rsidRDefault="00B96BE7">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Two</w:t>
      </w:r>
      <w:r w:rsidR="00000000" w:rsidRPr="00666531">
        <w:rPr>
          <w:rFonts w:ascii="Times New Roman" w:hAnsi="Times New Roman" w:cs="Times New Roman"/>
          <w:color w:val="000000" w:themeColor="text1"/>
          <w:sz w:val="22"/>
          <w:szCs w:val="22"/>
        </w:rPr>
        <w:t xml:space="preserve"> charge-changing mutations (K103N, G190E) and </w:t>
      </w:r>
      <w:r>
        <w:rPr>
          <w:rFonts w:ascii="Times New Roman" w:hAnsi="Times New Roman" w:cs="Times New Roman"/>
          <w:color w:val="000000" w:themeColor="text1"/>
          <w:sz w:val="22"/>
          <w:szCs w:val="22"/>
        </w:rPr>
        <w:t xml:space="preserve">all </w:t>
      </w:r>
      <w:r w:rsidR="00000000" w:rsidRPr="00666531">
        <w:rPr>
          <w:rFonts w:ascii="Times New Roman" w:hAnsi="Times New Roman" w:cs="Times New Roman"/>
          <w:color w:val="000000" w:themeColor="text1"/>
          <w:sz w:val="22"/>
          <w:szCs w:val="22"/>
        </w:rPr>
        <w:t xml:space="preserve">the </w:t>
      </w:r>
      <w:r w:rsidR="00EB2C3A">
        <w:rPr>
          <w:rFonts w:ascii="Times New Roman" w:hAnsi="Times New Roman" w:cs="Times New Roman"/>
          <w:color w:val="000000" w:themeColor="text1"/>
          <w:sz w:val="22"/>
          <w:szCs w:val="22"/>
        </w:rPr>
        <w:t>double</w:t>
      </w:r>
      <w:r>
        <w:rPr>
          <w:rFonts w:ascii="Times New Roman" w:hAnsi="Times New Roman" w:cs="Times New Roman"/>
          <w:color w:val="000000" w:themeColor="text1"/>
          <w:sz w:val="22"/>
          <w:szCs w:val="22"/>
        </w:rPr>
        <w:t>-mutation</w:t>
      </w:r>
      <w:r w:rsidR="00000000" w:rsidRPr="00666531">
        <w:rPr>
          <w:rFonts w:ascii="Times New Roman" w:hAnsi="Times New Roman" w:cs="Times New Roman"/>
          <w:color w:val="000000" w:themeColor="text1"/>
          <w:sz w:val="22"/>
          <w:szCs w:val="22"/>
        </w:rPr>
        <w:t xml:space="preserve"> genotypes are still running. The correlation above is therefore preliminary and will change as the remaining genotypes are added. What the present data establish is that the calculation is reproducible — the replicate standard error is at or below ~1 kcal/mol. How far the binding contribution accounts for resistance across the complete panel is the question the finished panel will answer.</w:t>
      </w:r>
    </w:p>
    <w:p w14:paraId="1EEE6416" w14:textId="24CCB62E" w:rsidR="00640EF9" w:rsidRPr="00666531" w:rsidRDefault="00BA04D0">
      <w:pPr>
        <w:pStyle w:val="Heading1"/>
        <w:spacing w:before="280" w:after="120"/>
        <w:rPr>
          <w:rFonts w:ascii="Times New Roman" w:hAnsi="Times New Roman" w:cs="Times New Roman"/>
          <w:color w:val="000000" w:themeColor="text1"/>
        </w:rPr>
      </w:pPr>
      <w:r>
        <w:rPr>
          <w:rFonts w:ascii="Times New Roman" w:hAnsi="Times New Roman" w:cs="Times New Roman"/>
          <w:b/>
          <w:bCs/>
          <w:color w:val="000000" w:themeColor="text1"/>
        </w:rPr>
        <w:t xml:space="preserve">Main </w:t>
      </w:r>
      <w:r w:rsidR="00000000" w:rsidRPr="00666531">
        <w:rPr>
          <w:rFonts w:ascii="Times New Roman" w:hAnsi="Times New Roman" w:cs="Times New Roman"/>
          <w:b/>
          <w:bCs/>
          <w:color w:val="000000" w:themeColor="text1"/>
        </w:rPr>
        <w:t>Limitation</w:t>
      </w:r>
    </w:p>
    <w:p w14:paraId="3A825D36" w14:textId="73A04BB3" w:rsidR="00640EF9" w:rsidRPr="00BA04D0" w:rsidRDefault="00000000" w:rsidP="00BA04D0">
      <w:pPr>
        <w:spacing w:after="80" w:line="269" w:lineRule="auto"/>
        <w:rPr>
          <w:rFonts w:ascii="Times New Roman" w:hAnsi="Times New Roman" w:cs="Times New Roman"/>
          <w:color w:val="000000" w:themeColor="text1"/>
          <w:sz w:val="22"/>
          <w:szCs w:val="22"/>
        </w:rPr>
      </w:pPr>
      <w:r w:rsidRPr="00BA04D0">
        <w:rPr>
          <w:rFonts w:ascii="Times New Roman" w:hAnsi="Times New Roman" w:cs="Times New Roman"/>
          <w:b/>
          <w:bCs/>
          <w:color w:val="000000" w:themeColor="text1"/>
          <w:sz w:val="22"/>
          <w:szCs w:val="22"/>
        </w:rPr>
        <w:t xml:space="preserve">The drug-free pocket </w:t>
      </w:r>
      <w:r w:rsidR="00EF6103" w:rsidRPr="00BA04D0">
        <w:rPr>
          <w:rFonts w:ascii="Times New Roman" w:hAnsi="Times New Roman" w:cs="Times New Roman"/>
          <w:b/>
          <w:bCs/>
          <w:color w:val="000000" w:themeColor="text1"/>
          <w:sz w:val="22"/>
          <w:szCs w:val="22"/>
        </w:rPr>
        <w:t xml:space="preserve">is dynamic. </w:t>
      </w:r>
      <w:r w:rsidR="00441704" w:rsidRPr="00BA04D0">
        <w:rPr>
          <w:rFonts w:ascii="Times New Roman" w:hAnsi="Times New Roman" w:cs="Times New Roman"/>
          <w:color w:val="000000" w:themeColor="text1"/>
          <w:sz w:val="22"/>
          <w:szCs w:val="22"/>
        </w:rPr>
        <w:t xml:space="preserve">The doravirine pocket does not exist in the empty enzyme — the drug creates it on binding — so once the drug is absent the pocket begins to collapse. Our drug-free legs start from a bound-like, open-pocket conformation and are equilibrated for </w:t>
      </w:r>
      <w:r w:rsidR="00441704" w:rsidRPr="00BA04D0">
        <w:rPr>
          <w:rFonts w:ascii="Times New Roman" w:hAnsi="Times New Roman" w:cs="Times New Roman"/>
          <w:color w:val="000000" w:themeColor="text1"/>
          <w:sz w:val="22"/>
          <w:szCs w:val="22"/>
        </w:rPr>
        <w:t>~</w:t>
      </w:r>
      <w:r w:rsidR="00441704" w:rsidRPr="00BA04D0">
        <w:rPr>
          <w:rFonts w:ascii="Times New Roman" w:hAnsi="Times New Roman" w:cs="Times New Roman"/>
          <w:color w:val="000000" w:themeColor="text1"/>
          <w:sz w:val="22"/>
          <w:szCs w:val="22"/>
        </w:rPr>
        <w:t xml:space="preserve">5 ns, so they sample the pocket part-way through that collapse rather than at equilibrium; this is the largest source of uncertainty in the cycle. Every drug-free leg starts from the same wild-type apo ensemble, so error in that shared baseline is common to all mutations and cancels when we rank them, while the mutation-specific reshaping of the collapsing pocket does not. </w:t>
      </w:r>
      <w:r w:rsidR="00441704" w:rsidRPr="00BA04D0">
        <w:rPr>
          <w:rFonts w:ascii="Times New Roman" w:hAnsi="Times New Roman" w:cs="Times New Roman"/>
          <w:color w:val="000000" w:themeColor="text1"/>
          <w:sz w:val="22"/>
          <w:szCs w:val="22"/>
        </w:rPr>
        <w:t>One</w:t>
      </w:r>
      <w:r w:rsidR="00441704" w:rsidRPr="00BA04D0">
        <w:rPr>
          <w:rFonts w:ascii="Times New Roman" w:hAnsi="Times New Roman" w:cs="Times New Roman"/>
          <w:color w:val="000000" w:themeColor="text1"/>
          <w:sz w:val="22"/>
          <w:szCs w:val="22"/>
        </w:rPr>
        <w:t xml:space="preserve"> lever </w:t>
      </w:r>
      <w:r w:rsidR="00441704" w:rsidRPr="00BA04D0">
        <w:rPr>
          <w:rFonts w:ascii="Times New Roman" w:hAnsi="Times New Roman" w:cs="Times New Roman"/>
          <w:color w:val="000000" w:themeColor="text1"/>
          <w:sz w:val="22"/>
          <w:szCs w:val="22"/>
        </w:rPr>
        <w:t xml:space="preserve">to overcome this limitation </w:t>
      </w:r>
      <w:r w:rsidR="00441704" w:rsidRPr="00BA04D0">
        <w:rPr>
          <w:rFonts w:ascii="Times New Roman" w:hAnsi="Times New Roman" w:cs="Times New Roman"/>
          <w:color w:val="000000" w:themeColor="text1"/>
          <w:sz w:val="22"/>
          <w:szCs w:val="22"/>
        </w:rPr>
        <w:t>is sampling: seeding the drug-free endpoint from long unliganded trajectories (100 ns and beyond) so its ensemble reaches the true collapsed state, rather than the short equilibration used so far (</w:t>
      </w:r>
      <w:r w:rsidR="00441704" w:rsidRPr="00BA04D0">
        <w:rPr>
          <w:rFonts w:ascii="Times New Roman" w:hAnsi="Times New Roman" w:cs="Times New Roman"/>
          <w:color w:val="000000" w:themeColor="text1"/>
          <w:sz w:val="22"/>
          <w:szCs w:val="22"/>
        </w:rPr>
        <w:t>see Next Steps</w:t>
      </w:r>
      <w:r w:rsidR="00441704" w:rsidRPr="00BA04D0">
        <w:rPr>
          <w:rFonts w:ascii="Times New Roman" w:hAnsi="Times New Roman" w:cs="Times New Roman"/>
          <w:color w:val="000000" w:themeColor="text1"/>
          <w:sz w:val="22"/>
          <w:szCs w:val="22"/>
        </w:rPr>
        <w:t>).</w:t>
      </w:r>
    </w:p>
    <w:p w14:paraId="6497574D" w14:textId="6F9EC015" w:rsidR="00640EF9" w:rsidRPr="00666531" w:rsidRDefault="00000000">
      <w:pPr>
        <w:pStyle w:val="Heading1"/>
        <w:spacing w:before="280" w:after="120"/>
        <w:rPr>
          <w:rFonts w:ascii="Times New Roman" w:hAnsi="Times New Roman" w:cs="Times New Roman"/>
          <w:color w:val="000000" w:themeColor="text1"/>
        </w:rPr>
      </w:pPr>
      <w:r w:rsidRPr="00666531">
        <w:rPr>
          <w:rFonts w:ascii="Times New Roman" w:hAnsi="Times New Roman" w:cs="Times New Roman"/>
          <w:b/>
          <w:bCs/>
          <w:color w:val="000000" w:themeColor="text1"/>
        </w:rPr>
        <w:t>Next steps</w:t>
      </w:r>
    </w:p>
    <w:p w14:paraId="1CFD19A3" w14:textId="77777777" w:rsidR="00640EF9" w:rsidRPr="00666531" w:rsidRDefault="00000000">
      <w:pPr>
        <w:pStyle w:val="ListParagraph"/>
        <w:numPr>
          <w:ilvl w:val="0"/>
          <w:numId w:val="2"/>
        </w:numPr>
        <w:spacing w:after="80" w:line="268" w:lineRule="auto"/>
        <w:rPr>
          <w:rFonts w:ascii="Times New Roman" w:hAnsi="Times New Roman" w:cs="Times New Roman"/>
          <w:color w:val="000000" w:themeColor="text1"/>
        </w:rPr>
      </w:pPr>
      <w:r w:rsidRPr="00666531">
        <w:rPr>
          <w:rFonts w:ascii="Times New Roman" w:hAnsi="Times New Roman" w:cs="Times New Roman"/>
          <w:b/>
          <w:bCs/>
          <w:color w:val="000000" w:themeColor="text1"/>
          <w:sz w:val="22"/>
          <w:szCs w:val="22"/>
        </w:rPr>
        <w:t xml:space="preserve">Charge-changing mutations (K103N, G190E).  </w:t>
      </w:r>
      <w:r w:rsidRPr="00666531">
        <w:rPr>
          <w:rFonts w:ascii="Times New Roman" w:hAnsi="Times New Roman" w:cs="Times New Roman"/>
          <w:color w:val="000000" w:themeColor="text1"/>
          <w:sz w:val="22"/>
          <w:szCs w:val="22"/>
        </w:rPr>
        <w:t>These change the net charge, which distorts electrostatics in a periodic box if handled naively. We have implemented a scheme in which, as the mutation removes a unit of charge, one distant counter-ion is simultaneously discharged, so the box stays neutral throughout the morph and its identical contribution cancels between the drug-bound and drug-free legs. Both charge legs are running under this protocol; validation — confirming the result is independent of which distant ion is chosen — is in progress.</w:t>
      </w:r>
    </w:p>
    <w:p w14:paraId="34CD54F0" w14:textId="4E397478" w:rsidR="00640EF9" w:rsidRPr="00666531" w:rsidRDefault="00000000">
      <w:pPr>
        <w:pStyle w:val="ListParagraph"/>
        <w:numPr>
          <w:ilvl w:val="0"/>
          <w:numId w:val="2"/>
        </w:numPr>
        <w:spacing w:after="80" w:line="268" w:lineRule="auto"/>
        <w:rPr>
          <w:rFonts w:ascii="Times New Roman" w:hAnsi="Times New Roman" w:cs="Times New Roman"/>
          <w:color w:val="000000" w:themeColor="text1"/>
        </w:rPr>
      </w:pPr>
      <w:r w:rsidRPr="00666531">
        <w:rPr>
          <w:rFonts w:ascii="Times New Roman" w:hAnsi="Times New Roman" w:cs="Times New Roman"/>
          <w:b/>
          <w:bCs/>
          <w:color w:val="000000" w:themeColor="text1"/>
          <w:sz w:val="22"/>
          <w:szCs w:val="22"/>
        </w:rPr>
        <w:t xml:space="preserve">Timescale test.  </w:t>
      </w:r>
      <w:r w:rsidRPr="00666531">
        <w:rPr>
          <w:rFonts w:ascii="Times New Roman" w:hAnsi="Times New Roman" w:cs="Times New Roman"/>
          <w:color w:val="000000" w:themeColor="text1"/>
          <w:sz w:val="22"/>
          <w:szCs w:val="22"/>
        </w:rPr>
        <w:t>For a representative mutation we will seed the morph from longer trajectories (the 100 ns runs already available, and longer if warranted) instead of the short endpoint equilibration, and check whether ΔΔG</w:t>
      </w:r>
      <w:r w:rsidR="00BA04D0">
        <w:rPr>
          <w:rFonts w:ascii="Times New Roman" w:hAnsi="Times New Roman" w:cs="Times New Roman"/>
          <w:color w:val="000000" w:themeColor="text1"/>
          <w:sz w:val="22"/>
          <w:szCs w:val="22"/>
          <w:vertAlign w:val="subscript"/>
        </w:rPr>
        <w:t>bind</w:t>
      </w:r>
      <w:r w:rsidRPr="00666531">
        <w:rPr>
          <w:rFonts w:ascii="Times New Roman" w:hAnsi="Times New Roman" w:cs="Times New Roman"/>
          <w:color w:val="000000" w:themeColor="text1"/>
          <w:sz w:val="22"/>
          <w:szCs w:val="22"/>
        </w:rPr>
        <w:t xml:space="preserve"> moves — the same logic as the switch-length test in </w:t>
      </w:r>
      <w:r w:rsidR="00A66D88">
        <w:rPr>
          <w:rFonts w:ascii="Times New Roman" w:hAnsi="Times New Roman" w:cs="Times New Roman"/>
          <w:color w:val="000000" w:themeColor="text1"/>
          <w:sz w:val="22"/>
          <w:szCs w:val="22"/>
        </w:rPr>
        <w:t>Methods section</w:t>
      </w:r>
      <w:r w:rsidRPr="00666531">
        <w:rPr>
          <w:rFonts w:ascii="Times New Roman" w:hAnsi="Times New Roman" w:cs="Times New Roman"/>
          <w:color w:val="000000" w:themeColor="text1"/>
          <w:sz w:val="22"/>
          <w:szCs w:val="22"/>
        </w:rPr>
        <w:t>, applied to the sampling timescale.</w:t>
      </w:r>
    </w:p>
    <w:p w14:paraId="4440430B" w14:textId="49AACF48" w:rsidR="00640EF9" w:rsidRPr="00666531" w:rsidRDefault="00000000">
      <w:pPr>
        <w:pStyle w:val="ListParagraph"/>
        <w:numPr>
          <w:ilvl w:val="0"/>
          <w:numId w:val="2"/>
        </w:numPr>
        <w:spacing w:after="80" w:line="268" w:lineRule="auto"/>
        <w:rPr>
          <w:rFonts w:ascii="Times New Roman" w:hAnsi="Times New Roman" w:cs="Times New Roman"/>
          <w:color w:val="000000" w:themeColor="text1"/>
        </w:rPr>
      </w:pPr>
      <w:r w:rsidRPr="00666531">
        <w:rPr>
          <w:rFonts w:ascii="Times New Roman" w:hAnsi="Times New Roman" w:cs="Times New Roman"/>
          <w:b/>
          <w:bCs/>
          <w:color w:val="000000" w:themeColor="text1"/>
          <w:sz w:val="22"/>
          <w:szCs w:val="22"/>
        </w:rPr>
        <w:t xml:space="preserve">Panel completion.  </w:t>
      </w:r>
      <w:r w:rsidRPr="00666531">
        <w:rPr>
          <w:rFonts w:ascii="Times New Roman" w:hAnsi="Times New Roman" w:cs="Times New Roman"/>
          <w:color w:val="000000" w:themeColor="text1"/>
          <w:sz w:val="22"/>
          <w:szCs w:val="22"/>
        </w:rPr>
        <w:t xml:space="preserve">Finish the single mutations, then the </w:t>
      </w:r>
      <w:r w:rsidR="00E13538">
        <w:rPr>
          <w:rFonts w:ascii="Times New Roman" w:hAnsi="Times New Roman" w:cs="Times New Roman"/>
          <w:color w:val="000000" w:themeColor="text1"/>
          <w:sz w:val="22"/>
          <w:szCs w:val="22"/>
        </w:rPr>
        <w:t>double mutation</w:t>
      </w:r>
      <w:r w:rsidRPr="00666531">
        <w:rPr>
          <w:rFonts w:ascii="Times New Roman" w:hAnsi="Times New Roman" w:cs="Times New Roman"/>
          <w:color w:val="000000" w:themeColor="text1"/>
          <w:sz w:val="22"/>
          <w:szCs w:val="22"/>
        </w:rPr>
        <w:t xml:space="preserve"> genotypes (a test of whether individual mutation effects add), then the full comparison against experiment.</w:t>
      </w:r>
    </w:p>
    <w:p w14:paraId="7058DE40" w14:textId="7D0F2EAC" w:rsidR="00640EF9" w:rsidRPr="00666531" w:rsidRDefault="00000000">
      <w:pPr>
        <w:pStyle w:val="Heading1"/>
        <w:spacing w:before="280" w:after="120"/>
        <w:rPr>
          <w:rFonts w:ascii="Times New Roman" w:hAnsi="Times New Roman" w:cs="Times New Roman"/>
          <w:color w:val="000000" w:themeColor="text1"/>
        </w:rPr>
      </w:pPr>
      <w:r w:rsidRPr="00666531">
        <w:rPr>
          <w:rFonts w:ascii="Times New Roman" w:hAnsi="Times New Roman" w:cs="Times New Roman"/>
          <w:b/>
          <w:bCs/>
          <w:color w:val="000000" w:themeColor="text1"/>
        </w:rPr>
        <w:lastRenderedPageBreak/>
        <w:t>Methods</w:t>
      </w:r>
    </w:p>
    <w:p w14:paraId="1C53349D" w14:textId="0D0C4FF1" w:rsidR="00640EF9" w:rsidRPr="00666531" w:rsidRDefault="00000000">
      <w:pPr>
        <w:pStyle w:val="Heading2"/>
        <w:spacing w:before="180" w:after="80"/>
        <w:rPr>
          <w:rFonts w:ascii="Times New Roman" w:hAnsi="Times New Roman" w:cs="Times New Roman"/>
          <w:color w:val="000000" w:themeColor="text1"/>
        </w:rPr>
      </w:pPr>
      <w:r w:rsidRPr="00666531">
        <w:rPr>
          <w:rFonts w:ascii="Times New Roman" w:hAnsi="Times New Roman" w:cs="Times New Roman"/>
          <w:b/>
          <w:bCs/>
          <w:color w:val="000000" w:themeColor="text1"/>
        </w:rPr>
        <w:t xml:space="preserve">The </w:t>
      </w:r>
      <w:r w:rsidR="002C2B5B">
        <w:rPr>
          <w:rFonts w:ascii="Times New Roman" w:hAnsi="Times New Roman" w:cs="Times New Roman"/>
          <w:b/>
          <w:bCs/>
          <w:color w:val="000000" w:themeColor="text1"/>
        </w:rPr>
        <w:t>Free Energy Perturbation (FEP)</w:t>
      </w:r>
      <w:r w:rsidRPr="00666531">
        <w:rPr>
          <w:rFonts w:ascii="Times New Roman" w:hAnsi="Times New Roman" w:cs="Times New Roman"/>
          <w:b/>
          <w:bCs/>
          <w:color w:val="000000" w:themeColor="text1"/>
        </w:rPr>
        <w:t xml:space="preserve"> cycle</w:t>
      </w:r>
    </w:p>
    <w:p w14:paraId="3F162C26" w14:textId="461D249D" w:rsidR="00640EF9" w:rsidRPr="00666531" w:rsidRDefault="00000000">
      <w:pPr>
        <w:spacing w:after="120" w:line="276" w:lineRule="auto"/>
        <w:jc w:val="both"/>
        <w:rPr>
          <w:rFonts w:ascii="Times New Roman" w:hAnsi="Times New Roman" w:cs="Times New Roman"/>
          <w:color w:val="000000" w:themeColor="text1"/>
        </w:rPr>
      </w:pPr>
      <w:r w:rsidRPr="00666531">
        <w:rPr>
          <w:rFonts w:ascii="Times New Roman" w:hAnsi="Times New Roman" w:cs="Times New Roman"/>
          <w:color w:val="000000" w:themeColor="text1"/>
          <w:sz w:val="22"/>
          <w:szCs w:val="22"/>
        </w:rPr>
        <w:t xml:space="preserve">The change in binding free energy on mutation is the difference of two binding free energies — wild-type and mutant. Computing either absolute binding free energy would mean reversibly removing the drug from the pocket, which is slow and poorly converged. The </w:t>
      </w:r>
      <w:r w:rsidR="00A66890">
        <w:rPr>
          <w:rFonts w:ascii="Times New Roman" w:hAnsi="Times New Roman" w:cs="Times New Roman"/>
          <w:color w:val="000000" w:themeColor="text1"/>
          <w:sz w:val="22"/>
          <w:szCs w:val="22"/>
        </w:rPr>
        <w:t xml:space="preserve">FEP </w:t>
      </w:r>
      <w:r w:rsidRPr="00666531">
        <w:rPr>
          <w:rFonts w:ascii="Times New Roman" w:hAnsi="Times New Roman" w:cs="Times New Roman"/>
          <w:color w:val="000000" w:themeColor="text1"/>
          <w:sz w:val="22"/>
          <w:szCs w:val="22"/>
        </w:rPr>
        <w:t>cycle avoids it: because free energy is a state function, going around the closed cycle sums to zero, which lets us replace the two physical binding steps with two computational mutation steps — one in the drug-bound enzyme, one in the drug-free enzyme:</w:t>
      </w:r>
    </w:p>
    <w:p w14:paraId="50A881B9" w14:textId="77777777" w:rsidR="00640EF9" w:rsidRPr="00666531" w:rsidRDefault="00000000">
      <w:pPr>
        <w:spacing w:before="120" w:after="120"/>
        <w:jc w:val="center"/>
        <w:rPr>
          <w:rFonts w:ascii="Times New Roman" w:hAnsi="Times New Roman" w:cs="Times New Roman"/>
          <w:color w:val="000000" w:themeColor="text1"/>
        </w:rPr>
      </w:pPr>
      <w:r w:rsidRPr="00666531">
        <w:rPr>
          <w:rFonts w:ascii="Times New Roman" w:hAnsi="Times New Roman" w:cs="Times New Roman"/>
          <w:noProof/>
          <w:color w:val="000000" w:themeColor="text1"/>
        </w:rPr>
        <w:drawing>
          <wp:inline distT="0" distB="0" distL="0" distR="0" wp14:anchorId="381F20F0" wp14:editId="1D3F760D">
            <wp:extent cx="4095750" cy="400050"/>
            <wp:effectExtent l="0" t="0" r="0" b="0"/>
            <wp:docPr id="1056499275" name="Picture 1056499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400050"/>
                    </a:xfrm>
                    <a:prstGeom prst="rect">
                      <a:avLst/>
                    </a:prstGeom>
                  </pic:spPr>
                </pic:pic>
              </a:graphicData>
            </a:graphic>
          </wp:inline>
        </w:drawing>
      </w:r>
    </w:p>
    <w:p w14:paraId="6B8580D4" w14:textId="5768E486" w:rsidR="00640EF9" w:rsidRPr="00666531" w:rsidRDefault="00000000">
      <w:pPr>
        <w:spacing w:after="120" w:line="276" w:lineRule="auto"/>
        <w:jc w:val="both"/>
        <w:rPr>
          <w:rFonts w:ascii="Times New Roman" w:hAnsi="Times New Roman" w:cs="Times New Roman"/>
          <w:color w:val="000000" w:themeColor="text1"/>
        </w:rPr>
      </w:pPr>
      <w:r w:rsidRPr="00666531">
        <w:rPr>
          <w:rFonts w:ascii="Times New Roman" w:hAnsi="Times New Roman" w:cs="Times New Roman"/>
          <w:color w:val="000000" w:themeColor="text1"/>
          <w:sz w:val="22"/>
          <w:szCs w:val="22"/>
        </w:rPr>
        <w:t>The intractable absolute binding terms cancel exactly, leaving two transformations we can compute</w:t>
      </w:r>
      <w:r w:rsidR="00A66890">
        <w:rPr>
          <w:rFonts w:ascii="Times New Roman" w:hAnsi="Times New Roman" w:cs="Times New Roman"/>
          <w:color w:val="000000" w:themeColor="text1"/>
          <w:sz w:val="22"/>
          <w:szCs w:val="22"/>
        </w:rPr>
        <w:t xml:space="preserve"> (drug vs no drug and mut vs WT)</w:t>
      </w:r>
      <w:r w:rsidRPr="00666531">
        <w:rPr>
          <w:rFonts w:ascii="Times New Roman" w:hAnsi="Times New Roman" w:cs="Times New Roman"/>
          <w:color w:val="000000" w:themeColor="text1"/>
          <w:sz w:val="22"/>
          <w:szCs w:val="22"/>
        </w:rPr>
        <w:t>.</w:t>
      </w:r>
    </w:p>
    <w:p w14:paraId="7BAC310F" w14:textId="6E13C9C9" w:rsidR="00640EF9" w:rsidRPr="00666531" w:rsidRDefault="00000000">
      <w:pPr>
        <w:pStyle w:val="Heading2"/>
        <w:spacing w:before="180" w:after="80"/>
        <w:rPr>
          <w:rFonts w:ascii="Times New Roman" w:hAnsi="Times New Roman" w:cs="Times New Roman"/>
          <w:color w:val="000000" w:themeColor="text1"/>
        </w:rPr>
      </w:pPr>
      <w:r w:rsidRPr="00666531">
        <w:rPr>
          <w:rFonts w:ascii="Times New Roman" w:hAnsi="Times New Roman" w:cs="Times New Roman"/>
          <w:b/>
          <w:bCs/>
          <w:color w:val="000000" w:themeColor="text1"/>
        </w:rPr>
        <w:t>Why we drive the transition instead of equilibrating it</w:t>
      </w:r>
    </w:p>
    <w:p w14:paraId="17E309CF" w14:textId="77777777" w:rsidR="00640EF9" w:rsidRPr="00666531" w:rsidRDefault="00000000">
      <w:pPr>
        <w:spacing w:after="120" w:line="276" w:lineRule="auto"/>
        <w:jc w:val="both"/>
        <w:rPr>
          <w:rFonts w:ascii="Times New Roman" w:hAnsi="Times New Roman" w:cs="Times New Roman"/>
          <w:color w:val="000000" w:themeColor="text1"/>
        </w:rPr>
      </w:pPr>
      <w:r w:rsidRPr="00666531">
        <w:rPr>
          <w:rFonts w:ascii="Times New Roman" w:hAnsi="Times New Roman" w:cs="Times New Roman"/>
          <w:color w:val="000000" w:themeColor="text1"/>
          <w:sz w:val="22"/>
          <w:szCs w:val="22"/>
        </w:rPr>
        <w:t>To morph wild-type into mutant we introduce a coupling coordinate λ that runs from 0 (wild-type) to 1 (mutant); intermediate λ is a hybrid, part one residue and part the other. The free-energy difference we want is a property of the two equilibrium endpoints.</w:t>
      </w:r>
    </w:p>
    <w:p w14:paraId="7BFBF953" w14:textId="77777777" w:rsidR="00640EF9" w:rsidRPr="00666531" w:rsidRDefault="00000000">
      <w:pPr>
        <w:spacing w:after="120" w:line="276" w:lineRule="auto"/>
        <w:jc w:val="both"/>
        <w:rPr>
          <w:rFonts w:ascii="Times New Roman" w:hAnsi="Times New Roman" w:cs="Times New Roman"/>
          <w:color w:val="000000" w:themeColor="text1"/>
        </w:rPr>
      </w:pPr>
      <w:r w:rsidRPr="00666531">
        <w:rPr>
          <w:rFonts w:ascii="Times New Roman" w:hAnsi="Times New Roman" w:cs="Times New Roman"/>
          <w:color w:val="000000" w:themeColor="text1"/>
          <w:sz w:val="22"/>
          <w:szCs w:val="22"/>
        </w:rPr>
        <w:t>The textbook equilibrium route holds the system at a ladder of fixed λ values, equilibrates each, and adds the increments. Its weakness is that it must converge the intermediate, unphysical states — the partly-morphed residues — and for a buried, tightly packed pocket these are exactly the states that equilibrate slowly. Our own fixed-λ attempt on this system failed to converge for that reason.</w:t>
      </w:r>
    </w:p>
    <w:p w14:paraId="0C98EF06" w14:textId="19F06042" w:rsidR="00640EF9" w:rsidRPr="00666531" w:rsidRDefault="00000000">
      <w:pPr>
        <w:spacing w:after="120" w:line="276" w:lineRule="auto"/>
        <w:jc w:val="both"/>
        <w:rPr>
          <w:rFonts w:ascii="Times New Roman" w:hAnsi="Times New Roman" w:cs="Times New Roman"/>
          <w:color w:val="000000" w:themeColor="text1"/>
        </w:rPr>
      </w:pPr>
      <w:r w:rsidRPr="00666531">
        <w:rPr>
          <w:rFonts w:ascii="Times New Roman" w:hAnsi="Times New Roman" w:cs="Times New Roman"/>
          <w:color w:val="000000" w:themeColor="text1"/>
          <w:sz w:val="22"/>
          <w:szCs w:val="22"/>
        </w:rPr>
        <w:t xml:space="preserve">The non-equilibrium route avoids this. We equilibrate only the two physical endpoints, then drive λ from 0 to 1 rapidly and repeatedly, recording the work W done on the system in each switch; no intermediate state is ever asked to equilibrate. The price is that a fast switch is irreversible and does more work than the free-energy difference, </w:t>
      </w:r>
      <w:r w:rsidRPr="00666531">
        <w:rPr>
          <w:rFonts w:ascii="Cambria Math" w:hAnsi="Cambria Math" w:cs="Cambria Math"/>
          <w:color w:val="000000" w:themeColor="text1"/>
          <w:sz w:val="22"/>
          <w:szCs w:val="22"/>
        </w:rPr>
        <w:t>⟨</w:t>
      </w:r>
      <w:r w:rsidRPr="00666531">
        <w:rPr>
          <w:rFonts w:ascii="Times New Roman" w:hAnsi="Times New Roman" w:cs="Times New Roman"/>
          <w:color w:val="000000" w:themeColor="text1"/>
          <w:sz w:val="22"/>
          <w:szCs w:val="22"/>
        </w:rPr>
        <w:t>W</w:t>
      </w:r>
      <w:r w:rsidRPr="00666531">
        <w:rPr>
          <w:rFonts w:ascii="Cambria Math" w:hAnsi="Cambria Math" w:cs="Cambria Math"/>
          <w:color w:val="000000" w:themeColor="text1"/>
          <w:sz w:val="22"/>
          <w:szCs w:val="22"/>
        </w:rPr>
        <w:t>⟩</w:t>
      </w:r>
      <w:r w:rsidRPr="00666531">
        <w:rPr>
          <w:rFonts w:ascii="Times New Roman" w:hAnsi="Times New Roman" w:cs="Times New Roman"/>
          <w:color w:val="000000" w:themeColor="text1"/>
          <w:sz w:val="22"/>
          <w:szCs w:val="22"/>
        </w:rPr>
        <w:t xml:space="preserve"> ≥ ΔG (the second law</w:t>
      </w:r>
      <w:r w:rsidR="00C239F1">
        <w:rPr>
          <w:rFonts w:ascii="Times New Roman" w:hAnsi="Times New Roman" w:cs="Times New Roman"/>
          <w:color w:val="000000" w:themeColor="text1"/>
          <w:sz w:val="22"/>
          <w:szCs w:val="22"/>
        </w:rPr>
        <w:t xml:space="preserve"> of thermodynamics</w:t>
      </w:r>
      <w:r w:rsidRPr="00666531">
        <w:rPr>
          <w:rFonts w:ascii="Times New Roman" w:hAnsi="Times New Roman" w:cs="Times New Roman"/>
          <w:color w:val="000000" w:themeColor="text1"/>
          <w:sz w:val="22"/>
          <w:szCs w:val="22"/>
        </w:rPr>
        <w:t>), with equality only for an infinitely slow switch — the surplus is dissipated energy. Two results turn those irreversible switches back into an exact free energy.</w:t>
      </w:r>
    </w:p>
    <w:p w14:paraId="6216750C" w14:textId="491B10DE" w:rsidR="00640EF9" w:rsidRPr="00666531" w:rsidRDefault="00000000">
      <w:pPr>
        <w:pStyle w:val="Heading2"/>
        <w:spacing w:before="180" w:after="80"/>
        <w:rPr>
          <w:rFonts w:ascii="Times New Roman" w:hAnsi="Times New Roman" w:cs="Times New Roman"/>
          <w:color w:val="000000" w:themeColor="text1"/>
        </w:rPr>
      </w:pPr>
      <w:r w:rsidRPr="00666531">
        <w:rPr>
          <w:rFonts w:ascii="Times New Roman" w:hAnsi="Times New Roman" w:cs="Times New Roman"/>
          <w:b/>
          <w:bCs/>
          <w:color w:val="000000" w:themeColor="text1"/>
        </w:rPr>
        <w:t>Jarzynski’s equality — an exact free energy from irreversible work</w:t>
      </w:r>
    </w:p>
    <w:p w14:paraId="12952C39" w14:textId="77777777" w:rsidR="00640EF9" w:rsidRPr="00666531" w:rsidRDefault="00000000">
      <w:pPr>
        <w:spacing w:before="120" w:after="120"/>
        <w:jc w:val="center"/>
        <w:rPr>
          <w:rFonts w:ascii="Times New Roman" w:hAnsi="Times New Roman" w:cs="Times New Roman"/>
          <w:color w:val="000000" w:themeColor="text1"/>
        </w:rPr>
      </w:pPr>
      <w:r w:rsidRPr="00666531">
        <w:rPr>
          <w:rFonts w:ascii="Times New Roman" w:hAnsi="Times New Roman" w:cs="Times New Roman"/>
          <w:noProof/>
          <w:color w:val="000000" w:themeColor="text1"/>
        </w:rPr>
        <w:drawing>
          <wp:inline distT="0" distB="0" distL="0" distR="0" wp14:anchorId="26A0828D" wp14:editId="76BD2D0B">
            <wp:extent cx="4762500" cy="285750"/>
            <wp:effectExtent l="0" t="0" r="0" b="0"/>
            <wp:docPr id="108135930" name="Picture 108135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85750"/>
                    </a:xfrm>
                    <a:prstGeom prst="rect">
                      <a:avLst/>
                    </a:prstGeom>
                  </pic:spPr>
                </pic:pic>
              </a:graphicData>
            </a:graphic>
          </wp:inline>
        </w:drawing>
      </w:r>
    </w:p>
    <w:p w14:paraId="7FCE3888" w14:textId="2E572D51" w:rsidR="00640EF9" w:rsidRPr="00666531" w:rsidRDefault="00000000">
      <w:pPr>
        <w:spacing w:after="120" w:line="276" w:lineRule="auto"/>
        <w:jc w:val="both"/>
        <w:rPr>
          <w:rFonts w:ascii="Times New Roman" w:hAnsi="Times New Roman" w:cs="Times New Roman"/>
          <w:color w:val="000000" w:themeColor="text1"/>
        </w:rPr>
      </w:pPr>
      <w:r w:rsidRPr="00666531">
        <w:rPr>
          <w:rFonts w:ascii="Times New Roman" w:hAnsi="Times New Roman" w:cs="Times New Roman"/>
          <w:color w:val="000000" w:themeColor="text1"/>
          <w:sz w:val="22"/>
          <w:szCs w:val="22"/>
        </w:rPr>
        <w:t xml:space="preserve">Jarzynski </w:t>
      </w:r>
      <w:r w:rsidR="001D6B94">
        <w:rPr>
          <w:rFonts w:ascii="Times New Roman" w:hAnsi="Times New Roman" w:cs="Times New Roman"/>
          <w:color w:val="000000" w:themeColor="text1"/>
          <w:sz w:val="22"/>
          <w:szCs w:val="22"/>
        </w:rPr>
        <w:t xml:space="preserve">(1997) </w:t>
      </w:r>
      <w:r w:rsidRPr="00666531">
        <w:rPr>
          <w:rFonts w:ascii="Times New Roman" w:hAnsi="Times New Roman" w:cs="Times New Roman"/>
          <w:color w:val="000000" w:themeColor="text1"/>
          <w:sz w:val="22"/>
          <w:szCs w:val="22"/>
        </w:rPr>
        <w:t xml:space="preserve">showed that the equilibrium free-energy difference is recovered exactly from the exponential average of the non-equilibrium work, at any switching speed. This is a strong statement: although every individual switch dissipates energy and </w:t>
      </w:r>
      <w:r w:rsidRPr="00666531">
        <w:rPr>
          <w:rFonts w:ascii="Cambria Math" w:hAnsi="Cambria Math" w:cs="Cambria Math"/>
          <w:color w:val="000000" w:themeColor="text1"/>
          <w:sz w:val="22"/>
          <w:szCs w:val="22"/>
        </w:rPr>
        <w:t>⟨</w:t>
      </w:r>
      <w:r w:rsidRPr="00666531">
        <w:rPr>
          <w:rFonts w:ascii="Times New Roman" w:hAnsi="Times New Roman" w:cs="Times New Roman"/>
          <w:color w:val="000000" w:themeColor="text1"/>
          <w:sz w:val="22"/>
          <w:szCs w:val="22"/>
        </w:rPr>
        <w:t>W</w:t>
      </w:r>
      <w:r w:rsidRPr="00666531">
        <w:rPr>
          <w:rFonts w:ascii="Cambria Math" w:hAnsi="Cambria Math" w:cs="Cambria Math"/>
          <w:color w:val="000000" w:themeColor="text1"/>
          <w:sz w:val="22"/>
          <w:szCs w:val="22"/>
        </w:rPr>
        <w:t>⟩</w:t>
      </w:r>
      <w:r w:rsidRPr="00666531">
        <w:rPr>
          <w:rFonts w:ascii="Times New Roman" w:hAnsi="Times New Roman" w:cs="Times New Roman"/>
          <w:color w:val="000000" w:themeColor="text1"/>
          <w:sz w:val="22"/>
          <w:szCs w:val="22"/>
        </w:rPr>
        <w:t xml:space="preserve"> &gt; ΔG, the ensemble of switches encodes the exact reversible free energy. The intuition is in the exponential weight. The factor e</w:t>
      </w:r>
      <w:r w:rsidR="0045668F">
        <w:rPr>
          <w:rFonts w:ascii="Times New Roman" w:hAnsi="Times New Roman" w:cs="Times New Roman"/>
          <w:color w:val="000000" w:themeColor="text1"/>
          <w:sz w:val="22"/>
          <w:szCs w:val="22"/>
          <w:vertAlign w:val="superscript"/>
        </w:rPr>
        <w:t>-W/kT</w:t>
      </w:r>
      <w:r w:rsidRPr="00666531">
        <w:rPr>
          <w:rFonts w:ascii="Times New Roman" w:hAnsi="Times New Roman" w:cs="Times New Roman"/>
          <w:color w:val="000000" w:themeColor="text1"/>
          <w:sz w:val="22"/>
          <w:szCs w:val="22"/>
        </w:rPr>
        <w:t xml:space="preserve"> up-weights the rare switches in which the system happened to do unusually little work — trajectories where thermal fluctuations transiently assisted the morph, so that W dipped below its average and even below ΔG. Those rare favorable events carry the free-energy information; the typical, dissipative switches contribute little. In effect, fluctuations do occasionally, and reversibly, what an infinitely slow pull would do every time.</w:t>
      </w:r>
    </w:p>
    <w:p w14:paraId="255BB198" w14:textId="77777777" w:rsidR="00640EF9" w:rsidRPr="00666531" w:rsidRDefault="00000000">
      <w:pPr>
        <w:spacing w:after="120" w:line="276" w:lineRule="auto"/>
        <w:jc w:val="both"/>
        <w:rPr>
          <w:rFonts w:ascii="Times New Roman" w:hAnsi="Times New Roman" w:cs="Times New Roman"/>
          <w:color w:val="000000" w:themeColor="text1"/>
        </w:rPr>
      </w:pPr>
      <w:r w:rsidRPr="00666531">
        <w:rPr>
          <w:rFonts w:ascii="Times New Roman" w:hAnsi="Times New Roman" w:cs="Times New Roman"/>
          <w:color w:val="000000" w:themeColor="text1"/>
          <w:sz w:val="22"/>
          <w:szCs w:val="22"/>
        </w:rPr>
        <w:t xml:space="preserve">That same feature is the practical catch: because the average is dominated by rare low-work trajectories, a one-directional estimate has high variance and a finite-sample bias. Jarzynski’s equality tells us the </w:t>
      </w:r>
      <w:r w:rsidRPr="00666531">
        <w:rPr>
          <w:rFonts w:ascii="Times New Roman" w:hAnsi="Times New Roman" w:cs="Times New Roman"/>
          <w:color w:val="000000" w:themeColor="text1"/>
          <w:sz w:val="22"/>
          <w:szCs w:val="22"/>
        </w:rPr>
        <w:lastRenderedPageBreak/>
        <w:t>information is present in fast switches, but using it in one direction alone is inefficient. The fix is to use both directions.</w:t>
      </w:r>
    </w:p>
    <w:p w14:paraId="49B8D52E" w14:textId="3A722C52" w:rsidR="00640EF9" w:rsidRPr="00666531" w:rsidRDefault="00000000">
      <w:pPr>
        <w:pStyle w:val="Heading2"/>
        <w:spacing w:before="180" w:after="80"/>
        <w:rPr>
          <w:rFonts w:ascii="Times New Roman" w:hAnsi="Times New Roman" w:cs="Times New Roman"/>
          <w:color w:val="000000" w:themeColor="text1"/>
        </w:rPr>
      </w:pPr>
      <w:r w:rsidRPr="00666531">
        <w:rPr>
          <w:rFonts w:ascii="Times New Roman" w:hAnsi="Times New Roman" w:cs="Times New Roman"/>
          <w:b/>
          <w:bCs/>
          <w:color w:val="000000" w:themeColor="text1"/>
        </w:rPr>
        <w:t xml:space="preserve">Crooks fluctuation theorem and </w:t>
      </w:r>
      <w:r w:rsidR="003A6152" w:rsidRPr="003A6152">
        <w:rPr>
          <w:rFonts w:ascii="Times New Roman" w:hAnsi="Times New Roman" w:cs="Times New Roman"/>
          <w:b/>
          <w:bCs/>
          <w:color w:val="000000" w:themeColor="text1"/>
        </w:rPr>
        <w:t xml:space="preserve">Bennett </w:t>
      </w:r>
      <w:r w:rsidR="003A6152">
        <w:rPr>
          <w:rFonts w:ascii="Times New Roman" w:hAnsi="Times New Roman" w:cs="Times New Roman"/>
          <w:b/>
          <w:bCs/>
          <w:color w:val="000000" w:themeColor="text1"/>
        </w:rPr>
        <w:t>A</w:t>
      </w:r>
      <w:r w:rsidR="003A6152" w:rsidRPr="003A6152">
        <w:rPr>
          <w:rFonts w:ascii="Times New Roman" w:hAnsi="Times New Roman" w:cs="Times New Roman"/>
          <w:b/>
          <w:bCs/>
          <w:color w:val="000000" w:themeColor="text1"/>
        </w:rPr>
        <w:t xml:space="preserve">cceptance </w:t>
      </w:r>
      <w:r w:rsidR="003A6152">
        <w:rPr>
          <w:rFonts w:ascii="Times New Roman" w:hAnsi="Times New Roman" w:cs="Times New Roman"/>
          <w:b/>
          <w:bCs/>
          <w:color w:val="000000" w:themeColor="text1"/>
        </w:rPr>
        <w:t>R</w:t>
      </w:r>
      <w:r w:rsidR="003A6152" w:rsidRPr="003A6152">
        <w:rPr>
          <w:rFonts w:ascii="Times New Roman" w:hAnsi="Times New Roman" w:cs="Times New Roman"/>
          <w:b/>
          <w:bCs/>
          <w:color w:val="000000" w:themeColor="text1"/>
        </w:rPr>
        <w:t xml:space="preserve">atio </w:t>
      </w:r>
      <w:r w:rsidR="003A6152">
        <w:rPr>
          <w:rFonts w:ascii="Times New Roman" w:hAnsi="Times New Roman" w:cs="Times New Roman"/>
          <w:b/>
          <w:bCs/>
          <w:color w:val="000000" w:themeColor="text1"/>
        </w:rPr>
        <w:t>(</w:t>
      </w:r>
      <w:r w:rsidRPr="00666531">
        <w:rPr>
          <w:rFonts w:ascii="Times New Roman" w:hAnsi="Times New Roman" w:cs="Times New Roman"/>
          <w:b/>
          <w:bCs/>
          <w:color w:val="000000" w:themeColor="text1"/>
        </w:rPr>
        <w:t>BAR</w:t>
      </w:r>
      <w:r w:rsidR="003A6152">
        <w:rPr>
          <w:rFonts w:ascii="Times New Roman" w:hAnsi="Times New Roman" w:cs="Times New Roman"/>
          <w:b/>
          <w:bCs/>
          <w:color w:val="000000" w:themeColor="text1"/>
        </w:rPr>
        <w:t>)</w:t>
      </w:r>
      <w:r w:rsidRPr="00666531">
        <w:rPr>
          <w:rFonts w:ascii="Times New Roman" w:hAnsi="Times New Roman" w:cs="Times New Roman"/>
          <w:b/>
          <w:bCs/>
          <w:color w:val="000000" w:themeColor="text1"/>
        </w:rPr>
        <w:t xml:space="preserve"> — reading the free energy where the </w:t>
      </w:r>
      <w:r w:rsidR="007643E3">
        <w:rPr>
          <w:rFonts w:ascii="Times New Roman" w:hAnsi="Times New Roman" w:cs="Times New Roman"/>
          <w:b/>
          <w:bCs/>
          <w:color w:val="000000" w:themeColor="text1"/>
        </w:rPr>
        <w:t xml:space="preserve">Work </w:t>
      </w:r>
      <w:r w:rsidRPr="00666531">
        <w:rPr>
          <w:rFonts w:ascii="Times New Roman" w:hAnsi="Times New Roman" w:cs="Times New Roman"/>
          <w:b/>
          <w:bCs/>
          <w:color w:val="000000" w:themeColor="text1"/>
        </w:rPr>
        <w:t>distributions meet</w:t>
      </w:r>
    </w:p>
    <w:p w14:paraId="52D7320E" w14:textId="77777777" w:rsidR="00640EF9" w:rsidRPr="00666531" w:rsidRDefault="00000000">
      <w:pPr>
        <w:spacing w:before="120" w:after="120"/>
        <w:jc w:val="center"/>
        <w:rPr>
          <w:rFonts w:ascii="Times New Roman" w:hAnsi="Times New Roman" w:cs="Times New Roman"/>
          <w:color w:val="000000" w:themeColor="text1"/>
        </w:rPr>
      </w:pPr>
      <w:r w:rsidRPr="00666531">
        <w:rPr>
          <w:rFonts w:ascii="Times New Roman" w:hAnsi="Times New Roman" w:cs="Times New Roman"/>
          <w:noProof/>
          <w:color w:val="000000" w:themeColor="text1"/>
        </w:rPr>
        <w:drawing>
          <wp:inline distT="0" distB="0" distL="0" distR="0" wp14:anchorId="5275E652" wp14:editId="1011C437">
            <wp:extent cx="4191000" cy="533400"/>
            <wp:effectExtent l="0" t="0" r="0" b="0"/>
            <wp:docPr id="1121427776" name="Picture 112142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533400"/>
                    </a:xfrm>
                    <a:prstGeom prst="rect">
                      <a:avLst/>
                    </a:prstGeom>
                  </pic:spPr>
                </pic:pic>
              </a:graphicData>
            </a:graphic>
          </wp:inline>
        </w:drawing>
      </w:r>
    </w:p>
    <w:p w14:paraId="24A835F4" w14:textId="264CB0A7" w:rsidR="00640EF9" w:rsidRPr="00666531" w:rsidRDefault="00000000">
      <w:pPr>
        <w:spacing w:after="120" w:line="276" w:lineRule="auto"/>
        <w:jc w:val="both"/>
        <w:rPr>
          <w:rFonts w:ascii="Times New Roman" w:hAnsi="Times New Roman" w:cs="Times New Roman"/>
          <w:color w:val="000000" w:themeColor="text1"/>
        </w:rPr>
      </w:pPr>
      <w:r w:rsidRPr="00666531">
        <w:rPr>
          <w:rFonts w:ascii="Times New Roman" w:hAnsi="Times New Roman" w:cs="Times New Roman"/>
          <w:color w:val="000000" w:themeColor="text1"/>
          <w:sz w:val="22"/>
          <w:szCs w:val="22"/>
        </w:rPr>
        <w:t xml:space="preserve">Running the morph forward (wild-type → mutant) and in reverse (mutant → wild-type), Crooks </w:t>
      </w:r>
      <w:r w:rsidR="001E2533">
        <w:rPr>
          <w:rFonts w:ascii="Times New Roman" w:hAnsi="Times New Roman" w:cs="Times New Roman"/>
          <w:color w:val="000000" w:themeColor="text1"/>
          <w:sz w:val="22"/>
          <w:szCs w:val="22"/>
        </w:rPr>
        <w:t xml:space="preserve">(1999) </w:t>
      </w:r>
      <w:r w:rsidRPr="00666531">
        <w:rPr>
          <w:rFonts w:ascii="Times New Roman" w:hAnsi="Times New Roman" w:cs="Times New Roman"/>
          <w:color w:val="000000" w:themeColor="text1"/>
          <w:sz w:val="22"/>
          <w:szCs w:val="22"/>
        </w:rPr>
        <w:t xml:space="preserve">related the two work distributions. Setting W = ΔG makes the right-hand side one, so the forward and reverse work distributions cross exactly at the free energy. Instead of chasing the rare tail of a single distribution, we locate ΔG at the crossing point of two distributions, which sits near their well-sampled bulk — a far more robust, low-bias handle. It also </w:t>
      </w:r>
      <w:r w:rsidR="001E2533">
        <w:rPr>
          <w:rFonts w:ascii="Times New Roman" w:hAnsi="Times New Roman" w:cs="Times New Roman"/>
          <w:color w:val="000000" w:themeColor="text1"/>
          <w:sz w:val="22"/>
          <w:szCs w:val="22"/>
        </w:rPr>
        <w:t>provides a direct visual measure of convergence,</w:t>
      </w:r>
      <w:r w:rsidRPr="00666531">
        <w:rPr>
          <w:rFonts w:ascii="Times New Roman" w:hAnsi="Times New Roman" w:cs="Times New Roman"/>
          <w:color w:val="000000" w:themeColor="text1"/>
          <w:sz w:val="22"/>
          <w:szCs w:val="22"/>
        </w:rPr>
        <w:t xml:space="preserve"> the overlap of the two distributions</w:t>
      </w:r>
      <w:r w:rsidR="001E2533">
        <w:rPr>
          <w:rFonts w:ascii="Times New Roman" w:hAnsi="Times New Roman" w:cs="Times New Roman"/>
          <w:color w:val="000000" w:themeColor="text1"/>
          <w:sz w:val="22"/>
          <w:szCs w:val="22"/>
        </w:rPr>
        <w:t>:</w:t>
      </w:r>
      <w:r w:rsidRPr="00666531">
        <w:rPr>
          <w:rFonts w:ascii="Times New Roman" w:hAnsi="Times New Roman" w:cs="Times New Roman"/>
          <w:color w:val="000000" w:themeColor="text1"/>
          <w:sz w:val="22"/>
          <w:szCs w:val="22"/>
        </w:rPr>
        <w:t xml:space="preserve"> </w:t>
      </w:r>
      <w:r w:rsidR="001E2533">
        <w:rPr>
          <w:rFonts w:ascii="Times New Roman" w:hAnsi="Times New Roman" w:cs="Times New Roman"/>
          <w:color w:val="000000" w:themeColor="text1"/>
          <w:sz w:val="22"/>
          <w:szCs w:val="22"/>
        </w:rPr>
        <w:t>w</w:t>
      </w:r>
      <w:r w:rsidRPr="00666531">
        <w:rPr>
          <w:rFonts w:ascii="Times New Roman" w:hAnsi="Times New Roman" w:cs="Times New Roman"/>
          <w:color w:val="000000" w:themeColor="text1"/>
          <w:sz w:val="22"/>
          <w:szCs w:val="22"/>
        </w:rPr>
        <w:t>ide overlap means the driving is gentle relative to thermal energy and ΔG is well determined; poor overlap signals large dissipation and the need for more or longer switches.</w:t>
      </w:r>
    </w:p>
    <w:p w14:paraId="642A9693" w14:textId="77777777" w:rsidR="00640EF9" w:rsidRPr="00666531" w:rsidRDefault="00000000">
      <w:pPr>
        <w:spacing w:after="120" w:line="276" w:lineRule="auto"/>
        <w:jc w:val="both"/>
        <w:rPr>
          <w:rFonts w:ascii="Times New Roman" w:hAnsi="Times New Roman" w:cs="Times New Roman"/>
          <w:color w:val="000000" w:themeColor="text1"/>
        </w:rPr>
      </w:pPr>
      <w:r w:rsidRPr="00666531">
        <w:rPr>
          <w:rFonts w:ascii="Times New Roman" w:hAnsi="Times New Roman" w:cs="Times New Roman"/>
          <w:color w:val="000000" w:themeColor="text1"/>
          <w:sz w:val="22"/>
          <w:szCs w:val="22"/>
        </w:rPr>
        <w:t>The Bennett acceptance ratio (BAR) is the statistically optimal way to combine the forward and reverse work consistent with the Crooks relation — the minimum-variance estimator of ΔG, obtained as the self-consistent solution of</w:t>
      </w:r>
    </w:p>
    <w:p w14:paraId="50DF6370" w14:textId="77777777" w:rsidR="00640EF9" w:rsidRPr="00666531" w:rsidRDefault="00000000">
      <w:pPr>
        <w:spacing w:before="120" w:after="120"/>
        <w:jc w:val="center"/>
        <w:rPr>
          <w:rFonts w:ascii="Times New Roman" w:hAnsi="Times New Roman" w:cs="Times New Roman"/>
          <w:color w:val="000000" w:themeColor="text1"/>
        </w:rPr>
      </w:pPr>
      <w:r w:rsidRPr="00666531">
        <w:rPr>
          <w:rFonts w:ascii="Times New Roman" w:hAnsi="Times New Roman" w:cs="Times New Roman"/>
          <w:noProof/>
          <w:color w:val="000000" w:themeColor="text1"/>
        </w:rPr>
        <w:drawing>
          <wp:inline distT="0" distB="0" distL="0" distR="0" wp14:anchorId="14A11F17" wp14:editId="0432762C">
            <wp:extent cx="4191000" cy="600075"/>
            <wp:effectExtent l="0" t="0" r="0" b="0"/>
            <wp:docPr id="1982061918" name="Picture 198206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600075"/>
                    </a:xfrm>
                    <a:prstGeom prst="rect">
                      <a:avLst/>
                    </a:prstGeom>
                  </pic:spPr>
                </pic:pic>
              </a:graphicData>
            </a:graphic>
          </wp:inline>
        </w:drawing>
      </w:r>
    </w:p>
    <w:p w14:paraId="24F697F4" w14:textId="77777777" w:rsidR="00640EF9" w:rsidRPr="00666531" w:rsidRDefault="00000000">
      <w:pPr>
        <w:spacing w:after="120" w:line="276" w:lineRule="auto"/>
        <w:jc w:val="both"/>
        <w:rPr>
          <w:rFonts w:ascii="Times New Roman" w:hAnsi="Times New Roman" w:cs="Times New Roman"/>
          <w:color w:val="000000" w:themeColor="text1"/>
        </w:rPr>
      </w:pPr>
      <w:r w:rsidRPr="00666531">
        <w:rPr>
          <w:rFonts w:ascii="Times New Roman" w:hAnsi="Times New Roman" w:cs="Times New Roman"/>
          <w:color w:val="000000" w:themeColor="text1"/>
          <w:sz w:val="22"/>
          <w:szCs w:val="22"/>
        </w:rPr>
        <w:t>which weights each switch by how much free-energy information it carries. Because BAR uses both directions and weights optimally, it converges with far fewer switches, and far less bias, than the one-directional average — this is what makes the non-equilibrium approach accurate at a practical number of switches. As an internal check, BAR, the Crooks-Gaussian intersection, and the Jarzynski average agree to within ~0.4 kcal/mol on our data.</w:t>
      </w:r>
    </w:p>
    <w:p w14:paraId="2330446F" w14:textId="56DBEEC9" w:rsidR="00640EF9" w:rsidRPr="00406E64" w:rsidRDefault="00000000" w:rsidP="00406E64">
      <w:pPr>
        <w:spacing w:after="80" w:line="268" w:lineRule="auto"/>
        <w:rPr>
          <w:rFonts w:ascii="Times New Roman" w:hAnsi="Times New Roman" w:cs="Times New Roman"/>
          <w:color w:val="000000" w:themeColor="text1"/>
        </w:rPr>
      </w:pPr>
      <w:r w:rsidRPr="00406E64">
        <w:rPr>
          <w:rFonts w:ascii="Times New Roman" w:hAnsi="Times New Roman" w:cs="Times New Roman"/>
          <w:b/>
          <w:bCs/>
          <w:color w:val="000000" w:themeColor="text1"/>
          <w:sz w:val="22"/>
          <w:szCs w:val="22"/>
        </w:rPr>
        <w:t xml:space="preserve">Why this is more reliable here than equilibrium approaches.  </w:t>
      </w:r>
      <w:r w:rsidRPr="00406E64">
        <w:rPr>
          <w:rFonts w:ascii="Times New Roman" w:hAnsi="Times New Roman" w:cs="Times New Roman"/>
          <w:color w:val="000000" w:themeColor="text1"/>
          <w:sz w:val="22"/>
          <w:szCs w:val="22"/>
        </w:rPr>
        <w:t xml:space="preserve">End-point rescoring of a single trajectory </w:t>
      </w:r>
      <w:r w:rsidR="00406E64">
        <w:rPr>
          <w:rFonts w:ascii="Times New Roman" w:hAnsi="Times New Roman" w:cs="Times New Roman"/>
          <w:color w:val="000000" w:themeColor="text1"/>
          <w:sz w:val="22"/>
          <w:szCs w:val="22"/>
        </w:rPr>
        <w:t xml:space="preserve">(e.g. our previous MM/GBSA approach) </w:t>
      </w:r>
      <w:r w:rsidRPr="00406E64">
        <w:rPr>
          <w:rFonts w:ascii="Times New Roman" w:hAnsi="Times New Roman" w:cs="Times New Roman"/>
          <w:color w:val="000000" w:themeColor="text1"/>
          <w:sz w:val="22"/>
          <w:szCs w:val="22"/>
        </w:rPr>
        <w:t xml:space="preserve">omits configurational entropy and treats solvent implicitly, and its errors are systematic and uncalibrated, precisely in the small-difference regime where ranking lives. Equilibrium λ-window FEP is a genuine free energy, but it stakes the whole answer on converging unphysical intermediate states, which </w:t>
      </w:r>
      <w:r w:rsidR="00406E64">
        <w:rPr>
          <w:rFonts w:ascii="Times New Roman" w:hAnsi="Times New Roman" w:cs="Times New Roman"/>
          <w:color w:val="000000" w:themeColor="text1"/>
          <w:sz w:val="22"/>
          <w:szCs w:val="22"/>
        </w:rPr>
        <w:t xml:space="preserve">can introduce artifacts </w:t>
      </w:r>
      <w:r w:rsidRPr="00406E64">
        <w:rPr>
          <w:rFonts w:ascii="Times New Roman" w:hAnsi="Times New Roman" w:cs="Times New Roman"/>
          <w:color w:val="000000" w:themeColor="text1"/>
          <w:sz w:val="22"/>
          <w:szCs w:val="22"/>
        </w:rPr>
        <w:t>for a buried pocket. The non-equilibrium route asks only the two physical endpoints to equilibrate, recovers the exact free energy through the theorems above, and — through the forward/reverse overlap — carries its own convergence diagnostic and honest error bars.</w:t>
      </w:r>
    </w:p>
    <w:p w14:paraId="0DBE132B" w14:textId="4CDC4C91" w:rsidR="00640EF9" w:rsidRPr="00666531" w:rsidRDefault="00000000">
      <w:pPr>
        <w:pStyle w:val="Heading2"/>
        <w:spacing w:before="180" w:after="80"/>
        <w:rPr>
          <w:rFonts w:ascii="Times New Roman" w:hAnsi="Times New Roman" w:cs="Times New Roman"/>
          <w:color w:val="000000" w:themeColor="text1"/>
        </w:rPr>
      </w:pPr>
      <w:r w:rsidRPr="00666531">
        <w:rPr>
          <w:rFonts w:ascii="Times New Roman" w:hAnsi="Times New Roman" w:cs="Times New Roman"/>
          <w:b/>
          <w:bCs/>
          <w:color w:val="000000" w:themeColor="text1"/>
        </w:rPr>
        <w:t>Protocol and convergence</w:t>
      </w:r>
    </w:p>
    <w:p w14:paraId="4FF21EFA" w14:textId="0863E9CE" w:rsidR="00640EF9" w:rsidRPr="00666531" w:rsidRDefault="00000000">
      <w:pPr>
        <w:pStyle w:val="ListParagraph"/>
        <w:numPr>
          <w:ilvl w:val="0"/>
          <w:numId w:val="2"/>
        </w:numPr>
        <w:spacing w:after="80" w:line="268" w:lineRule="auto"/>
        <w:rPr>
          <w:rFonts w:ascii="Times New Roman" w:hAnsi="Times New Roman" w:cs="Times New Roman"/>
          <w:color w:val="000000" w:themeColor="text1"/>
        </w:rPr>
      </w:pPr>
      <w:r w:rsidRPr="00666531">
        <w:rPr>
          <w:rFonts w:ascii="Times New Roman" w:hAnsi="Times New Roman" w:cs="Times New Roman"/>
          <w:color w:val="000000" w:themeColor="text1"/>
          <w:sz w:val="22"/>
          <w:szCs w:val="22"/>
        </w:rPr>
        <w:t xml:space="preserve">System: the complete </w:t>
      </w:r>
      <w:r w:rsidR="00406E64">
        <w:rPr>
          <w:rFonts w:ascii="Times New Roman" w:hAnsi="Times New Roman" w:cs="Times New Roman"/>
          <w:color w:val="000000" w:themeColor="text1"/>
          <w:sz w:val="22"/>
          <w:szCs w:val="22"/>
        </w:rPr>
        <w:t xml:space="preserve">RT </w:t>
      </w:r>
      <w:r w:rsidRPr="00666531">
        <w:rPr>
          <w:rFonts w:ascii="Times New Roman" w:hAnsi="Times New Roman" w:cs="Times New Roman"/>
          <w:color w:val="000000" w:themeColor="text1"/>
          <w:sz w:val="22"/>
          <w:szCs w:val="22"/>
        </w:rPr>
        <w:t>enzyme, explicit water, physiological salt, periodic boundaries with particle-mesh-Ewald electrostatics; a modern fixed-charge protein force field and an open small-molecule force field for doravirine.</w:t>
      </w:r>
    </w:p>
    <w:p w14:paraId="169B4C2B" w14:textId="77777777" w:rsidR="00640EF9" w:rsidRPr="00666531" w:rsidRDefault="00000000">
      <w:pPr>
        <w:pStyle w:val="ListParagraph"/>
        <w:numPr>
          <w:ilvl w:val="0"/>
          <w:numId w:val="2"/>
        </w:numPr>
        <w:spacing w:after="80" w:line="268" w:lineRule="auto"/>
        <w:rPr>
          <w:rFonts w:ascii="Times New Roman" w:hAnsi="Times New Roman" w:cs="Times New Roman"/>
          <w:color w:val="000000" w:themeColor="text1"/>
        </w:rPr>
      </w:pPr>
      <w:r w:rsidRPr="00666531">
        <w:rPr>
          <w:rFonts w:ascii="Times New Roman" w:hAnsi="Times New Roman" w:cs="Times New Roman"/>
          <w:color w:val="000000" w:themeColor="text1"/>
          <w:sz w:val="22"/>
          <w:szCs w:val="22"/>
        </w:rPr>
        <w:t>Morph: a dual-state (</w:t>
      </w:r>
      <w:proofErr w:type="spellStart"/>
      <w:r w:rsidRPr="00666531">
        <w:rPr>
          <w:rFonts w:ascii="Times New Roman" w:hAnsi="Times New Roman" w:cs="Times New Roman"/>
          <w:color w:val="000000" w:themeColor="text1"/>
          <w:sz w:val="22"/>
          <w:szCs w:val="22"/>
        </w:rPr>
        <w:t>wild-type↔mutant</w:t>
      </w:r>
      <w:proofErr w:type="spellEnd"/>
      <w:r w:rsidRPr="00666531">
        <w:rPr>
          <w:rFonts w:ascii="Times New Roman" w:hAnsi="Times New Roman" w:cs="Times New Roman"/>
          <w:color w:val="000000" w:themeColor="text1"/>
          <w:sz w:val="22"/>
          <w:szCs w:val="22"/>
        </w:rPr>
        <w:t xml:space="preserve">) hybrid residue seeds both endpoints. Endpoint equilibration is a soft-core minimization, a short constant-pressure warm-up, and a production run that supplies the switching snapshots; protein and solvent are </w:t>
      </w:r>
      <w:proofErr w:type="spellStart"/>
      <w:r w:rsidRPr="00666531">
        <w:rPr>
          <w:rFonts w:ascii="Times New Roman" w:hAnsi="Times New Roman" w:cs="Times New Roman"/>
          <w:color w:val="000000" w:themeColor="text1"/>
          <w:sz w:val="22"/>
          <w:szCs w:val="22"/>
        </w:rPr>
        <w:t>thermostatted</w:t>
      </w:r>
      <w:proofErr w:type="spellEnd"/>
      <w:r w:rsidRPr="00666531">
        <w:rPr>
          <w:rFonts w:ascii="Times New Roman" w:hAnsi="Times New Roman" w:cs="Times New Roman"/>
          <w:color w:val="000000" w:themeColor="text1"/>
          <w:sz w:val="22"/>
          <w:szCs w:val="22"/>
        </w:rPr>
        <w:t xml:space="preserve"> separately.</w:t>
      </w:r>
    </w:p>
    <w:p w14:paraId="5EC5BDF3" w14:textId="5B2ACD39" w:rsidR="00640EF9" w:rsidRPr="00666531" w:rsidRDefault="00000000">
      <w:pPr>
        <w:pStyle w:val="ListParagraph"/>
        <w:numPr>
          <w:ilvl w:val="0"/>
          <w:numId w:val="2"/>
        </w:numPr>
        <w:spacing w:after="80" w:line="268" w:lineRule="auto"/>
        <w:rPr>
          <w:rFonts w:ascii="Times New Roman" w:hAnsi="Times New Roman" w:cs="Times New Roman"/>
          <w:color w:val="000000" w:themeColor="text1"/>
        </w:rPr>
      </w:pPr>
      <w:r w:rsidRPr="00666531">
        <w:rPr>
          <w:rFonts w:ascii="Times New Roman" w:hAnsi="Times New Roman" w:cs="Times New Roman"/>
          <w:color w:val="000000" w:themeColor="text1"/>
          <w:sz w:val="22"/>
          <w:szCs w:val="22"/>
        </w:rPr>
        <w:lastRenderedPageBreak/>
        <w:t>Switching: ~100 decorrelated snapshots per endpoint per replicate, switched forward and reverse; ΔG per leg by BAR; ΔΔG</w:t>
      </w:r>
      <w:r w:rsidR="00D374C8">
        <w:rPr>
          <w:rFonts w:ascii="Times New Roman" w:hAnsi="Times New Roman" w:cs="Times New Roman"/>
          <w:color w:val="000000" w:themeColor="text1"/>
          <w:sz w:val="22"/>
          <w:szCs w:val="22"/>
          <w:vertAlign w:val="subscript"/>
        </w:rPr>
        <w:t>bind</w:t>
      </w:r>
      <w:r w:rsidRPr="00666531">
        <w:rPr>
          <w:rFonts w:ascii="Times New Roman" w:hAnsi="Times New Roman" w:cs="Times New Roman"/>
          <w:color w:val="000000" w:themeColor="text1"/>
          <w:sz w:val="22"/>
          <w:szCs w:val="22"/>
        </w:rPr>
        <w:t xml:space="preserve"> = ΔG(drug-bound) − ΔG(drug-free); three replicates give mean ± SEM.</w:t>
      </w:r>
    </w:p>
    <w:p w14:paraId="6314F32F" w14:textId="77777777" w:rsidR="00640EF9" w:rsidRPr="00666531" w:rsidRDefault="00000000">
      <w:pPr>
        <w:pStyle w:val="ListParagraph"/>
        <w:numPr>
          <w:ilvl w:val="0"/>
          <w:numId w:val="2"/>
        </w:numPr>
        <w:spacing w:after="80" w:line="268" w:lineRule="auto"/>
        <w:rPr>
          <w:rFonts w:ascii="Times New Roman" w:hAnsi="Times New Roman" w:cs="Times New Roman"/>
          <w:color w:val="000000" w:themeColor="text1"/>
        </w:rPr>
      </w:pPr>
      <w:r w:rsidRPr="00666531">
        <w:rPr>
          <w:rFonts w:ascii="Times New Roman" w:hAnsi="Times New Roman" w:cs="Times New Roman"/>
          <w:color w:val="000000" w:themeColor="text1"/>
          <w:sz w:val="22"/>
          <w:szCs w:val="22"/>
        </w:rPr>
        <w:t>Convergence is checked four independent ways: (1) the running BAR estimate plateaus well before the full switch count; (2) BAR, Crooks-Gaussian, and Jarzynski agree to ~0.4 kcal/mol; (3) three replicates give a standard error below 1 kcal/mol; (4) increasing the switch time fivefold leaves ΔΔG statistically unchanged (V106A +1.69 ± 0.70 → +1.76 ± 0.51), confirming independence from driving speed — so the panel runs at the cheaper setting with no loss of accuracy.</w:t>
      </w:r>
    </w:p>
    <w:p w14:paraId="35C23F19" w14:textId="77777777" w:rsidR="00640EF9" w:rsidRPr="00666531" w:rsidRDefault="00000000">
      <w:pPr>
        <w:spacing w:before="120" w:after="120"/>
        <w:jc w:val="center"/>
        <w:rPr>
          <w:rFonts w:ascii="Times New Roman" w:hAnsi="Times New Roman" w:cs="Times New Roman"/>
          <w:color w:val="000000" w:themeColor="text1"/>
        </w:rPr>
      </w:pPr>
      <w:r w:rsidRPr="00666531">
        <w:rPr>
          <w:rFonts w:ascii="Times New Roman" w:hAnsi="Times New Roman" w:cs="Times New Roman"/>
          <w:noProof/>
          <w:color w:val="000000" w:themeColor="text1"/>
        </w:rPr>
        <w:drawing>
          <wp:inline distT="0" distB="0" distL="0" distR="0" wp14:anchorId="1EEC2E08" wp14:editId="65AEBDA6">
            <wp:extent cx="5334000" cy="3486150"/>
            <wp:effectExtent l="0" t="0" r="0" b="0"/>
            <wp:docPr id="1678112865" name="Picture 1678112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486150"/>
                    </a:xfrm>
                    <a:prstGeom prst="rect">
                      <a:avLst/>
                    </a:prstGeom>
                  </pic:spPr>
                </pic:pic>
              </a:graphicData>
            </a:graphic>
          </wp:inline>
        </w:drawing>
      </w:r>
    </w:p>
    <w:p w14:paraId="77FB6092" w14:textId="3E6BE02D" w:rsidR="00640EF9" w:rsidRPr="00666531" w:rsidRDefault="00000000" w:rsidP="00917A27">
      <w:pPr>
        <w:spacing w:after="180"/>
        <w:rPr>
          <w:rFonts w:ascii="Times New Roman" w:hAnsi="Times New Roman" w:cs="Times New Roman"/>
          <w:color w:val="000000" w:themeColor="text1"/>
        </w:rPr>
      </w:pPr>
      <w:r w:rsidRPr="00666531">
        <w:rPr>
          <w:rFonts w:ascii="Times New Roman" w:hAnsi="Times New Roman" w:cs="Times New Roman"/>
          <w:i/>
          <w:iCs/>
          <w:color w:val="000000" w:themeColor="text1"/>
          <w:sz w:val="18"/>
          <w:szCs w:val="18"/>
        </w:rPr>
        <w:t xml:space="preserve">Figure 2.  Forward and reverse work distributions for </w:t>
      </w:r>
      <w:r w:rsidR="00917A27">
        <w:rPr>
          <w:rFonts w:ascii="Times New Roman" w:hAnsi="Times New Roman" w:cs="Times New Roman"/>
          <w:i/>
          <w:iCs/>
          <w:color w:val="000000" w:themeColor="text1"/>
          <w:sz w:val="18"/>
          <w:szCs w:val="18"/>
        </w:rPr>
        <w:t>V106A and Y188L</w:t>
      </w:r>
      <w:r w:rsidRPr="00666531">
        <w:rPr>
          <w:rFonts w:ascii="Times New Roman" w:hAnsi="Times New Roman" w:cs="Times New Roman"/>
          <w:i/>
          <w:iCs/>
          <w:color w:val="000000" w:themeColor="text1"/>
          <w:sz w:val="18"/>
          <w:szCs w:val="18"/>
        </w:rPr>
        <w:t xml:space="preserve"> mutations (3 replicates pooled). As required by the Crooks theorem, the two distributions cross at the BAR ΔG (dashed line).</w:t>
      </w:r>
    </w:p>
    <w:p w14:paraId="01B4AD9D" w14:textId="77777777" w:rsidR="00640EF9" w:rsidRPr="00666531" w:rsidRDefault="00000000">
      <w:pPr>
        <w:spacing w:before="120" w:after="120"/>
        <w:jc w:val="center"/>
        <w:rPr>
          <w:rFonts w:ascii="Times New Roman" w:hAnsi="Times New Roman" w:cs="Times New Roman"/>
          <w:color w:val="000000" w:themeColor="text1"/>
        </w:rPr>
      </w:pPr>
      <w:r w:rsidRPr="00666531">
        <w:rPr>
          <w:rFonts w:ascii="Times New Roman" w:hAnsi="Times New Roman" w:cs="Times New Roman"/>
          <w:noProof/>
          <w:color w:val="000000" w:themeColor="text1"/>
        </w:rPr>
        <w:drawing>
          <wp:inline distT="0" distB="0" distL="0" distR="0" wp14:anchorId="7BAE73D9" wp14:editId="6E9F5745">
            <wp:extent cx="5715000" cy="2190750"/>
            <wp:effectExtent l="0" t="0" r="0" b="0"/>
            <wp:docPr id="1519036452" name="Picture 1519036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190750"/>
                    </a:xfrm>
                    <a:prstGeom prst="rect">
                      <a:avLst/>
                    </a:prstGeom>
                  </pic:spPr>
                </pic:pic>
              </a:graphicData>
            </a:graphic>
          </wp:inline>
        </w:drawing>
      </w:r>
    </w:p>
    <w:p w14:paraId="0B751B28" w14:textId="594F5161" w:rsidR="00640EF9" w:rsidRPr="00666531" w:rsidRDefault="00000000" w:rsidP="00917A27">
      <w:pPr>
        <w:spacing w:after="180"/>
        <w:rPr>
          <w:rFonts w:ascii="Times New Roman" w:hAnsi="Times New Roman" w:cs="Times New Roman"/>
          <w:color w:val="000000" w:themeColor="text1"/>
        </w:rPr>
      </w:pPr>
      <w:r w:rsidRPr="00666531">
        <w:rPr>
          <w:rFonts w:ascii="Times New Roman" w:hAnsi="Times New Roman" w:cs="Times New Roman"/>
          <w:i/>
          <w:iCs/>
          <w:color w:val="000000" w:themeColor="text1"/>
          <w:sz w:val="18"/>
          <w:szCs w:val="18"/>
        </w:rPr>
        <w:t>Figure 3.  (A) The running BAR estimate of ΔΔG</w:t>
      </w:r>
      <w:r w:rsidR="00614558">
        <w:rPr>
          <w:rFonts w:ascii="Times New Roman" w:hAnsi="Times New Roman" w:cs="Times New Roman"/>
          <w:i/>
          <w:iCs/>
          <w:color w:val="000000" w:themeColor="text1"/>
          <w:sz w:val="18"/>
          <w:szCs w:val="18"/>
          <w:vertAlign w:val="subscript"/>
        </w:rPr>
        <w:t>bind</w:t>
      </w:r>
      <w:r w:rsidRPr="00666531">
        <w:rPr>
          <w:rFonts w:ascii="Times New Roman" w:hAnsi="Times New Roman" w:cs="Times New Roman"/>
          <w:i/>
          <w:iCs/>
          <w:color w:val="000000" w:themeColor="text1"/>
          <w:sz w:val="18"/>
          <w:szCs w:val="18"/>
        </w:rPr>
        <w:t xml:space="preserve"> plateaus as switches accumulate. (B) The three estimators agree for both pilot mutations.</w:t>
      </w:r>
    </w:p>
    <w:p w14:paraId="269F8D13" w14:textId="6E35C42E" w:rsidR="00640EF9" w:rsidRPr="00666531" w:rsidRDefault="00000000">
      <w:pPr>
        <w:pStyle w:val="Heading1"/>
        <w:spacing w:before="280" w:after="120"/>
        <w:rPr>
          <w:rFonts w:ascii="Times New Roman" w:hAnsi="Times New Roman" w:cs="Times New Roman"/>
          <w:color w:val="000000" w:themeColor="text1"/>
        </w:rPr>
      </w:pPr>
      <w:r w:rsidRPr="00666531">
        <w:rPr>
          <w:rFonts w:ascii="Times New Roman" w:hAnsi="Times New Roman" w:cs="Times New Roman"/>
          <w:b/>
          <w:bCs/>
          <w:color w:val="000000" w:themeColor="text1"/>
        </w:rPr>
        <w:lastRenderedPageBreak/>
        <w:t>References</w:t>
      </w:r>
    </w:p>
    <w:p w14:paraId="51F3DD92" w14:textId="77777777" w:rsidR="00640EF9" w:rsidRPr="00666531" w:rsidRDefault="00000000">
      <w:pPr>
        <w:spacing w:after="40"/>
        <w:rPr>
          <w:rFonts w:ascii="Times New Roman" w:hAnsi="Times New Roman" w:cs="Times New Roman"/>
          <w:color w:val="000000" w:themeColor="text1"/>
        </w:rPr>
      </w:pPr>
      <w:r w:rsidRPr="00666531">
        <w:rPr>
          <w:rFonts w:ascii="Times New Roman" w:hAnsi="Times New Roman" w:cs="Times New Roman"/>
          <w:color w:val="000000" w:themeColor="text1"/>
          <w:sz w:val="18"/>
          <w:szCs w:val="18"/>
        </w:rPr>
        <w:t>1.  Jarzynski, C. Nonequilibrium equality for free energy differences. Phys. Rev. Lett. 1997, 78, 2690–2693.</w:t>
      </w:r>
    </w:p>
    <w:p w14:paraId="1388062B" w14:textId="77777777" w:rsidR="00640EF9" w:rsidRPr="00666531" w:rsidRDefault="00000000">
      <w:pPr>
        <w:spacing w:after="40"/>
        <w:rPr>
          <w:rFonts w:ascii="Times New Roman" w:hAnsi="Times New Roman" w:cs="Times New Roman"/>
          <w:color w:val="000000" w:themeColor="text1"/>
        </w:rPr>
      </w:pPr>
      <w:r w:rsidRPr="00666531">
        <w:rPr>
          <w:rFonts w:ascii="Times New Roman" w:hAnsi="Times New Roman" w:cs="Times New Roman"/>
          <w:color w:val="000000" w:themeColor="text1"/>
          <w:sz w:val="18"/>
          <w:szCs w:val="18"/>
        </w:rPr>
        <w:t>2.  Crooks, G. E. Entropy production fluctuation theorem and the nonequilibrium work relation for free energy differences. Phys. Rev. E 1999, 60, 2721–2726.</w:t>
      </w:r>
    </w:p>
    <w:p w14:paraId="64614C80" w14:textId="77777777" w:rsidR="00640EF9" w:rsidRPr="00666531" w:rsidRDefault="00000000">
      <w:pPr>
        <w:spacing w:after="40"/>
        <w:rPr>
          <w:rFonts w:ascii="Times New Roman" w:hAnsi="Times New Roman" w:cs="Times New Roman"/>
          <w:color w:val="000000" w:themeColor="text1"/>
        </w:rPr>
      </w:pPr>
      <w:r w:rsidRPr="00666531">
        <w:rPr>
          <w:rFonts w:ascii="Times New Roman" w:hAnsi="Times New Roman" w:cs="Times New Roman"/>
          <w:color w:val="000000" w:themeColor="text1"/>
          <w:sz w:val="18"/>
          <w:szCs w:val="18"/>
        </w:rPr>
        <w:t xml:space="preserve">3.  Bennett, C. H. Efficient estimation of free energy differences from Monte Carlo data. J. </w:t>
      </w:r>
      <w:proofErr w:type="spellStart"/>
      <w:r w:rsidRPr="00666531">
        <w:rPr>
          <w:rFonts w:ascii="Times New Roman" w:hAnsi="Times New Roman" w:cs="Times New Roman"/>
          <w:color w:val="000000" w:themeColor="text1"/>
          <w:sz w:val="18"/>
          <w:szCs w:val="18"/>
        </w:rPr>
        <w:t>Comput</w:t>
      </w:r>
      <w:proofErr w:type="spellEnd"/>
      <w:r w:rsidRPr="00666531">
        <w:rPr>
          <w:rFonts w:ascii="Times New Roman" w:hAnsi="Times New Roman" w:cs="Times New Roman"/>
          <w:color w:val="000000" w:themeColor="text1"/>
          <w:sz w:val="18"/>
          <w:szCs w:val="18"/>
        </w:rPr>
        <w:t>. Phys. 1976, 22, 245–268.</w:t>
      </w:r>
    </w:p>
    <w:p w14:paraId="03C0C323" w14:textId="77777777" w:rsidR="00640EF9" w:rsidRPr="00666531" w:rsidRDefault="00000000">
      <w:pPr>
        <w:spacing w:after="40"/>
        <w:rPr>
          <w:rFonts w:ascii="Times New Roman" w:hAnsi="Times New Roman" w:cs="Times New Roman"/>
          <w:color w:val="000000" w:themeColor="text1"/>
        </w:rPr>
      </w:pPr>
      <w:r w:rsidRPr="00666531">
        <w:rPr>
          <w:rFonts w:ascii="Times New Roman" w:hAnsi="Times New Roman" w:cs="Times New Roman"/>
          <w:color w:val="000000" w:themeColor="text1"/>
          <w:sz w:val="18"/>
          <w:szCs w:val="18"/>
        </w:rPr>
        <w:t xml:space="preserve">4.  </w:t>
      </w:r>
      <w:proofErr w:type="spellStart"/>
      <w:r w:rsidRPr="00666531">
        <w:rPr>
          <w:rFonts w:ascii="Times New Roman" w:hAnsi="Times New Roman" w:cs="Times New Roman"/>
          <w:color w:val="000000" w:themeColor="text1"/>
          <w:sz w:val="18"/>
          <w:szCs w:val="18"/>
        </w:rPr>
        <w:t>Gapsys</w:t>
      </w:r>
      <w:proofErr w:type="spellEnd"/>
      <w:r w:rsidRPr="00666531">
        <w:rPr>
          <w:rFonts w:ascii="Times New Roman" w:hAnsi="Times New Roman" w:cs="Times New Roman"/>
          <w:color w:val="000000" w:themeColor="text1"/>
          <w:sz w:val="18"/>
          <w:szCs w:val="18"/>
        </w:rPr>
        <w:t xml:space="preserve">, V.; </w:t>
      </w:r>
      <w:proofErr w:type="spellStart"/>
      <w:r w:rsidRPr="00666531">
        <w:rPr>
          <w:rFonts w:ascii="Times New Roman" w:hAnsi="Times New Roman" w:cs="Times New Roman"/>
          <w:color w:val="000000" w:themeColor="text1"/>
          <w:sz w:val="18"/>
          <w:szCs w:val="18"/>
        </w:rPr>
        <w:t>Michielssens</w:t>
      </w:r>
      <w:proofErr w:type="spellEnd"/>
      <w:r w:rsidRPr="00666531">
        <w:rPr>
          <w:rFonts w:ascii="Times New Roman" w:hAnsi="Times New Roman" w:cs="Times New Roman"/>
          <w:color w:val="000000" w:themeColor="text1"/>
          <w:sz w:val="18"/>
          <w:szCs w:val="18"/>
        </w:rPr>
        <w:t xml:space="preserve">, S.; Seeliger, D.; de Groot, B. L. </w:t>
      </w:r>
      <w:proofErr w:type="spellStart"/>
      <w:r w:rsidRPr="00666531">
        <w:rPr>
          <w:rFonts w:ascii="Times New Roman" w:hAnsi="Times New Roman" w:cs="Times New Roman"/>
          <w:color w:val="000000" w:themeColor="text1"/>
          <w:sz w:val="18"/>
          <w:szCs w:val="18"/>
        </w:rPr>
        <w:t>pmx</w:t>
      </w:r>
      <w:proofErr w:type="spellEnd"/>
      <w:r w:rsidRPr="00666531">
        <w:rPr>
          <w:rFonts w:ascii="Times New Roman" w:hAnsi="Times New Roman" w:cs="Times New Roman"/>
          <w:color w:val="000000" w:themeColor="text1"/>
          <w:sz w:val="18"/>
          <w:szCs w:val="18"/>
        </w:rPr>
        <w:t xml:space="preserve">: Automated protein structure and topology generation for alchemical perturbations. J. </w:t>
      </w:r>
      <w:proofErr w:type="spellStart"/>
      <w:r w:rsidRPr="00666531">
        <w:rPr>
          <w:rFonts w:ascii="Times New Roman" w:hAnsi="Times New Roman" w:cs="Times New Roman"/>
          <w:color w:val="000000" w:themeColor="text1"/>
          <w:sz w:val="18"/>
          <w:szCs w:val="18"/>
        </w:rPr>
        <w:t>Comput</w:t>
      </w:r>
      <w:proofErr w:type="spellEnd"/>
      <w:r w:rsidRPr="00666531">
        <w:rPr>
          <w:rFonts w:ascii="Times New Roman" w:hAnsi="Times New Roman" w:cs="Times New Roman"/>
          <w:color w:val="000000" w:themeColor="text1"/>
          <w:sz w:val="18"/>
          <w:szCs w:val="18"/>
        </w:rPr>
        <w:t>. Chem. 2015, 36, 348–354.</w:t>
      </w:r>
    </w:p>
    <w:p w14:paraId="150ADA21" w14:textId="77777777" w:rsidR="00640EF9" w:rsidRPr="00666531" w:rsidRDefault="00000000">
      <w:pPr>
        <w:spacing w:after="40"/>
        <w:rPr>
          <w:rFonts w:ascii="Times New Roman" w:hAnsi="Times New Roman" w:cs="Times New Roman"/>
          <w:color w:val="000000" w:themeColor="text1"/>
        </w:rPr>
      </w:pPr>
      <w:r w:rsidRPr="00666531">
        <w:rPr>
          <w:rFonts w:ascii="Times New Roman" w:hAnsi="Times New Roman" w:cs="Times New Roman"/>
          <w:color w:val="000000" w:themeColor="text1"/>
          <w:sz w:val="18"/>
          <w:szCs w:val="18"/>
        </w:rPr>
        <w:t xml:space="preserve">5.  </w:t>
      </w:r>
      <w:proofErr w:type="spellStart"/>
      <w:r w:rsidRPr="00666531">
        <w:rPr>
          <w:rFonts w:ascii="Times New Roman" w:hAnsi="Times New Roman" w:cs="Times New Roman"/>
          <w:color w:val="000000" w:themeColor="text1"/>
          <w:sz w:val="18"/>
          <w:szCs w:val="18"/>
        </w:rPr>
        <w:t>Aldeghi</w:t>
      </w:r>
      <w:proofErr w:type="spellEnd"/>
      <w:r w:rsidRPr="00666531">
        <w:rPr>
          <w:rFonts w:ascii="Times New Roman" w:hAnsi="Times New Roman" w:cs="Times New Roman"/>
          <w:color w:val="000000" w:themeColor="text1"/>
          <w:sz w:val="18"/>
          <w:szCs w:val="18"/>
        </w:rPr>
        <w:t xml:space="preserve">, M.; </w:t>
      </w:r>
      <w:proofErr w:type="spellStart"/>
      <w:r w:rsidRPr="00666531">
        <w:rPr>
          <w:rFonts w:ascii="Times New Roman" w:hAnsi="Times New Roman" w:cs="Times New Roman"/>
          <w:color w:val="000000" w:themeColor="text1"/>
          <w:sz w:val="18"/>
          <w:szCs w:val="18"/>
        </w:rPr>
        <w:t>Gapsys</w:t>
      </w:r>
      <w:proofErr w:type="spellEnd"/>
      <w:r w:rsidRPr="00666531">
        <w:rPr>
          <w:rFonts w:ascii="Times New Roman" w:hAnsi="Times New Roman" w:cs="Times New Roman"/>
          <w:color w:val="000000" w:themeColor="text1"/>
          <w:sz w:val="18"/>
          <w:szCs w:val="18"/>
        </w:rPr>
        <w:t>, V.; de Groot, B. L. Accurate estimation of ligand binding affinity changes upon protein mutation. ACS Cent. Sci. 2018, 4, 1708–1718.</w:t>
      </w:r>
    </w:p>
    <w:p w14:paraId="5C5ED13E" w14:textId="77777777" w:rsidR="00640EF9" w:rsidRPr="00666531" w:rsidRDefault="00000000">
      <w:pPr>
        <w:spacing w:after="40"/>
        <w:rPr>
          <w:rFonts w:ascii="Times New Roman" w:hAnsi="Times New Roman" w:cs="Times New Roman"/>
          <w:color w:val="000000" w:themeColor="text1"/>
        </w:rPr>
      </w:pPr>
      <w:r w:rsidRPr="00666531">
        <w:rPr>
          <w:rFonts w:ascii="Times New Roman" w:hAnsi="Times New Roman" w:cs="Times New Roman"/>
          <w:color w:val="000000" w:themeColor="text1"/>
          <w:sz w:val="18"/>
          <w:szCs w:val="18"/>
        </w:rPr>
        <w:t xml:space="preserve">6.  </w:t>
      </w:r>
      <w:proofErr w:type="spellStart"/>
      <w:r w:rsidRPr="00666531">
        <w:rPr>
          <w:rFonts w:ascii="Times New Roman" w:hAnsi="Times New Roman" w:cs="Times New Roman"/>
          <w:color w:val="000000" w:themeColor="text1"/>
          <w:sz w:val="18"/>
          <w:szCs w:val="18"/>
        </w:rPr>
        <w:t>Aldeghi</w:t>
      </w:r>
      <w:proofErr w:type="spellEnd"/>
      <w:r w:rsidRPr="00666531">
        <w:rPr>
          <w:rFonts w:ascii="Times New Roman" w:hAnsi="Times New Roman" w:cs="Times New Roman"/>
          <w:color w:val="000000" w:themeColor="text1"/>
          <w:sz w:val="18"/>
          <w:szCs w:val="18"/>
        </w:rPr>
        <w:t xml:space="preserve">, M.; </w:t>
      </w:r>
      <w:proofErr w:type="spellStart"/>
      <w:r w:rsidRPr="00666531">
        <w:rPr>
          <w:rFonts w:ascii="Times New Roman" w:hAnsi="Times New Roman" w:cs="Times New Roman"/>
          <w:color w:val="000000" w:themeColor="text1"/>
          <w:sz w:val="18"/>
          <w:szCs w:val="18"/>
        </w:rPr>
        <w:t>Gapsys</w:t>
      </w:r>
      <w:proofErr w:type="spellEnd"/>
      <w:r w:rsidRPr="00666531">
        <w:rPr>
          <w:rFonts w:ascii="Times New Roman" w:hAnsi="Times New Roman" w:cs="Times New Roman"/>
          <w:color w:val="000000" w:themeColor="text1"/>
          <w:sz w:val="18"/>
          <w:szCs w:val="18"/>
        </w:rPr>
        <w:t>, V.; de Groot, B. L. Predicting kinase inhibitor resistance: physics-based and data-driven approaches. ACS Cent. Sci. 2019, 5, 1468–1474.</w:t>
      </w:r>
    </w:p>
    <w:p w14:paraId="3C8E2CA3" w14:textId="77777777" w:rsidR="00640EF9" w:rsidRPr="00666531" w:rsidRDefault="00000000">
      <w:pPr>
        <w:spacing w:after="40"/>
        <w:rPr>
          <w:rFonts w:ascii="Times New Roman" w:hAnsi="Times New Roman" w:cs="Times New Roman"/>
          <w:color w:val="000000" w:themeColor="text1"/>
        </w:rPr>
      </w:pPr>
      <w:r w:rsidRPr="00666531">
        <w:rPr>
          <w:rFonts w:ascii="Times New Roman" w:hAnsi="Times New Roman" w:cs="Times New Roman"/>
          <w:color w:val="000000" w:themeColor="text1"/>
          <w:sz w:val="18"/>
          <w:szCs w:val="18"/>
        </w:rPr>
        <w:t xml:space="preserve">7.  </w:t>
      </w:r>
      <w:proofErr w:type="spellStart"/>
      <w:r w:rsidRPr="00666531">
        <w:rPr>
          <w:rFonts w:ascii="Times New Roman" w:hAnsi="Times New Roman" w:cs="Times New Roman"/>
          <w:color w:val="000000" w:themeColor="text1"/>
          <w:sz w:val="18"/>
          <w:szCs w:val="18"/>
        </w:rPr>
        <w:t>Gapsys</w:t>
      </w:r>
      <w:proofErr w:type="spellEnd"/>
      <w:r w:rsidRPr="00666531">
        <w:rPr>
          <w:rFonts w:ascii="Times New Roman" w:hAnsi="Times New Roman" w:cs="Times New Roman"/>
          <w:color w:val="000000" w:themeColor="text1"/>
          <w:sz w:val="18"/>
          <w:szCs w:val="18"/>
        </w:rPr>
        <w:t>, V.; et al. Large scale relative protein–ligand binding affinities using non-equilibrium alchemy. Chem. Sci. 2020, 11, 1140–1152.</w:t>
      </w:r>
    </w:p>
    <w:p w14:paraId="35533F62" w14:textId="77777777" w:rsidR="00640EF9" w:rsidRPr="00666531" w:rsidRDefault="00000000">
      <w:pPr>
        <w:spacing w:after="40"/>
        <w:rPr>
          <w:rFonts w:ascii="Times New Roman" w:hAnsi="Times New Roman" w:cs="Times New Roman"/>
          <w:color w:val="000000" w:themeColor="text1"/>
        </w:rPr>
      </w:pPr>
      <w:r w:rsidRPr="00666531">
        <w:rPr>
          <w:rFonts w:ascii="Times New Roman" w:hAnsi="Times New Roman" w:cs="Times New Roman"/>
          <w:color w:val="000000" w:themeColor="text1"/>
          <w:sz w:val="18"/>
          <w:szCs w:val="18"/>
        </w:rPr>
        <w:t>8.  Bernetti, M.; Bussi, G. Pressure control using stochastic cell rescaling. J. Chem. Phys. 2020, 153, 114107.</w:t>
      </w:r>
    </w:p>
    <w:sectPr w:rsidR="00640EF9" w:rsidRPr="0066653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9A7D79"/>
    <w:multiLevelType w:val="hybridMultilevel"/>
    <w:tmpl w:val="CE3429A4"/>
    <w:lvl w:ilvl="0" w:tplc="D6680996">
      <w:start w:val="1"/>
      <w:numFmt w:val="bullet"/>
      <w:lvlText w:val="•"/>
      <w:lvlJc w:val="left"/>
      <w:pPr>
        <w:ind w:left="360" w:hanging="180"/>
      </w:pPr>
    </w:lvl>
    <w:lvl w:ilvl="1" w:tplc="3CDAF19E">
      <w:numFmt w:val="decimal"/>
      <w:lvlText w:val=""/>
      <w:lvlJc w:val="left"/>
    </w:lvl>
    <w:lvl w:ilvl="2" w:tplc="F87A2456">
      <w:numFmt w:val="decimal"/>
      <w:lvlText w:val=""/>
      <w:lvlJc w:val="left"/>
    </w:lvl>
    <w:lvl w:ilvl="3" w:tplc="64C06F70">
      <w:numFmt w:val="decimal"/>
      <w:lvlText w:val=""/>
      <w:lvlJc w:val="left"/>
    </w:lvl>
    <w:lvl w:ilvl="4" w:tplc="BCB025DC">
      <w:numFmt w:val="decimal"/>
      <w:lvlText w:val=""/>
      <w:lvlJc w:val="left"/>
    </w:lvl>
    <w:lvl w:ilvl="5" w:tplc="B58427E2">
      <w:numFmt w:val="decimal"/>
      <w:lvlText w:val=""/>
      <w:lvlJc w:val="left"/>
    </w:lvl>
    <w:lvl w:ilvl="6" w:tplc="817E489A">
      <w:numFmt w:val="decimal"/>
      <w:lvlText w:val=""/>
      <w:lvlJc w:val="left"/>
    </w:lvl>
    <w:lvl w:ilvl="7" w:tplc="CAF6D50A">
      <w:numFmt w:val="decimal"/>
      <w:lvlText w:val=""/>
      <w:lvlJc w:val="left"/>
    </w:lvl>
    <w:lvl w:ilvl="8" w:tplc="6FBC1FA6">
      <w:numFmt w:val="decimal"/>
      <w:lvlText w:val=""/>
      <w:lvlJc w:val="left"/>
    </w:lvl>
  </w:abstractNum>
  <w:abstractNum w:abstractNumId="1" w15:restartNumberingAfterBreak="0">
    <w:nsid w:val="54B01D79"/>
    <w:multiLevelType w:val="hybridMultilevel"/>
    <w:tmpl w:val="DA860732"/>
    <w:lvl w:ilvl="0" w:tplc="76AAF03E">
      <w:start w:val="1"/>
      <w:numFmt w:val="bullet"/>
      <w:lvlText w:val="●"/>
      <w:lvlJc w:val="left"/>
      <w:pPr>
        <w:ind w:left="720" w:hanging="360"/>
      </w:pPr>
    </w:lvl>
    <w:lvl w:ilvl="1" w:tplc="3FD67BF2">
      <w:start w:val="1"/>
      <w:numFmt w:val="bullet"/>
      <w:lvlText w:val="○"/>
      <w:lvlJc w:val="left"/>
      <w:pPr>
        <w:ind w:left="1440" w:hanging="360"/>
      </w:pPr>
    </w:lvl>
    <w:lvl w:ilvl="2" w:tplc="67CEEACA">
      <w:start w:val="1"/>
      <w:numFmt w:val="bullet"/>
      <w:lvlText w:val="■"/>
      <w:lvlJc w:val="left"/>
      <w:pPr>
        <w:ind w:left="2160" w:hanging="360"/>
      </w:pPr>
    </w:lvl>
    <w:lvl w:ilvl="3" w:tplc="047C7016">
      <w:start w:val="1"/>
      <w:numFmt w:val="bullet"/>
      <w:lvlText w:val="●"/>
      <w:lvlJc w:val="left"/>
      <w:pPr>
        <w:ind w:left="2880" w:hanging="360"/>
      </w:pPr>
    </w:lvl>
    <w:lvl w:ilvl="4" w:tplc="A066D872">
      <w:start w:val="1"/>
      <w:numFmt w:val="bullet"/>
      <w:lvlText w:val="○"/>
      <w:lvlJc w:val="left"/>
      <w:pPr>
        <w:ind w:left="3600" w:hanging="360"/>
      </w:pPr>
    </w:lvl>
    <w:lvl w:ilvl="5" w:tplc="0D3E7B44">
      <w:start w:val="1"/>
      <w:numFmt w:val="bullet"/>
      <w:lvlText w:val="■"/>
      <w:lvlJc w:val="left"/>
      <w:pPr>
        <w:ind w:left="4320" w:hanging="360"/>
      </w:pPr>
    </w:lvl>
    <w:lvl w:ilvl="6" w:tplc="491AE54C">
      <w:start w:val="1"/>
      <w:numFmt w:val="bullet"/>
      <w:lvlText w:val="●"/>
      <w:lvlJc w:val="left"/>
      <w:pPr>
        <w:ind w:left="5040" w:hanging="360"/>
      </w:pPr>
    </w:lvl>
    <w:lvl w:ilvl="7" w:tplc="1BB8E716">
      <w:start w:val="1"/>
      <w:numFmt w:val="bullet"/>
      <w:lvlText w:val="●"/>
      <w:lvlJc w:val="left"/>
      <w:pPr>
        <w:ind w:left="5760" w:hanging="360"/>
      </w:pPr>
    </w:lvl>
    <w:lvl w:ilvl="8" w:tplc="E8C2F058">
      <w:start w:val="1"/>
      <w:numFmt w:val="bullet"/>
      <w:lvlText w:val="●"/>
      <w:lvlJc w:val="left"/>
      <w:pPr>
        <w:ind w:left="6480" w:hanging="360"/>
      </w:pPr>
    </w:lvl>
  </w:abstractNum>
  <w:num w:numId="1" w16cid:durableId="1276790948">
    <w:abstractNumId w:val="1"/>
    <w:lvlOverride w:ilvl="0">
      <w:startOverride w:val="1"/>
    </w:lvlOverride>
  </w:num>
  <w:num w:numId="2" w16cid:durableId="210471766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EF9"/>
    <w:rsid w:val="001707BD"/>
    <w:rsid w:val="001D6B94"/>
    <w:rsid w:val="001E2533"/>
    <w:rsid w:val="00285CD6"/>
    <w:rsid w:val="002C2B5B"/>
    <w:rsid w:val="002D1CDB"/>
    <w:rsid w:val="002F24FB"/>
    <w:rsid w:val="003A6152"/>
    <w:rsid w:val="00406E64"/>
    <w:rsid w:val="00441704"/>
    <w:rsid w:val="0045668F"/>
    <w:rsid w:val="005371B1"/>
    <w:rsid w:val="00614558"/>
    <w:rsid w:val="00640582"/>
    <w:rsid w:val="00640EF9"/>
    <w:rsid w:val="00666531"/>
    <w:rsid w:val="007643E3"/>
    <w:rsid w:val="00861A98"/>
    <w:rsid w:val="00917A27"/>
    <w:rsid w:val="00A66890"/>
    <w:rsid w:val="00A66D88"/>
    <w:rsid w:val="00B076E4"/>
    <w:rsid w:val="00B96BE7"/>
    <w:rsid w:val="00BA04D0"/>
    <w:rsid w:val="00C0281D"/>
    <w:rsid w:val="00C239F1"/>
    <w:rsid w:val="00D374C8"/>
    <w:rsid w:val="00E13538"/>
    <w:rsid w:val="00EB2C3A"/>
    <w:rsid w:val="00EF6103"/>
    <w:rsid w:val="00FF38E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396CCC5C"/>
  <w15:docId w15:val="{BF1945C4-6E4A-974A-8738-9E3C02491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2008</Words>
  <Characters>11450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Satija</cp:lastModifiedBy>
  <cp:revision>29</cp:revision>
  <dcterms:created xsi:type="dcterms:W3CDTF">2026-08-05T19:56:00Z</dcterms:created>
  <dcterms:modified xsi:type="dcterms:W3CDTF">2026-08-05T21:07:00Z</dcterms:modified>
</cp:coreProperties>
</file>