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CEFB36" w14:textId="77777777" w:rsidR="00640EF9" w:rsidRPr="00666531" w:rsidRDefault="00000000" w:rsidP="00666531">
      <w:pPr>
        <w:spacing w:after="40"/>
        <w:rPr>
          <w:rFonts w:ascii="Times New Roman" w:hAnsi="Times New Roman" w:cs="Times New Roman"/>
          <w:color w:val="000000" w:themeColor="text1"/>
        </w:rPr>
      </w:pPr>
      <w:r>
        <w:rPr>
          <w:rFonts w:ascii="Times New Roman" w:hAnsi="Times New Roman" w:cs="Times New Roman"/>
          <w:b/>
          <w:bCs/>
          <w:color w:val="000000" w:themeColor="text1"/>
          <w:sz w:val="32"/>
          <w:szCs w:val="32"/>
        </w:rPr>
        <w:t>RT–DOR binding-energy calculations using free-energy perturbation (FEP)</w:t>
      </w:r>
    </w:p>
    <w:p w14:paraId="61880841" w14:textId="77777777"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Summary</w:t>
      </w:r>
    </w:p>
    <w:p w14:paraId="3AB183F3"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HIV acquires resistance to doravirine through mutations in reverse transcriptase (RT). Resistance can arise in several ways — the mutation may weaken drug binding, alter the enzyme’s catalytic activity or fitness, or change the kinetics by which the inhibitor binds and the non-nucleoside pocket forms. We compute one of these contributions from physical first principles: how much a mutation changes the binding free energy of doravirine. Across the genotype panel we then ask where that change accounts for the measured resistance and where it does not.</w:t>
      </w:r>
    </w:p>
    <w:p w14:paraId="471FCF0E"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binding free energy sets how strongly doravirine binds into its pocket rather than staying in solution. A mutation shifts it; we compute that shift,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for each mutation. It is not the whole of resistance, but it is the component binding physics can, in principle, settle rigorously, and for mutations where binding dominates it is directly comparable to the clinical fold-change.</w:t>
      </w:r>
    </w:p>
    <w:p w14:paraId="2A571465"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Absolute binding free energies are hard to compute reliably; the difference between wild-type and mutant is not. We morph the wild-type residue into the mutant one atom by atom inside the simulation and measure the energetic cost — once with doravirine in the pocket, once in the empty enzyme. The difference between the two costs is the change in binding; everything common to both cancels (Figure 1; the Free Energy Perturbation (FEP) cycle is derived in Methods Section).</w:t>
      </w:r>
    </w:p>
    <w:p w14:paraId="69B62508"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Both morphs run in a complete simulation of the enzyme in explicit water at physiological salt, so the buried, electrostatically sensitive pocket is modeled directly rather than approximated. We run each morph with the drug bound and drug-free, in triplicate;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is the bound-minus-free difference, and the three replicates give the reported mean ± standard error.</w:t>
      </w:r>
    </w:p>
    <w:p w14:paraId="0BB7828B"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5B36818" wp14:editId="5EAD4439">
            <wp:extent cx="57150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66925"/>
                    </a:xfrm>
                    <a:prstGeom prst="rect">
                      <a:avLst/>
                    </a:prstGeom>
                  </pic:spPr>
                </pic:pic>
              </a:graphicData>
            </a:graphic>
          </wp:inline>
        </w:drawing>
      </w:r>
    </w:p>
    <w:p w14:paraId="1A17D1C9" w14:textId="77777777" w:rsidR="00640EF9" w:rsidRPr="00666531" w:rsidRDefault="00000000" w:rsidP="001707BD">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1.  (A) The Free Energy Perturbation (FEP) cycle that defines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(B) The non-equilibrium switching workflow, run per mutation × phase (drug-bound / drug-free) × replicate.</w:t>
      </w:r>
    </w:p>
    <w:p w14:paraId="1ED7C3D8" w14:textId="77777777" w:rsidR="00640EF9" w:rsidRPr="00666531" w:rsidRDefault="00666531">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Results</w:t>
      </w:r>
    </w:p>
    <w:p w14:paraId="5680F54E" w14:textId="77777777" w:rsidR="00640EF9" w:rsidRPr="00666531" w:rsidRDefault="00B076E4">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Till now, we have computed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for seven of the single-residue mutations of the genotype panel; each value is the mean of three independent replicates (Figure 2). Two canonical resistance mutations, V106A and Y188L, both weaken binding, with Y188L showing greater impact than V106A. However, across the </w:t>
      </w:r>
      <w:r>
        <w:rPr>
          <w:rFonts w:ascii="Times New Roman" w:hAnsi="Times New Roman" w:cs="Times New Roman"/>
          <w:color w:val="000000" w:themeColor="text1"/>
          <w:sz w:val="22"/>
          <w:szCs w:val="22"/>
        </w:rPr>
        <w:lastRenderedPageBreak/>
        <w:t>seven single mutations, the correlation between computed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and log fold-change is weak (linear fit R² = 0.18, p = 0.34).</w:t>
      </w:r>
    </w:p>
    <w:p w14:paraId="2C4FA840" w14:textId="77777777" w:rsidR="002B12C4" w:rsidRDefault="00000000">
      <w:pPr>
        <w:spacing w:before="160" w:after="120"/>
        <w:jc w:val="center"/>
      </w:pPr>
      <w:r>
        <w:rPr>
          <w:noProof/>
        </w:rPr>
        <w:drawing>
          <wp:inline distT="0" distB="0" distL="0" distR="0" wp14:anchorId="1EEC2E08" wp14:editId="65AEBDA6">
            <wp:extent cx="5120640" cy="3840480"/>
            <wp:effectExtent l="0" t="0" r="0" b="0"/>
            <wp:docPr id="901" name="ddg_vs_fold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20640" cy="3840480"/>
                    </a:xfrm>
                    <a:prstGeom prst="rect">
                      <a:avLst/>
                    </a:prstGeom>
                  </pic:spPr>
                </pic:pic>
              </a:graphicData>
            </a:graphic>
          </wp:inline>
        </w:drawing>
      </w:r>
    </w:p>
    <w:p w14:paraId="06F65CD8" w14:textId="221A9BF8"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2.  Computed ΔΔG</w:t>
      </w:r>
      <w:r w:rsidR="009B2BDE">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(mean ± SEM over 3 replicates) for the seven single mutations versus clinical fold-change (log10 scale). Dashed line is a linear fit (R² = 0.18, p = 0.34). Positive ΔΔG</w:t>
      </w:r>
      <w:r w:rsidR="00D36C69">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 weaker binding.</w:t>
      </w:r>
    </w:p>
    <w:p w14:paraId="345489C9" w14:textId="77777777" w:rsidR="00640EF9" w:rsidRPr="00666531" w:rsidRDefault="00B96BE7">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Two charge-changing mutations (K103N, G190E) and all the double-mutation genotypes are still running. The correlation above is therefore preliminary and will change as the remaining genotypes are added. What the present data establish is that the calculation is reproducible — the replicate standard error is at or below ~1 kcal/mol. How far the binding contribution accounts for resistance across the complete panel is the question the finished panel will answer.</w:t>
      </w:r>
    </w:p>
    <w:p w14:paraId="2A36AA27" w14:textId="77777777" w:rsidR="00640EF9" w:rsidRPr="00666531" w:rsidRDefault="00BA04D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Main Limitation</w:t>
      </w:r>
    </w:p>
    <w:p w14:paraId="0E2A749C" w14:textId="77777777" w:rsidR="00640EF9" w:rsidRPr="00BA04D0" w:rsidRDefault="00000000" w:rsidP="004245D1">
      <w:pPr>
        <w:spacing w:after="80" w:line="269" w:lineRule="auto"/>
        <w:jc w:val="both"/>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 xml:space="preserve">The drug-free pocket is dynamic. </w:t>
      </w:r>
      <w:r>
        <w:rPr>
          <w:rFonts w:ascii="Times New Roman" w:hAnsi="Times New Roman" w:cs="Times New Roman"/>
          <w:color w:val="000000" w:themeColor="text1"/>
          <w:sz w:val="22"/>
          <w:szCs w:val="22"/>
        </w:rPr>
        <w:t>The doravirine pocket does not exist in the empty enzyme — the drug creates it on binding — so once the drug is absent the pocket begins to collapse. Our drug-free legs start from a bound-like, open-pocket conformation and are equilibrated for ~5 ns, so they sample the pocket part-way through that collapse rather than at equilibrium; this is the largest source of uncertainty in the cycle. Every drug-free leg starts from the same wild-type apo ensemble, so error in that shared baseline is common to all mutations and cancels when we rank them, while the mutation-specific reshaping of the collapsing pocket does not. One lever to overcome this limitation is sampling: seeding the drug-free endpoint from long unliganded trajectories (100 ns and beyond) so its ensemble reaches the true collapsed state, rather than the short equilibration used so far (see Next Steps).</w:t>
      </w:r>
    </w:p>
    <w:p w14:paraId="0DC8415E"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Next steps</w:t>
      </w:r>
    </w:p>
    <w:p w14:paraId="56806B92"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lastRenderedPageBreak/>
        <w:t xml:space="preserve">Charge-changing mutations (K103N, G190E).  </w:t>
      </w:r>
      <w:r>
        <w:rPr>
          <w:rFonts w:ascii="Times New Roman" w:hAnsi="Times New Roman" w:cs="Times New Roman"/>
          <w:color w:val="000000" w:themeColor="text1"/>
          <w:sz w:val="22"/>
          <w:szCs w:val="22"/>
        </w:rPr>
        <w:t>These change the net charge, which distorts electrostatics in a periodic box if handled naively. We have implemented a scheme in which, as the mutation removes a unit of charge, one distant counter-ion is simultaneously discharged, so the box stays neutral throughout the morph and its identical contribution cancels between the drug-bound and drug-free legs. Both charge legs are running under this protocol; validation — confirming the result is independent of which distant ion is chosen — is in progress.</w:t>
      </w:r>
    </w:p>
    <w:p w14:paraId="17AB9144"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Timescale test.  </w:t>
      </w:r>
      <w:r>
        <w:rPr>
          <w:rFonts w:ascii="Times New Roman" w:hAnsi="Times New Roman" w:cs="Times New Roman"/>
          <w:color w:val="000000" w:themeColor="text1"/>
          <w:sz w:val="22"/>
          <w:szCs w:val="22"/>
        </w:rPr>
        <w:t>For a representative mutation we will seed the morph from longer trajectories (the 100 ns runs already available, and longer if warranted) instead of the short endpoint equilibration, and check whether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moves — the same logic as the switch-length test in Methods section, applied to the sampling timescale.</w:t>
      </w:r>
    </w:p>
    <w:p w14:paraId="2BF08D49" w14:textId="77777777" w:rsidR="00640EF9" w:rsidRPr="00666531" w:rsidRDefault="00000000" w:rsidP="004245D1">
      <w:pPr>
        <w:pStyle w:val="ListParagraph"/>
        <w:numPr>
          <w:ilvl w:val="0"/>
          <w:numId w:val="2"/>
        </w:numPr>
        <w:spacing w:after="80" w:line="268"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t xml:space="preserve">Panel completion.  </w:t>
      </w:r>
      <w:r>
        <w:rPr>
          <w:rFonts w:ascii="Times New Roman" w:hAnsi="Times New Roman" w:cs="Times New Roman"/>
          <w:color w:val="000000" w:themeColor="text1"/>
          <w:sz w:val="22"/>
          <w:szCs w:val="22"/>
        </w:rPr>
        <w:t>Finish the single mutations, then the double mutation genotypes (a test of whether individual mutation effects add), then the full comparison against experiment.</w:t>
      </w:r>
    </w:p>
    <w:p w14:paraId="4668EA1C"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Methods</w:t>
      </w:r>
    </w:p>
    <w:p w14:paraId="41E9FDAD" w14:textId="77777777" w:rsidR="00C437B5" w:rsidRPr="004245D1" w:rsidRDefault="00000000">
      <w:pPr>
        <w:spacing w:after="120" w:line="276"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Free-energy calculations have guided NNRTI inhibitor design and RT–inhibitor modeling for two decades (Rizzo et al., 2000; Zeevaart et al., 2008); the non-equilibrium mutation protocol used here has been benchmarked on large protein-mutation and protein–ligand datasets (Aldeghi et al., 2018; Gapsys et al., 2020) and applied to inhibitor resistance (Aldeghi et al., 2019).</w:t>
      </w:r>
    </w:p>
    <w:p w14:paraId="48B5B6F4"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The Free Energy Perturbation (FEP) cycle</w:t>
      </w:r>
    </w:p>
    <w:p w14:paraId="7E389810"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change in binding free energy on mutation is the difference of two binding free energies — wild-type and mutant. Computing either absolute binding free energy would mean reversibly removing the drug from the pocket, which is slow and poorly converged. The FEP cycle avoids it: because free energy is a state function, going around the closed cycle sums to zero, which lets us replace the two physical binding steps with two computational mutation steps — one in the drug-bound enzyme, one in the drug-free enzyme:</w:t>
      </w:r>
    </w:p>
    <w:p w14:paraId="5C2E8D74"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81F20F0" wp14:editId="1D3F760D">
            <wp:extent cx="4095750" cy="400050"/>
            <wp:effectExtent l="0" t="0" r="0" b="0"/>
            <wp:docPr id="1056499275" name="Picture 105649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400050"/>
                    </a:xfrm>
                    <a:prstGeom prst="rect">
                      <a:avLst/>
                    </a:prstGeom>
                  </pic:spPr>
                </pic:pic>
              </a:graphicData>
            </a:graphic>
          </wp:inline>
        </w:drawing>
      </w:r>
    </w:p>
    <w:p w14:paraId="00F58DB6"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intractable absolute binding terms cancel exactly, leaving two transformations we can compute (drug vs no drug and mut vs WT).</w:t>
      </w:r>
    </w:p>
    <w:p w14:paraId="674A282D"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Why we drive the transition instead of equilibrating it</w:t>
      </w:r>
    </w:p>
    <w:p w14:paraId="22F434DF"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To morph wild-type into mutant we introduce a coupling coordinate λ that runs from 0 (wild-type) to 1 (mutant); intermediate λ is a hybrid, part one residue and part the other. The free-energy difference we want is a property of the two equilibrium endpoints.</w:t>
      </w:r>
    </w:p>
    <w:p w14:paraId="0D9D0AE2"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textbook equilibrium route holds the system at a ladder of fixed λ values, equilibrates each, and adds the increments. Its weakness is that it must converge the intermediate, unphysical states — the partly-morphed residues — and for a buried, tightly packed pocket these are exactly the states that equilibrate slowly. Our own fixed-λ attempt on this system failed to converge for that reason.</w:t>
      </w:r>
    </w:p>
    <w:p w14:paraId="5CB73899"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The non-equilibrium route avoids this. We equilibrate only the two physical endpoints, then drive λ from 0 to 1 rapidly and repeatedly, recording the work W done on the system in each switch; no intermediate state is ever asked to equilibrate. The price is that a fast switch is irreversible and does more work than the free-energy difference, </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W</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 xml:space="preserve"> ≥ ΔG (the second law of thermodynamics), with equality only for an infinitely slow </w:t>
      </w:r>
      <w:r>
        <w:rPr>
          <w:rFonts w:ascii="Times New Roman" w:hAnsi="Times New Roman" w:cs="Times New Roman"/>
          <w:color w:val="000000" w:themeColor="text1"/>
          <w:sz w:val="22"/>
          <w:szCs w:val="22"/>
        </w:rPr>
        <w:lastRenderedPageBreak/>
        <w:t>switch — the surplus is dissipated energy. Two results turn those irreversible switches back into an exact free energy.</w:t>
      </w:r>
    </w:p>
    <w:p w14:paraId="7C031DC5"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Jarzynski’s equality — an exact free energy from irreversible work</w:t>
      </w:r>
    </w:p>
    <w:p w14:paraId="1E9A06C1"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6A0828D" wp14:editId="76BD2D0B">
            <wp:extent cx="4762500" cy="285750"/>
            <wp:effectExtent l="0" t="0" r="0" b="0"/>
            <wp:docPr id="108135930" name="Picture 10813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5750"/>
                    </a:xfrm>
                    <a:prstGeom prst="rect">
                      <a:avLst/>
                    </a:prstGeom>
                  </pic:spPr>
                </pic:pic>
              </a:graphicData>
            </a:graphic>
          </wp:inline>
        </w:drawing>
      </w:r>
    </w:p>
    <w:p w14:paraId="1601DB14"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 xml:space="preserve">Jarzynski (1997) showed that the equilibrium free-energy difference is recovered exactly from the exponential average of the non-equilibrium work, at any switching speed. This is a strong statement: although every individual switch dissipates energy and </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W</w:t>
      </w:r>
      <w:r>
        <w:rPr>
          <w:rFonts w:ascii="Cambria Math" w:hAnsi="Cambria Math" w:cs="Cambria Math"/>
          <w:color w:val="000000" w:themeColor="text1"/>
          <w:sz w:val="22"/>
          <w:szCs w:val="22"/>
        </w:rPr>
        <w:t>⟩</w:t>
      </w:r>
      <w:r>
        <w:rPr>
          <w:rFonts w:ascii="Times New Roman" w:hAnsi="Times New Roman" w:cs="Times New Roman"/>
          <w:color w:val="000000" w:themeColor="text1"/>
          <w:sz w:val="22"/>
          <w:szCs w:val="22"/>
        </w:rPr>
        <w:t xml:space="preserve"> &gt; ΔG, the ensemble of switches encodes the exact reversible free energy. The intuition is in the exponential weight. The factor e</w:t>
      </w:r>
      <w:r>
        <w:rPr>
          <w:rFonts w:ascii="Times New Roman" w:hAnsi="Times New Roman" w:cs="Times New Roman"/>
          <w:color w:val="000000" w:themeColor="text1"/>
          <w:sz w:val="22"/>
          <w:szCs w:val="22"/>
          <w:vertAlign w:val="superscript"/>
        </w:rPr>
        <w:t>-W/kT</w:t>
      </w:r>
      <w:r>
        <w:rPr>
          <w:rFonts w:ascii="Times New Roman" w:hAnsi="Times New Roman" w:cs="Times New Roman"/>
          <w:color w:val="000000" w:themeColor="text1"/>
          <w:sz w:val="22"/>
          <w:szCs w:val="22"/>
        </w:rPr>
        <w:t xml:space="preserve"> up-weights the rare switches in which the system happened to do unusually little work — trajectories where thermal fluctuations transiently assisted the morph, so that W dipped below its average and even below ΔG. Those rare favorable events carry the free-energy information; the typical, dissipative switches contribute little. In effect, fluctuations do occasionally, and reversibly, what an infinitely slow pull would do every time.</w:t>
      </w:r>
    </w:p>
    <w:p w14:paraId="603E543F"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That same feature is the practical catch: because the average is dominated by rare low-work trajectories, a one-directional estimate has high variance and a finite-sample bias. Jarzynski’s equality tells us the information is present in fast switches, but using it in one direction alone is inefficient. The fix is to use both directions.</w:t>
      </w:r>
    </w:p>
    <w:p w14:paraId="5232E7C0"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Crooks fluctuation theorem and Bennett Acceptance Ratio (BAR) — reading the free energy where the Work distributions meet</w:t>
      </w:r>
    </w:p>
    <w:p w14:paraId="05F19C0D"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275E652" wp14:editId="1011C437">
            <wp:extent cx="4191000" cy="533400"/>
            <wp:effectExtent l="0" t="0" r="0" b="0"/>
            <wp:docPr id="1121427776" name="Picture 11214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533400"/>
                    </a:xfrm>
                    <a:prstGeom prst="rect">
                      <a:avLst/>
                    </a:prstGeom>
                  </pic:spPr>
                </pic:pic>
              </a:graphicData>
            </a:graphic>
          </wp:inline>
        </w:drawing>
      </w:r>
    </w:p>
    <w:p w14:paraId="20FC5666"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Running the morph forward (wild-type → mutant) and in reverse (mutant → wild-type), Crooks (1999) related the two work distributions. Setting W = ΔG makes the right-hand side one, so the forward and reverse work distributions cross exactly at the free energy. Instead of chasing the rare tail of a single distribution, we locate ΔG at the crossing point of two distributions, which sits near their well-sampled bulk — a far more robust, low-bias handle. It also provides a direct visual measure of convergence, the overlap of the two distributions: wide overlap means the driving is gentle relative to thermal energy and ΔG is well determined; poor overlap signals large dissipation and the need for more or longer switches.</w:t>
      </w:r>
    </w:p>
    <w:p w14:paraId="0B8B38F6"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The Bennett acceptance ratio (BAR; Bennett, 1976) is the statistically optimal way to combine the forward and reverse work consistent with the Crooks relation — the minimum-variance estimator of ΔG, obtained as the self-consistent solution of</w:t>
      </w:r>
    </w:p>
    <w:p w14:paraId="7714E7CA"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4A11F17" wp14:editId="0432762C">
            <wp:extent cx="4191000" cy="600075"/>
            <wp:effectExtent l="0" t="0" r="0" b="0"/>
            <wp:docPr id="1982061918" name="Picture 198206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600075"/>
                    </a:xfrm>
                    <a:prstGeom prst="rect">
                      <a:avLst/>
                    </a:prstGeom>
                  </pic:spPr>
                </pic:pic>
              </a:graphicData>
            </a:graphic>
          </wp:inline>
        </w:drawing>
      </w:r>
    </w:p>
    <w:p w14:paraId="780D39F3" w14:textId="77777777" w:rsidR="00640EF9" w:rsidRPr="00666531" w:rsidRDefault="00000000">
      <w:pPr>
        <w:spacing w:after="120" w:line="276" w:lineRule="auto"/>
        <w:jc w:val="both"/>
        <w:rPr>
          <w:rFonts w:ascii="Times New Roman" w:hAnsi="Times New Roman" w:cs="Times New Roman"/>
          <w:color w:val="000000" w:themeColor="text1"/>
        </w:rPr>
      </w:pPr>
      <w:r>
        <w:rPr>
          <w:rFonts w:ascii="Times New Roman" w:hAnsi="Times New Roman" w:cs="Times New Roman"/>
          <w:color w:val="000000" w:themeColor="text1"/>
          <w:sz w:val="22"/>
          <w:szCs w:val="22"/>
        </w:rPr>
        <w:t>which weights each switch by how much free-energy information it carries. Because BAR uses both directions and weights optimally, it converges with far fewer switches, and far less bias, than the one-directional average — this is what makes the non-equilibrium approach accurate at a practical number of switches. As an internal check, BAR, the Crooks-Gaussian intersection, and the Jarzynski average agree to within ~0.4 kcal/mol on our data.</w:t>
      </w:r>
    </w:p>
    <w:p w14:paraId="2E750C00" w14:textId="77777777" w:rsidR="00640EF9" w:rsidRPr="00406E64" w:rsidRDefault="00000000" w:rsidP="004245D1">
      <w:pPr>
        <w:spacing w:after="80" w:line="269" w:lineRule="auto"/>
        <w:jc w:val="both"/>
        <w:rPr>
          <w:rFonts w:ascii="Times New Roman" w:hAnsi="Times New Roman" w:cs="Times New Roman"/>
          <w:color w:val="000000" w:themeColor="text1"/>
        </w:rPr>
      </w:pPr>
      <w:r>
        <w:rPr>
          <w:rFonts w:ascii="Times New Roman" w:hAnsi="Times New Roman" w:cs="Times New Roman"/>
          <w:b/>
          <w:bCs/>
          <w:color w:val="000000" w:themeColor="text1"/>
          <w:sz w:val="22"/>
          <w:szCs w:val="22"/>
        </w:rPr>
        <w:lastRenderedPageBreak/>
        <w:t xml:space="preserve">Why this is more reliable here than equilibrium approaches.  </w:t>
      </w:r>
      <w:r>
        <w:rPr>
          <w:rFonts w:ascii="Times New Roman" w:hAnsi="Times New Roman" w:cs="Times New Roman"/>
          <w:color w:val="000000" w:themeColor="text1"/>
          <w:sz w:val="22"/>
          <w:szCs w:val="22"/>
        </w:rPr>
        <w:t>End-point rescoring of a single trajectory (e.g. our previous MM/GBSA approach; Zhang et al., 2010) omits configurational entropy and treats solvent implicitly, and its errors are systematic and uncalibrated, precisely in the small-difference regime where ranking lives. Equilibrium λ-window FEP (e.g. FEP+; Wang et al., 2015) is a genuine free energy, but it stakes the whole answer on converging unphysical intermediate states, which can introduce artifacts for a buried pocket. The non-equilibrium route asks only the two physical endpoints to equilibrate, recovers the exact free energy through the theorems above, and — through the forward/reverse overlap — carries its own convergence diagnostic and honest error bars.</w:t>
      </w:r>
    </w:p>
    <w:p w14:paraId="5B5A250E" w14:textId="77777777" w:rsidR="00640EF9" w:rsidRPr="00666531" w:rsidRDefault="00000000">
      <w:pPr>
        <w:pStyle w:val="Heading2"/>
        <w:spacing w:before="180" w:after="80"/>
        <w:rPr>
          <w:rFonts w:ascii="Times New Roman" w:hAnsi="Times New Roman" w:cs="Times New Roman"/>
          <w:color w:val="000000" w:themeColor="text1"/>
        </w:rPr>
      </w:pPr>
      <w:r>
        <w:rPr>
          <w:rFonts w:ascii="Times New Roman" w:hAnsi="Times New Roman" w:cs="Times New Roman"/>
          <w:b/>
          <w:bCs/>
          <w:color w:val="000000" w:themeColor="text1"/>
        </w:rPr>
        <w:t>Protocol and convergence</w:t>
      </w:r>
    </w:p>
    <w:p w14:paraId="2C4C67BF"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System: the complete RT enzyme, explicit water, physiological salt, periodic boundaries with particle-mesh-Ewald electrostatics; a modern fixed-charge protein force field and an open small-molecule force field for doravirine.</w:t>
      </w:r>
    </w:p>
    <w:p w14:paraId="0A34E62D"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Morph: a dual-state (wild-type↔mutant) hybrid residue (Gapsys et al., 2015) seeds both endpoints. Endpoint equilibration is a soft-core minimization, a short constant-pressure warm-up (Bernetti &amp; Bussi, 2020), and a production run that supplies the switching snapshots; protein and solvent are thermostatted separately.</w:t>
      </w:r>
    </w:p>
    <w:p w14:paraId="2A6F1362"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Switching: ~100 decorrelated snapshots per endpoint per replicate, switched forward and reverse; ΔG per leg by BAR; ΔΔG</w:t>
      </w:r>
      <w:r>
        <w:rPr>
          <w:rFonts w:ascii="Times New Roman" w:hAnsi="Times New Roman" w:cs="Times New Roman"/>
          <w:color w:val="000000" w:themeColor="text1"/>
          <w:sz w:val="22"/>
          <w:szCs w:val="22"/>
          <w:vertAlign w:val="subscript"/>
        </w:rPr>
        <w:t>bind</w:t>
      </w:r>
      <w:r>
        <w:rPr>
          <w:rFonts w:ascii="Times New Roman" w:hAnsi="Times New Roman" w:cs="Times New Roman"/>
          <w:color w:val="000000" w:themeColor="text1"/>
          <w:sz w:val="22"/>
          <w:szCs w:val="22"/>
        </w:rPr>
        <w:t xml:space="preserve"> = ΔG(drug-bound) − ΔG(drug-free); three replicates give mean ± SEM.</w:t>
      </w:r>
    </w:p>
    <w:p w14:paraId="02475193" w14:textId="77777777" w:rsidR="00640EF9" w:rsidRPr="00666531" w:rsidRDefault="00000000">
      <w:pPr>
        <w:pStyle w:val="ListParagraph"/>
        <w:numPr>
          <w:ilvl w:val="0"/>
          <w:numId w:val="2"/>
        </w:numPr>
        <w:spacing w:after="80" w:line="268" w:lineRule="auto"/>
        <w:rPr>
          <w:rFonts w:ascii="Times New Roman" w:hAnsi="Times New Roman" w:cs="Times New Roman"/>
          <w:color w:val="000000" w:themeColor="text1"/>
        </w:rPr>
      </w:pPr>
      <w:r>
        <w:rPr>
          <w:rFonts w:ascii="Times New Roman" w:hAnsi="Times New Roman" w:cs="Times New Roman"/>
          <w:color w:val="000000" w:themeColor="text1"/>
          <w:sz w:val="22"/>
          <w:szCs w:val="22"/>
        </w:rPr>
        <w:t>Convergence is checked four independent ways: (1) the running BAR estimate plateaus well before the full switch count; (2) BAR, Crooks-Gaussian, and Jarzynski agree to ~0.4 kcal/mol; (3) three replicates give a standard error below 1 kcal/mol; (4) increasing the switch time fivefold leaves ΔΔG statistically unchanged (V106A +1.69 ± 0.70 → +1.76 ± 0.51), confirming independence from driving speed — so the panel runs at the cheaper setting with no loss of accuracy.</w:t>
      </w:r>
    </w:p>
    <w:p w14:paraId="05112602"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EEC2E08" wp14:editId="65AEBDA6">
            <wp:extent cx="5334000" cy="3486150"/>
            <wp:effectExtent l="0" t="0" r="0" b="0"/>
            <wp:docPr id="1678112865" name="Picture 167811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486150"/>
                    </a:xfrm>
                    <a:prstGeom prst="rect">
                      <a:avLst/>
                    </a:prstGeom>
                  </pic:spPr>
                </pic:pic>
              </a:graphicData>
            </a:graphic>
          </wp:inline>
        </w:drawing>
      </w:r>
    </w:p>
    <w:p w14:paraId="7DEBD7A4" w14:textId="77777777"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lastRenderedPageBreak/>
        <w:t>Figure 3.  Forward and reverse work distributions for V106A and Y188L mutations (3 replicates pooled). As required by the Crooks theorem, the two distributions cross at the BAR ΔG (dashed line).</w:t>
      </w:r>
    </w:p>
    <w:p w14:paraId="5BBCB944" w14:textId="77777777" w:rsidR="00640EF9" w:rsidRPr="00666531" w:rsidRDefault="00000000">
      <w:pPr>
        <w:spacing w:before="120" w:after="12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7BAE73D9" wp14:editId="6E9F5745">
            <wp:extent cx="5715000" cy="2190750"/>
            <wp:effectExtent l="0" t="0" r="0" b="0"/>
            <wp:docPr id="1519036452" name="Picture 151903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90750"/>
                    </a:xfrm>
                    <a:prstGeom prst="rect">
                      <a:avLst/>
                    </a:prstGeom>
                  </pic:spPr>
                </pic:pic>
              </a:graphicData>
            </a:graphic>
          </wp:inline>
        </w:drawing>
      </w:r>
    </w:p>
    <w:p w14:paraId="721C404A" w14:textId="77777777" w:rsidR="00640EF9" w:rsidRPr="00666531" w:rsidRDefault="00000000" w:rsidP="00917A27">
      <w:pPr>
        <w:spacing w:after="180"/>
        <w:rPr>
          <w:rFonts w:ascii="Times New Roman" w:hAnsi="Times New Roman" w:cs="Times New Roman"/>
          <w:color w:val="000000" w:themeColor="text1"/>
        </w:rPr>
      </w:pPr>
      <w:r>
        <w:rPr>
          <w:rFonts w:ascii="Times New Roman" w:hAnsi="Times New Roman" w:cs="Times New Roman"/>
          <w:i/>
          <w:iCs/>
          <w:color w:val="000000" w:themeColor="text1"/>
          <w:sz w:val="18"/>
          <w:szCs w:val="18"/>
        </w:rPr>
        <w:t>Figure 4.  (A) The running BAR estimate of ΔΔG</w:t>
      </w:r>
      <w:r>
        <w:rPr>
          <w:rFonts w:ascii="Times New Roman" w:hAnsi="Times New Roman" w:cs="Times New Roman"/>
          <w:i/>
          <w:iCs/>
          <w:color w:val="000000" w:themeColor="text1"/>
          <w:sz w:val="18"/>
          <w:szCs w:val="18"/>
          <w:vertAlign w:val="subscript"/>
        </w:rPr>
        <w:t>bind</w:t>
      </w:r>
      <w:r>
        <w:rPr>
          <w:rFonts w:ascii="Times New Roman" w:hAnsi="Times New Roman" w:cs="Times New Roman"/>
          <w:i/>
          <w:iCs/>
          <w:color w:val="000000" w:themeColor="text1"/>
          <w:sz w:val="18"/>
          <w:szCs w:val="18"/>
        </w:rPr>
        <w:t xml:space="preserve"> plateaus as switches accumulate. (B) The three estimators agree for both pilot mutations.</w:t>
      </w:r>
    </w:p>
    <w:p w14:paraId="40DB47E0" w14:textId="77777777" w:rsidR="00640EF9" w:rsidRPr="00666531" w:rsidRDefault="00000000">
      <w:pPr>
        <w:pStyle w:val="Heading1"/>
        <w:spacing w:before="280" w:after="120"/>
        <w:rPr>
          <w:rFonts w:ascii="Times New Roman" w:hAnsi="Times New Roman" w:cs="Times New Roman"/>
          <w:color w:val="000000" w:themeColor="text1"/>
        </w:rPr>
      </w:pPr>
      <w:r>
        <w:rPr>
          <w:rFonts w:ascii="Times New Roman" w:hAnsi="Times New Roman" w:cs="Times New Roman"/>
          <w:b/>
          <w:bCs/>
          <w:color w:val="000000" w:themeColor="text1"/>
        </w:rPr>
        <w:t>References</w:t>
      </w:r>
    </w:p>
    <w:p w14:paraId="376132EB"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  Jarzynski, C. Nonequilibrium equality for free energy differences. Phys. Rev. Lett. 1997, 78, 2690–2693.</w:t>
      </w:r>
    </w:p>
    <w:p w14:paraId="26EB3358"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2.  Crooks, G. E. Entropy production fluctuation theorem and the nonequilibrium work relation for free energy differences. Phys. Rev. E 1999, 60, 2721–2726.</w:t>
      </w:r>
    </w:p>
    <w:p w14:paraId="281D85DF"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3.  Bennett, C. H. Efficient estimation of free energy differences from Monte Carlo data. J. Comput. Phys. 1976, 22, 245–268.</w:t>
      </w:r>
    </w:p>
    <w:p w14:paraId="0FA579C2"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4.  Gapsys, V.; Michielssens, S.; Seeliger, D.; de Groot, B. L. pmx: Automated protein structure and topology generation for alchemical perturbations. J. Comput. Chem. 2015, 36, 348–354.</w:t>
      </w:r>
    </w:p>
    <w:p w14:paraId="5A3CAE5D"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5.  Aldeghi, M.; Gapsys, V.; de Groot, B. L. Accurate estimation of ligand binding affinity changes upon protein mutation. ACS Cent. Sci. 2018, 4, 1708–1718.</w:t>
      </w:r>
    </w:p>
    <w:p w14:paraId="64FA0A0A"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6.  Aldeghi, M.; Gapsys, V.; de Groot, B. L. Predicting kinase inhibitor resistance: physics-based and data-driven approaches. ACS Cent. Sci. 2019, 5, 1468–1474.</w:t>
      </w:r>
    </w:p>
    <w:p w14:paraId="675FFCD2"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7.  Gapsys, V.; et al. Large scale relative protein–ligand binding affinities using non-equilibrium alchemy. Chem. Sci. 2020, 11, 1140–1152.</w:t>
      </w:r>
    </w:p>
    <w:p w14:paraId="6872E04D"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8.  Bernetti, M.; Bussi, G. Pressure control using stochastic cell rescaling. J. Chem. Phys. 2020, 153, 114107.</w:t>
      </w:r>
    </w:p>
    <w:p w14:paraId="1A13C5EA"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9.  Zhang, J.; Hou, T.; Wang, W.; Liu, J. S. Detecting and understanding combinatorial mutation patterns responsible for HIV drug resistance. Proc. Natl. Acad. Sci. U.S.A. 2010, 107, 1321–1326.</w:t>
      </w:r>
    </w:p>
    <w:p w14:paraId="039C509E"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10.  Rizzo, R. C.; Wang, D.-P.; Tirado-Rives, J.; Jorgensen, W. L. Validation of a Model for the Complex of HIV-1 Reverse Transcriptase with Nonnucleoside Inhibitor TMC125. J. Am. Chem. Soc. 2000, 122, 12898–12900.</w:t>
      </w:r>
    </w:p>
    <w:p w14:paraId="1ECD7021"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11.  Zeevaart, J. G.; Wang, L.; Thakur, V. V.; Leung, C. S.; Tirado-Rives, J.; Bailey, C. M.; Domaoal, R. A.; Anderson, K. S.; Jorgensen, W. L. Optimization of azoles as anti-HIV agents guided by free-energy calculations. J. Am. Chem. Soc. 2008, 130, 9492–9499.</w:t>
      </w:r>
    </w:p>
    <w:p w14:paraId="4A535457" w14:textId="77777777" w:rsidR="00640EF9" w:rsidRPr="00666531" w:rsidRDefault="00000000">
      <w:pPr>
        <w:spacing w:after="40"/>
        <w:rPr>
          <w:rFonts w:ascii="Times New Roman" w:hAnsi="Times New Roman" w:cs="Times New Roman"/>
          <w:color w:val="000000" w:themeColor="text1"/>
        </w:rPr>
      </w:pPr>
      <w:r>
        <w:rPr>
          <w:rFonts w:ascii="Times New Roman" w:hAnsi="Times New Roman" w:cs="Times New Roman"/>
          <w:color w:val="000000" w:themeColor="text1"/>
          <w:sz w:val="18"/>
          <w:szCs w:val="18"/>
        </w:rPr>
        <w:t>12.  Wang, L.; et al. Accurate and reliable prediction of relative ligand binding potency in prospective drug discovery by way of a modern free-energy calculation protocol and force field (FEP+). J. Am. Chem. Soc. 2015, 137, 2695–2703.</w:t>
      </w:r>
    </w:p>
    <w:sectPr w:rsidR="00640EF9" w:rsidRPr="006665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A7D79"/>
    <w:multiLevelType w:val="hybridMultilevel"/>
    <w:tmpl w:val="CE3429A4"/>
    <w:lvl w:ilvl="0" w:tplc="D6680996">
      <w:start w:val="1"/>
      <w:numFmt w:val="bullet"/>
      <w:lvlText w:val="•"/>
      <w:lvlJc w:val="left"/>
      <w:pPr>
        <w:ind w:left="360" w:hanging="180"/>
      </w:pPr>
    </w:lvl>
    <w:lvl w:ilvl="1" w:tplc="3CDAF19E">
      <w:numFmt w:val="decimal"/>
      <w:lvlText w:val=""/>
      <w:lvlJc w:val="left"/>
    </w:lvl>
    <w:lvl w:ilvl="2" w:tplc="F87A2456">
      <w:numFmt w:val="decimal"/>
      <w:lvlText w:val=""/>
      <w:lvlJc w:val="left"/>
    </w:lvl>
    <w:lvl w:ilvl="3" w:tplc="64C06F70">
      <w:numFmt w:val="decimal"/>
      <w:lvlText w:val=""/>
      <w:lvlJc w:val="left"/>
    </w:lvl>
    <w:lvl w:ilvl="4" w:tplc="BCB025DC">
      <w:numFmt w:val="decimal"/>
      <w:lvlText w:val=""/>
      <w:lvlJc w:val="left"/>
    </w:lvl>
    <w:lvl w:ilvl="5" w:tplc="B58427E2">
      <w:numFmt w:val="decimal"/>
      <w:lvlText w:val=""/>
      <w:lvlJc w:val="left"/>
    </w:lvl>
    <w:lvl w:ilvl="6" w:tplc="817E489A">
      <w:numFmt w:val="decimal"/>
      <w:lvlText w:val=""/>
      <w:lvlJc w:val="left"/>
    </w:lvl>
    <w:lvl w:ilvl="7" w:tplc="CAF6D50A">
      <w:numFmt w:val="decimal"/>
      <w:lvlText w:val=""/>
      <w:lvlJc w:val="left"/>
    </w:lvl>
    <w:lvl w:ilvl="8" w:tplc="6FBC1FA6">
      <w:numFmt w:val="decimal"/>
      <w:lvlText w:val=""/>
      <w:lvlJc w:val="left"/>
    </w:lvl>
  </w:abstractNum>
  <w:abstractNum w:abstractNumId="1" w15:restartNumberingAfterBreak="0">
    <w:nsid w:val="54B01D79"/>
    <w:multiLevelType w:val="hybridMultilevel"/>
    <w:tmpl w:val="DA860732"/>
    <w:lvl w:ilvl="0" w:tplc="76AAF03E">
      <w:start w:val="1"/>
      <w:numFmt w:val="bullet"/>
      <w:lvlText w:val="●"/>
      <w:lvlJc w:val="left"/>
      <w:pPr>
        <w:ind w:left="720" w:hanging="360"/>
      </w:pPr>
    </w:lvl>
    <w:lvl w:ilvl="1" w:tplc="3FD67BF2">
      <w:start w:val="1"/>
      <w:numFmt w:val="bullet"/>
      <w:lvlText w:val="○"/>
      <w:lvlJc w:val="left"/>
      <w:pPr>
        <w:ind w:left="1440" w:hanging="360"/>
      </w:pPr>
    </w:lvl>
    <w:lvl w:ilvl="2" w:tplc="67CEEACA">
      <w:start w:val="1"/>
      <w:numFmt w:val="bullet"/>
      <w:lvlText w:val="■"/>
      <w:lvlJc w:val="left"/>
      <w:pPr>
        <w:ind w:left="2160" w:hanging="360"/>
      </w:pPr>
    </w:lvl>
    <w:lvl w:ilvl="3" w:tplc="047C7016">
      <w:start w:val="1"/>
      <w:numFmt w:val="bullet"/>
      <w:lvlText w:val="●"/>
      <w:lvlJc w:val="left"/>
      <w:pPr>
        <w:ind w:left="2880" w:hanging="360"/>
      </w:pPr>
    </w:lvl>
    <w:lvl w:ilvl="4" w:tplc="A066D872">
      <w:start w:val="1"/>
      <w:numFmt w:val="bullet"/>
      <w:lvlText w:val="○"/>
      <w:lvlJc w:val="left"/>
      <w:pPr>
        <w:ind w:left="3600" w:hanging="360"/>
      </w:pPr>
    </w:lvl>
    <w:lvl w:ilvl="5" w:tplc="0D3E7B44">
      <w:start w:val="1"/>
      <w:numFmt w:val="bullet"/>
      <w:lvlText w:val="■"/>
      <w:lvlJc w:val="left"/>
      <w:pPr>
        <w:ind w:left="4320" w:hanging="360"/>
      </w:pPr>
    </w:lvl>
    <w:lvl w:ilvl="6" w:tplc="491AE54C">
      <w:start w:val="1"/>
      <w:numFmt w:val="bullet"/>
      <w:lvlText w:val="●"/>
      <w:lvlJc w:val="left"/>
      <w:pPr>
        <w:ind w:left="5040" w:hanging="360"/>
      </w:pPr>
    </w:lvl>
    <w:lvl w:ilvl="7" w:tplc="1BB8E716">
      <w:start w:val="1"/>
      <w:numFmt w:val="bullet"/>
      <w:lvlText w:val="●"/>
      <w:lvlJc w:val="left"/>
      <w:pPr>
        <w:ind w:left="5760" w:hanging="360"/>
      </w:pPr>
    </w:lvl>
    <w:lvl w:ilvl="8" w:tplc="E8C2F058">
      <w:start w:val="1"/>
      <w:numFmt w:val="bullet"/>
      <w:lvlText w:val="●"/>
      <w:lvlJc w:val="left"/>
      <w:pPr>
        <w:ind w:left="6480" w:hanging="360"/>
      </w:pPr>
    </w:lvl>
  </w:abstractNum>
  <w:num w:numId="1" w16cid:durableId="1276790948">
    <w:abstractNumId w:val="1"/>
    <w:lvlOverride w:ilvl="0">
      <w:startOverride w:val="1"/>
    </w:lvlOverride>
  </w:num>
  <w:num w:numId="2" w16cid:durableId="21047176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EF9"/>
    <w:rsid w:val="001707BD"/>
    <w:rsid w:val="001D6B94"/>
    <w:rsid w:val="001E2533"/>
    <w:rsid w:val="00285CD6"/>
    <w:rsid w:val="002B12C4"/>
    <w:rsid w:val="002C2B5B"/>
    <w:rsid w:val="002D1CDB"/>
    <w:rsid w:val="002F24FB"/>
    <w:rsid w:val="003A6152"/>
    <w:rsid w:val="00406E64"/>
    <w:rsid w:val="004245D1"/>
    <w:rsid w:val="00441704"/>
    <w:rsid w:val="0045668F"/>
    <w:rsid w:val="005371B1"/>
    <w:rsid w:val="00614558"/>
    <w:rsid w:val="00640582"/>
    <w:rsid w:val="00640EF9"/>
    <w:rsid w:val="00666531"/>
    <w:rsid w:val="007643E3"/>
    <w:rsid w:val="00861A98"/>
    <w:rsid w:val="00917A27"/>
    <w:rsid w:val="009B2BDE"/>
    <w:rsid w:val="00A66890"/>
    <w:rsid w:val="00A66D88"/>
    <w:rsid w:val="00B076E4"/>
    <w:rsid w:val="00B96BE7"/>
    <w:rsid w:val="00BA04D0"/>
    <w:rsid w:val="00C0281D"/>
    <w:rsid w:val="00C239F1"/>
    <w:rsid w:val="00C437B5"/>
    <w:rsid w:val="00D36C69"/>
    <w:rsid w:val="00D374C8"/>
    <w:rsid w:val="00E13538"/>
    <w:rsid w:val="00EB2C3A"/>
    <w:rsid w:val="00EF6103"/>
    <w:rsid w:val="00FF38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04B35752"/>
  <w15:docId w15:val="{BF1945C4-6E4A-974A-8738-9E3C0249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2197</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Satija</cp:lastModifiedBy>
  <cp:revision>32</cp:revision>
  <dcterms:created xsi:type="dcterms:W3CDTF">2026-08-05T19:56:00Z</dcterms:created>
  <dcterms:modified xsi:type="dcterms:W3CDTF">2026-08-05T21:56:00Z</dcterms:modified>
</cp:coreProperties>
</file>