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1D4CB5CA" w14:textId="60955DB9" w:rsidR="009C0415" w:rsidRDefault="009C0415">
      <w:pPr>
        <w:rPr>
          <w:rFonts w:ascii="Times New Roman" w:hAnsi="Times New Roman" w:cs="Times New Roman"/>
          <w:szCs w:val="24"/>
        </w:rPr>
      </w:pPr>
      <w:r>
        <w:rPr>
          <w:rFonts w:ascii="Times New Roman" w:hAnsi="Times New Roman" w:cs="Times New Roman"/>
          <w:szCs w:val="24"/>
        </w:rPr>
        <w:t>Rohit Satija</w:t>
      </w:r>
      <w:r>
        <w:rPr>
          <w:rFonts w:ascii="Times New Roman" w:hAnsi="Times New Roman" w:cs="Times New Roman"/>
          <w:szCs w:val="24"/>
          <w:vertAlign w:val="superscript"/>
        </w:rPr>
        <w:t>1</w:t>
      </w:r>
      <w:r>
        <w:rPr>
          <w:rFonts w:ascii="Times New Roman" w:hAnsi="Times New Roman" w:cs="Times New Roman"/>
          <w:szCs w:val="24"/>
        </w:rPr>
        <w:t>, Kaiming Tao</w:t>
      </w:r>
      <w:r>
        <w:rPr>
          <w:rFonts w:ascii="Times New Roman" w:hAnsi="Times New Roman" w:cs="Times New Roman"/>
          <w:szCs w:val="24"/>
          <w:vertAlign w:val="superscript"/>
        </w:rPr>
        <w:t>1</w:t>
      </w:r>
      <w:r>
        <w:rPr>
          <w:rFonts w:ascii="Times New Roman" w:hAnsi="Times New Roman" w:cs="Times New Roman"/>
          <w:szCs w:val="24"/>
        </w:rPr>
        <w:t>, Robert W. Shafer</w:t>
      </w:r>
      <w:r>
        <w:rPr>
          <w:rFonts w:ascii="Times New Roman" w:hAnsi="Times New Roman" w:cs="Times New Roman"/>
          <w:szCs w:val="24"/>
          <w:vertAlign w:val="superscript"/>
        </w:rPr>
        <w:t>1*</w:t>
      </w:r>
    </w:p>
    <w:p w14:paraId="0D641946" w14:textId="5286F938" w:rsidR="009C0415" w:rsidRDefault="00907754">
      <w:pPr>
        <w:rPr>
          <w:rFonts w:ascii="Times New Roman" w:hAnsi="Times New Roman" w:cs="Times New Roman"/>
          <w:szCs w:val="24"/>
        </w:rPr>
      </w:pPr>
      <w:r>
        <w:rPr>
          <w:rFonts w:ascii="Times New Roman" w:hAnsi="Times New Roman" w:cs="Times New Roman"/>
          <w:szCs w:val="24"/>
          <w:vertAlign w:val="superscript"/>
        </w:rPr>
        <w:t>1</w:t>
      </w:r>
      <w:r w:rsidR="009C0415">
        <w:rPr>
          <w:rFonts w:ascii="Times New Roman" w:hAnsi="Times New Roman" w:cs="Times New Roman"/>
          <w:szCs w:val="24"/>
        </w:rPr>
        <w:t>Division of Infectious Diseases, School of Medicine, Stanford University, Stanford, CA, USA</w:t>
      </w:r>
    </w:p>
    <w:p w14:paraId="16428EDC" w14:textId="24910838" w:rsidR="009C0415" w:rsidRPr="009C0415" w:rsidRDefault="009C0415">
      <w:pPr>
        <w:rPr>
          <w:rFonts w:ascii="Times New Roman" w:hAnsi="Times New Roman" w:cs="Times New Roman"/>
          <w:szCs w:val="24"/>
        </w:rPr>
      </w:pPr>
      <w:r>
        <w:rPr>
          <w:rFonts w:ascii="Times New Roman" w:hAnsi="Times New Roman" w:cs="Times New Roman"/>
          <w:szCs w:val="24"/>
        </w:rPr>
        <w:t>*Corresponding author (rshafer@stanford.edu)</w:t>
      </w:r>
    </w:p>
    <w:p w14:paraId="37C3B666" w14:textId="77777777" w:rsidR="009C0415" w:rsidRDefault="009C0415">
      <w:pPr>
        <w:rPr>
          <w:rFonts w:ascii="Times New Roman" w:hAnsi="Times New Roman" w:cs="Times New Roman"/>
          <w:b/>
          <w:bCs/>
          <w:sz w:val="28"/>
          <w:szCs w:val="28"/>
        </w:rPr>
      </w:pPr>
    </w:p>
    <w:p w14:paraId="59918D7D" w14:textId="505A6AE5"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412A7D23"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w:t>
      </w:r>
      <w:r w:rsidR="00652E49">
        <w:rPr>
          <w:rFonts w:ascii="Times New Roman" w:hAnsi="Times New Roman" w:cs="Times New Roman"/>
          <w:szCs w:val="24"/>
        </w:rPr>
        <w:t xml:space="preserve"> </w:t>
      </w:r>
      <w:r w:rsidR="00652E49" w:rsidRPr="00936881">
        <w:rPr>
          <w:rFonts w:ascii="Times New Roman" w:hAnsi="Times New Roman" w:cs="Times New Roman"/>
          <w:szCs w:val="24"/>
        </w:rPr>
        <w:t xml:space="preserve">local trajectory-level analyses identified mutation-specific structural </w:t>
      </w:r>
      <w:r w:rsidR="00652E49">
        <w:rPr>
          <w:rFonts w:ascii="Times New Roman" w:hAnsi="Times New Roman" w:cs="Times New Roman"/>
          <w:szCs w:val="24"/>
        </w:rPr>
        <w:t>changes associated with DOR resistance</w:t>
      </w:r>
      <w:r w:rsidR="00D25ECE">
        <w:rPr>
          <w:rFonts w:ascii="Times New Roman" w:hAnsi="Times New Roman" w:cs="Times New Roman"/>
          <w:szCs w:val="24"/>
        </w:rPr>
        <w:t xml:space="preserve"> – </w:t>
      </w:r>
      <w:r w:rsidR="00443B09">
        <w:rPr>
          <w:rFonts w:ascii="Times New Roman" w:hAnsi="Times New Roman" w:cs="Times New Roman"/>
          <w:szCs w:val="24"/>
        </w:rPr>
        <w:t>s</w:t>
      </w:r>
      <w:r w:rsidR="00D25ECE">
        <w:rPr>
          <w:rFonts w:ascii="Times New Roman" w:hAnsi="Times New Roman" w:cs="Times New Roman"/>
          <w:szCs w:val="24"/>
        </w:rPr>
        <w:t xml:space="preserve">imulations with </w:t>
      </w:r>
      <w:r w:rsidR="00D25ECE" w:rsidRPr="00936881">
        <w:rPr>
          <w:rFonts w:ascii="Times New Roman" w:hAnsi="Times New Roman" w:cs="Times New Roman"/>
          <w:szCs w:val="24"/>
        </w:rPr>
        <w:t>V106A-containing genotypes</w:t>
      </w:r>
      <w:r w:rsidR="00D25ECE">
        <w:rPr>
          <w:rFonts w:ascii="Times New Roman" w:hAnsi="Times New Roman" w:cs="Times New Roman"/>
          <w:szCs w:val="24"/>
        </w:rPr>
        <w:t xml:space="preserve"> consistently</w:t>
      </w:r>
      <w:r w:rsidR="00D25ECE" w:rsidRPr="00936881">
        <w:rPr>
          <w:rFonts w:ascii="Times New Roman" w:hAnsi="Times New Roman" w:cs="Times New Roman"/>
          <w:szCs w:val="24"/>
        </w:rPr>
        <w:t xml:space="preserve"> shift DOR toward the </w:t>
      </w:r>
      <w:r w:rsidR="00D25ECE">
        <w:rPr>
          <w:rFonts w:ascii="Times New Roman" w:hAnsi="Times New Roman" w:cs="Times New Roman"/>
          <w:szCs w:val="24"/>
        </w:rPr>
        <w:t>103-108 loop</w:t>
      </w:r>
      <w:r w:rsidR="00D25ECE" w:rsidRPr="00936881">
        <w:rPr>
          <w:rFonts w:ascii="Times New Roman" w:hAnsi="Times New Roman" w:cs="Times New Roman"/>
          <w:szCs w:val="24"/>
        </w:rPr>
        <w:t xml:space="preserve">, leading to compensatory interactions with Lys104 and Ser105; V106I+F227C </w:t>
      </w:r>
      <w:r w:rsidR="00D25ECE">
        <w:rPr>
          <w:rFonts w:ascii="Times New Roman" w:hAnsi="Times New Roman" w:cs="Times New Roman"/>
          <w:szCs w:val="24"/>
        </w:rPr>
        <w:t xml:space="preserve">simulations </w:t>
      </w:r>
      <w:r w:rsidR="00D25ECE" w:rsidRPr="00936881">
        <w:rPr>
          <w:rFonts w:ascii="Times New Roman" w:hAnsi="Times New Roman" w:cs="Times New Roman"/>
          <w:szCs w:val="24"/>
        </w:rPr>
        <w:t xml:space="preserve">sample DOR poses distinct from V106A+F227L despite </w:t>
      </w:r>
      <w:r w:rsidR="00D25ECE">
        <w:rPr>
          <w:rFonts w:ascii="Times New Roman" w:hAnsi="Times New Roman" w:cs="Times New Roman"/>
          <w:szCs w:val="24"/>
        </w:rPr>
        <w:t>mutations at the same positions and similar</w:t>
      </w:r>
      <w:r w:rsidR="00D25ECE" w:rsidRPr="00936881">
        <w:rPr>
          <w:rFonts w:ascii="Times New Roman" w:hAnsi="Times New Roman" w:cs="Times New Roman"/>
          <w:szCs w:val="24"/>
        </w:rPr>
        <w:t xml:space="preserve"> phenotypic resistance; and G190E perturbs the </w:t>
      </w:r>
      <w:r w:rsidR="00D25ECE">
        <w:rPr>
          <w:rFonts w:ascii="Times New Roman" w:hAnsi="Times New Roman" w:cs="Times New Roman"/>
          <w:szCs w:val="24"/>
        </w:rPr>
        <w:t>pocket entrance</w:t>
      </w:r>
      <w:r w:rsidR="00D25ECE" w:rsidRPr="00936881">
        <w:rPr>
          <w:rFonts w:ascii="Times New Roman" w:hAnsi="Times New Roman" w:cs="Times New Roman"/>
          <w:szCs w:val="24"/>
        </w:rPr>
        <w:t xml:space="preserve">, </w:t>
      </w:r>
      <w:r w:rsidR="00D25ECE">
        <w:rPr>
          <w:rFonts w:ascii="Times New Roman" w:hAnsi="Times New Roman" w:cs="Times New Roman"/>
          <w:szCs w:val="24"/>
        </w:rPr>
        <w:t>disrupting</w:t>
      </w:r>
      <w:r w:rsidR="00D25ECE" w:rsidRPr="00936881">
        <w:rPr>
          <w:rFonts w:ascii="Times New Roman" w:hAnsi="Times New Roman" w:cs="Times New Roman"/>
          <w:szCs w:val="24"/>
        </w:rPr>
        <w:t xml:space="preserve"> </w:t>
      </w:r>
      <w:r w:rsidR="00D25ECE">
        <w:rPr>
          <w:rFonts w:ascii="Times New Roman" w:hAnsi="Times New Roman" w:cs="Times New Roman"/>
          <w:szCs w:val="24"/>
        </w:rPr>
        <w:t xml:space="preserve">DOR </w:t>
      </w:r>
      <w:r w:rsidR="00D25ECE" w:rsidRPr="00936881">
        <w:rPr>
          <w:rFonts w:ascii="Times New Roman" w:hAnsi="Times New Roman" w:cs="Times New Roman"/>
          <w:szCs w:val="24"/>
        </w:rPr>
        <w:t>contact with Val179</w:t>
      </w:r>
      <w:r w:rsidR="00652E49">
        <w:rPr>
          <w:rFonts w:ascii="Times New Roman" w:hAnsi="Times New Roman" w:cs="Times New Roman"/>
          <w:szCs w:val="24"/>
        </w:rPr>
        <w:t>. However,</w:t>
      </w:r>
      <w:r w:rsidRPr="00936881">
        <w:rPr>
          <w:rFonts w:ascii="Times New Roman" w:hAnsi="Times New Roman" w:cs="Times New Roman"/>
          <w:szCs w:val="24"/>
        </w:rPr>
        <w:t xml:space="preserve">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89367D">
        <w:rPr>
          <w:rFonts w:ascii="Times New Roman" w:hAnsi="Times New Roman" w:cs="Times New Roman"/>
          <w:szCs w:val="24"/>
        </w:rPr>
        <w:t>demonstrate</w:t>
      </w:r>
      <w:r w:rsidR="00652E49">
        <w:rPr>
          <w:rFonts w:ascii="Times New Roman" w:hAnsi="Times New Roman" w:cs="Times New Roman"/>
          <w:szCs w:val="24"/>
        </w:rPr>
        <w:t>d</w:t>
      </w:r>
      <w:r w:rsidR="0089367D">
        <w:rPr>
          <w:rFonts w:ascii="Times New Roman" w:hAnsi="Times New Roman" w:cs="Times New Roman"/>
          <w:szCs w:val="24"/>
        </w:rPr>
        <w:t xml:space="preserve"> </w:t>
      </w:r>
      <w:r w:rsidR="00652E49">
        <w:rPr>
          <w:rFonts w:ascii="Times New Roman" w:hAnsi="Times New Roman" w:cs="Times New Roman"/>
          <w:szCs w:val="24"/>
        </w:rPr>
        <w:t xml:space="preserve">only </w:t>
      </w:r>
      <w:r w:rsidR="00AC3FFE">
        <w:rPr>
          <w:rFonts w:ascii="Times New Roman" w:hAnsi="Times New Roman" w:cs="Times New Roman"/>
          <w:szCs w:val="24"/>
        </w:rPr>
        <w:t>weak</w:t>
      </w:r>
      <w:r w:rsidR="0069357F">
        <w:rPr>
          <w:rFonts w:ascii="Times New Roman" w:hAnsi="Times New Roman" w:cs="Times New Roman"/>
          <w:szCs w:val="24"/>
        </w:rPr>
        <w:t xml:space="preserve"> correlat</w:t>
      </w:r>
      <w:r w:rsidR="0089367D">
        <w:rPr>
          <w:rFonts w:ascii="Times New Roman" w:hAnsi="Times New Roman" w:cs="Times New Roman"/>
          <w:szCs w:val="24"/>
        </w:rPr>
        <w:t>ion</w:t>
      </w:r>
      <w:r w:rsidR="0069357F">
        <w:rPr>
          <w:rFonts w:ascii="Times New Roman" w:hAnsi="Times New Roman" w:cs="Times New Roman"/>
          <w:szCs w:val="24"/>
        </w:rPr>
        <w:t xml:space="preserve"> </w:t>
      </w:r>
      <w:r w:rsidRPr="00936881">
        <w:rPr>
          <w:rFonts w:ascii="Times New Roman" w:hAnsi="Times New Roman" w:cs="Times New Roman"/>
          <w:szCs w:val="24"/>
        </w:rPr>
        <w:t xml:space="preserve">with available </w:t>
      </w:r>
      <w:r w:rsidR="00AC3FFE">
        <w:rPr>
          <w:rFonts w:ascii="Times New Roman" w:hAnsi="Times New Roman" w:cs="Times New Roman"/>
          <w:szCs w:val="24"/>
        </w:rPr>
        <w:t xml:space="preserve">data for </w:t>
      </w:r>
      <w:r w:rsidR="00652E49">
        <w:rPr>
          <w:rFonts w:ascii="Times New Roman" w:hAnsi="Times New Roman" w:cs="Times New Roman"/>
          <w:szCs w:val="24"/>
        </w:rPr>
        <w:t xml:space="preserve">HIV-1 </w:t>
      </w:r>
      <w:r w:rsidRPr="00936881">
        <w:rPr>
          <w:rFonts w:ascii="Times New Roman" w:hAnsi="Times New Roman" w:cs="Times New Roman"/>
          <w:szCs w:val="24"/>
        </w:rPr>
        <w:t>DOR susceptibility</w:t>
      </w:r>
      <w:r w:rsidR="00A86CFB">
        <w:rPr>
          <w:rFonts w:ascii="Times New Roman" w:hAnsi="Times New Roman" w:cs="Times New Roman"/>
          <w:szCs w:val="24"/>
        </w:rPr>
        <w:t>; while</w:t>
      </w:r>
      <w:r w:rsidR="00D25ECE">
        <w:rPr>
          <w:rFonts w:ascii="Times New Roman" w:hAnsi="Times New Roman" w:cs="Times New Roman"/>
          <w:szCs w:val="24"/>
        </w:rPr>
        <w:t xml:space="preserve"> a</w:t>
      </w:r>
      <w:r w:rsidR="00D25ECE" w:rsidRPr="00936881">
        <w:rPr>
          <w:rFonts w:ascii="Times New Roman" w:hAnsi="Times New Roman" w:cs="Times New Roman"/>
          <w:szCs w:val="24"/>
        </w:rPr>
        <w:t xml:space="preserve"> </w:t>
      </w:r>
      <w:r w:rsidRPr="00936881">
        <w:rPr>
          <w:rFonts w:ascii="Times New Roman" w:hAnsi="Times New Roman" w:cs="Times New Roman"/>
          <w:szCs w:val="24"/>
        </w:rPr>
        <w:t xml:space="preserve">custom </w:t>
      </w:r>
      <w:r w:rsidR="002B34C5">
        <w:rPr>
          <w:rFonts w:ascii="Times New Roman" w:hAnsi="Times New Roman" w:cs="Times New Roman"/>
          <w:szCs w:val="24"/>
        </w:rPr>
        <w:t>linear</w:t>
      </w:r>
      <w:r w:rsidRPr="00936881">
        <w:rPr>
          <w:rFonts w:ascii="Times New Roman" w:hAnsi="Times New Roman" w:cs="Times New Roman"/>
          <w:szCs w:val="24"/>
        </w:rPr>
        <w:t xml:space="preserve">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w:t>
      </w:r>
      <w:r w:rsidR="00A86CFB">
        <w:rPr>
          <w:rFonts w:ascii="Times New Roman" w:hAnsi="Times New Roman" w:cs="Times New Roman"/>
          <w:szCs w:val="24"/>
        </w:rPr>
        <w:t>performed better</w:t>
      </w:r>
      <w:r w:rsidRPr="00936881">
        <w:rPr>
          <w:rFonts w:ascii="Times New Roman" w:hAnsi="Times New Roman" w:cs="Times New Roman"/>
          <w:szCs w:val="24"/>
        </w:rPr>
        <w:t xml:space="preserve">. Together, these results </w:t>
      </w:r>
      <w:r w:rsidR="00AC3FFE">
        <w:rPr>
          <w:rFonts w:ascii="Times New Roman" w:hAnsi="Times New Roman" w:cs="Times New Roman"/>
          <w:szCs w:val="24"/>
        </w:rPr>
        <w:t>demonstrate</w:t>
      </w:r>
      <w:r w:rsidRPr="00936881">
        <w:rPr>
          <w:rFonts w:ascii="Times New Roman" w:hAnsi="Times New Roman" w:cs="Times New Roman"/>
          <w:szCs w:val="24"/>
        </w:rPr>
        <w:t xml:space="preserve"> a structur</w:t>
      </w:r>
      <w:r w:rsidR="00232CAE">
        <w:rPr>
          <w:rFonts w:ascii="Times New Roman" w:hAnsi="Times New Roman" w:cs="Times New Roman"/>
          <w:szCs w:val="24"/>
        </w:rPr>
        <w:t xml:space="preserve">e-based </w:t>
      </w:r>
      <w:r w:rsidRPr="00936881">
        <w:rPr>
          <w:rFonts w:ascii="Times New Roman" w:hAnsi="Times New Roman" w:cs="Times New Roman"/>
          <w:szCs w:val="24"/>
        </w:rPr>
        <w:t>framework for interpreting DOR resistance</w:t>
      </w:r>
      <w:r w:rsidR="00652E49">
        <w:rPr>
          <w:rFonts w:ascii="Times New Roman" w:hAnsi="Times New Roman" w:cs="Times New Roman"/>
          <w:szCs w:val="24"/>
        </w:rPr>
        <w:t xml:space="preserve"> </w:t>
      </w:r>
      <w:r w:rsidR="00230A01" w:rsidRPr="00230A01">
        <w:rPr>
          <w:rFonts w:ascii="Times New Roman" w:hAnsi="Times New Roman" w:cs="Times New Roman"/>
          <w:szCs w:val="24"/>
        </w:rPr>
        <w:t xml:space="preserve">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386BB021" w14:textId="7AA541C1" w:rsidR="00901095" w:rsidRDefault="00901095">
      <w:pPr>
        <w:rPr>
          <w:rFonts w:ascii="Times New Roman" w:hAnsi="Times New Roman" w:cs="Times New Roman"/>
          <w:szCs w:val="24"/>
        </w:rPr>
      </w:pPr>
    </w:p>
    <w:p w14:paraId="74E0A401" w14:textId="77777777" w:rsidR="00901095" w:rsidRDefault="00901095">
      <w:pPr>
        <w:rPr>
          <w:rFonts w:ascii="Times New Roman" w:hAnsi="Times New Roman" w:cs="Times New Roman"/>
          <w:szCs w:val="24"/>
        </w:rPr>
      </w:pPr>
    </w:p>
    <w:p w14:paraId="2493260E" w14:textId="77777777" w:rsidR="00901095" w:rsidRDefault="00901095">
      <w:pPr>
        <w:rPr>
          <w:rFonts w:ascii="Times New Roman" w:hAnsi="Times New Roman" w:cs="Times New Roman"/>
          <w:szCs w:val="24"/>
        </w:rPr>
      </w:pPr>
    </w:p>
    <w:p w14:paraId="371FFCBC" w14:textId="77777777" w:rsidR="00901095" w:rsidRDefault="00901095">
      <w:pPr>
        <w:rPr>
          <w:rFonts w:ascii="Times New Roman" w:hAnsi="Times New Roman" w:cs="Times New Roman"/>
          <w:szCs w:val="24"/>
        </w:rPr>
      </w:pPr>
    </w:p>
    <w:p w14:paraId="2B53134A" w14:textId="77777777" w:rsidR="00901095" w:rsidRDefault="00901095">
      <w:pPr>
        <w:rPr>
          <w:rFonts w:ascii="Times New Roman" w:hAnsi="Times New Roman" w:cs="Times New Roman"/>
          <w:szCs w:val="24"/>
        </w:rPr>
      </w:pPr>
    </w:p>
    <w:p w14:paraId="0BF6812C" w14:textId="77777777" w:rsidR="00901095" w:rsidRDefault="00901095">
      <w:pPr>
        <w:rPr>
          <w:rFonts w:ascii="Times New Roman" w:hAnsi="Times New Roman" w:cs="Times New Roman"/>
          <w:szCs w:val="24"/>
        </w:rPr>
      </w:pPr>
    </w:p>
    <w:p w14:paraId="09138B8B" w14:textId="77777777" w:rsidR="00901095" w:rsidRDefault="00901095">
      <w:pPr>
        <w:rPr>
          <w:rFonts w:ascii="Times New Roman" w:hAnsi="Times New Roman" w:cs="Times New Roman"/>
          <w:szCs w:val="24"/>
        </w:rPr>
      </w:pPr>
    </w:p>
    <w:p w14:paraId="0B350431" w14:textId="77777777" w:rsidR="00901095" w:rsidRDefault="00901095">
      <w:pPr>
        <w:rPr>
          <w:rFonts w:ascii="Times New Roman" w:hAnsi="Times New Roman" w:cs="Times New Roman"/>
          <w:szCs w:val="24"/>
        </w:rPr>
      </w:pPr>
    </w:p>
    <w:p w14:paraId="7CE4DF69" w14:textId="77777777" w:rsidR="00901095" w:rsidRDefault="00901095">
      <w:pPr>
        <w:rPr>
          <w:rFonts w:ascii="Times New Roman" w:hAnsi="Times New Roman" w:cs="Times New Roman"/>
          <w:szCs w:val="24"/>
        </w:rPr>
      </w:pPr>
    </w:p>
    <w:p w14:paraId="758D7C67" w14:textId="77777777" w:rsidR="00901095" w:rsidRDefault="00901095">
      <w:pPr>
        <w:rPr>
          <w:rFonts w:ascii="Times New Roman" w:hAnsi="Times New Roman" w:cs="Times New Roman"/>
          <w:szCs w:val="24"/>
        </w:rPr>
      </w:pPr>
    </w:p>
    <w:p w14:paraId="1BC169F5" w14:textId="77777777" w:rsidR="00901095" w:rsidRDefault="00901095">
      <w:pPr>
        <w:rPr>
          <w:rFonts w:ascii="Times New Roman" w:hAnsi="Times New Roman" w:cs="Times New Roman"/>
          <w:szCs w:val="24"/>
        </w:rPr>
      </w:pPr>
    </w:p>
    <w:p w14:paraId="5E883F10" w14:textId="77777777" w:rsidR="00901095" w:rsidRDefault="00901095">
      <w:pPr>
        <w:rPr>
          <w:rFonts w:ascii="Times New Roman" w:hAnsi="Times New Roman" w:cs="Times New Roman"/>
          <w:szCs w:val="24"/>
        </w:rPr>
      </w:pPr>
    </w:p>
    <w:p w14:paraId="0E1AD892" w14:textId="77777777" w:rsidR="00907754" w:rsidRDefault="00907754">
      <w:pPr>
        <w:rPr>
          <w:rFonts w:ascii="Times New Roman" w:hAnsi="Times New Roman" w:cs="Times New Roman"/>
          <w:szCs w:val="24"/>
        </w:rPr>
      </w:pPr>
    </w:p>
    <w:p w14:paraId="0AFD65EF" w14:textId="77777777" w:rsidR="00901095" w:rsidRDefault="00901095">
      <w:pPr>
        <w:rPr>
          <w:rFonts w:ascii="Times New Roman" w:hAnsi="Times New Roman" w:cs="Times New Roman"/>
          <w:szCs w:val="24"/>
        </w:rPr>
      </w:pPr>
    </w:p>
    <w:p w14:paraId="04D6575A" w14:textId="77777777" w:rsidR="00901095" w:rsidRDefault="00901095">
      <w:pPr>
        <w:rPr>
          <w:rFonts w:ascii="Times New Roman" w:hAnsi="Times New Roman" w:cs="Times New Roman"/>
          <w:szCs w:val="24"/>
        </w:rPr>
      </w:pPr>
    </w:p>
    <w:p w14:paraId="32114770" w14:textId="77777777" w:rsidR="001A726C" w:rsidRDefault="001A726C">
      <w:pPr>
        <w:rPr>
          <w:rFonts w:ascii="Times New Roman" w:hAnsi="Times New Roman" w:cs="Times New Roman"/>
          <w:szCs w:val="24"/>
        </w:rPr>
      </w:pPr>
    </w:p>
    <w:p w14:paraId="302E1108" w14:textId="77777777" w:rsidR="00901095" w:rsidRDefault="00901095">
      <w:pPr>
        <w:rPr>
          <w:rFonts w:ascii="Times New Roman" w:hAnsi="Times New Roman" w:cs="Times New Roman"/>
          <w:szCs w:val="24"/>
        </w:rPr>
      </w:pPr>
    </w:p>
    <w:p w14:paraId="441B8F67" w14:textId="77777777" w:rsidR="00901095" w:rsidRDefault="00901095">
      <w:pPr>
        <w:rPr>
          <w:rFonts w:ascii="Times New Roman" w:hAnsi="Times New Roman" w:cs="Times New Roman"/>
          <w:szCs w:val="24"/>
        </w:rPr>
      </w:pPr>
    </w:p>
    <w:p w14:paraId="7A7D7FB3" w14:textId="77777777" w:rsidR="00A322F1" w:rsidRDefault="00A322F1">
      <w:pPr>
        <w:rPr>
          <w:rFonts w:ascii="Times New Roman" w:hAnsi="Times New Roman" w:cs="Times New Roman"/>
          <w:szCs w:val="24"/>
        </w:rPr>
      </w:pPr>
    </w:p>
    <w:p w14:paraId="50C12824" w14:textId="77777777" w:rsidR="00A322F1" w:rsidRDefault="00A322F1">
      <w:pPr>
        <w:rPr>
          <w:rFonts w:ascii="Times New Roman" w:hAnsi="Times New Roman" w:cs="Times New Roman"/>
          <w:szCs w:val="24"/>
        </w:rPr>
      </w:pPr>
    </w:p>
    <w:p w14:paraId="0AC37390" w14:textId="792983C6" w:rsidR="00A322F1" w:rsidRDefault="000366F8" w:rsidP="009977AB">
      <w:pPr>
        <w:rPr>
          <w:rFonts w:ascii="Times New Roman" w:hAnsi="Times New Roman" w:cs="Times New Roman"/>
          <w:szCs w:val="24"/>
        </w:rPr>
      </w:pPr>
      <w:r>
        <w:rPr>
          <w:rFonts w:ascii="Times New Roman" w:hAnsi="Times New Roman" w:cs="Times New Roman"/>
          <w:b/>
          <w:bCs/>
          <w:sz w:val="28"/>
          <w:szCs w:val="28"/>
        </w:rPr>
        <w:lastRenderedPageBreak/>
        <w:t>Introduction</w:t>
      </w:r>
    </w:p>
    <w:p w14:paraId="02F83E54" w14:textId="67B4BA2E" w:rsidR="00EE4E1D" w:rsidRDefault="00907754" w:rsidP="005F0819">
      <w:pPr>
        <w:spacing w:after="240"/>
        <w:rPr>
          <w:rFonts w:ascii="Times New Roman" w:hAnsi="Times New Roman" w:cs="Times New Roman"/>
          <w:szCs w:val="24"/>
        </w:rPr>
      </w:pPr>
      <w:r>
        <w:rPr>
          <w:rFonts w:ascii="Times New Roman" w:hAnsi="Times New Roman" w:cs="Times New Roman"/>
          <w:szCs w:val="24"/>
        </w:rPr>
        <w:t xml:space="preserve">NNRTIs noncompetitively </w:t>
      </w:r>
      <w:r w:rsidR="00ED5AF7">
        <w:rPr>
          <w:rFonts w:ascii="Times New Roman" w:hAnsi="Times New Roman" w:cs="Times New Roman"/>
          <w:szCs w:val="24"/>
        </w:rPr>
        <w:t xml:space="preserve">inhibit </w:t>
      </w:r>
      <w:r w:rsidR="00D25ECE">
        <w:rPr>
          <w:rFonts w:ascii="Times New Roman" w:hAnsi="Times New Roman" w:cs="Times New Roman"/>
          <w:szCs w:val="24"/>
        </w:rPr>
        <w:t xml:space="preserve">the </w:t>
      </w:r>
      <w:r>
        <w:rPr>
          <w:rFonts w:ascii="Times New Roman" w:hAnsi="Times New Roman" w:cs="Times New Roman"/>
          <w:szCs w:val="24"/>
        </w:rPr>
        <w:t>HIV-1 Reverse Transcriptase (RT) enzyme</w:t>
      </w:r>
      <w:r w:rsidR="00CE48A5">
        <w:rPr>
          <w:rFonts w:ascii="Times New Roman" w:hAnsi="Times New Roman" w:cs="Times New Roman"/>
          <w:szCs w:val="24"/>
        </w:rPr>
        <w:t xml:space="preserve"> </w:t>
      </w:r>
      <w:r w:rsidR="00ED5AF7">
        <w:rPr>
          <w:rFonts w:ascii="Times New Roman" w:hAnsi="Times New Roman" w:cs="Times New Roman"/>
          <w:szCs w:val="24"/>
        </w:rPr>
        <w:t xml:space="preserve">by binding </w:t>
      </w:r>
      <w:r w:rsidR="00D25ECE">
        <w:rPr>
          <w:rFonts w:ascii="Times New Roman" w:hAnsi="Times New Roman" w:cs="Times New Roman"/>
          <w:szCs w:val="24"/>
        </w:rPr>
        <w:t xml:space="preserve">to </w:t>
      </w:r>
      <w:r w:rsidR="00ED5AF7">
        <w:rPr>
          <w:rFonts w:ascii="Times New Roman" w:hAnsi="Times New Roman" w:cs="Times New Roman"/>
          <w:szCs w:val="24"/>
        </w:rPr>
        <w:t xml:space="preserve">the </w:t>
      </w:r>
      <w:r w:rsidR="00CE48A5">
        <w:rPr>
          <w:rFonts w:ascii="Times New Roman" w:hAnsi="Times New Roman" w:cs="Times New Roman"/>
          <w:szCs w:val="24"/>
        </w:rPr>
        <w:t>allosteric</w:t>
      </w:r>
      <w:r w:rsidR="00ED5AF7">
        <w:rPr>
          <w:rFonts w:ascii="Times New Roman" w:hAnsi="Times New Roman" w:cs="Times New Roman"/>
          <w:szCs w:val="24"/>
        </w:rPr>
        <w:t xml:space="preserve"> NNRTI binding</w:t>
      </w:r>
      <w:r w:rsidR="00CE48A5">
        <w:rPr>
          <w:rFonts w:ascii="Times New Roman" w:hAnsi="Times New Roman" w:cs="Times New Roman"/>
          <w:szCs w:val="24"/>
        </w:rPr>
        <w:t xml:space="preserve"> pocket</w:t>
      </w:r>
      <w:r w:rsidR="00ED5AF7">
        <w:rPr>
          <w:rFonts w:ascii="Times New Roman" w:hAnsi="Times New Roman" w:cs="Times New Roman"/>
          <w:szCs w:val="24"/>
        </w:rPr>
        <w:t xml:space="preserve"> (NNIBP)</w:t>
      </w:r>
      <w:r w:rsidR="00CE48A5">
        <w:rPr>
          <w:rFonts w:ascii="Times New Roman" w:hAnsi="Times New Roman" w:cs="Times New Roman"/>
          <w:szCs w:val="24"/>
        </w:rPr>
        <w:t>,</w:t>
      </w:r>
      <w:r w:rsidR="00CE48A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E48A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w:t>
      </w:r>
      <w:r w:rsidR="00CE48A5">
        <w:rPr>
          <w:rFonts w:ascii="Times New Roman" w:hAnsi="Times New Roman" w:cs="Times New Roman"/>
          <w:szCs w:val="24"/>
        </w:rPr>
        <w:fldChar w:fldCharType="end"/>
      </w:r>
      <w:r w:rsidR="002E2CAD">
        <w:rPr>
          <w:rFonts w:ascii="Times New Roman" w:hAnsi="Times New Roman" w:cs="Times New Roman"/>
          <w:szCs w:val="24"/>
        </w:rPr>
        <w:t xml:space="preserve">. </w:t>
      </w:r>
      <w:r w:rsidR="00724AC1">
        <w:rPr>
          <w:rFonts w:ascii="Times New Roman" w:hAnsi="Times New Roman" w:cs="Times New Roman"/>
          <w:szCs w:val="24"/>
        </w:rPr>
        <w:t>Th</w:t>
      </w:r>
      <w:r w:rsidR="00ED5AF7">
        <w:rPr>
          <w:rFonts w:ascii="Times New Roman" w:hAnsi="Times New Roman" w:cs="Times New Roman"/>
          <w:szCs w:val="24"/>
        </w:rPr>
        <w:t>e</w:t>
      </w:r>
      <w:r w:rsidR="00724AC1">
        <w:rPr>
          <w:rFonts w:ascii="Times New Roman" w:hAnsi="Times New Roman" w:cs="Times New Roman"/>
          <w:szCs w:val="24"/>
        </w:rPr>
        <w:t xml:space="preserve"> NNIBP is ~10</w:t>
      </w:r>
      <w:r w:rsidR="00843133" w:rsidRPr="00843133">
        <w:rPr>
          <w:rFonts w:ascii="Times New Roman" w:hAnsi="Times New Roman" w:cs="Times New Roman"/>
          <w:szCs w:val="24"/>
        </w:rPr>
        <w:t>Å</w:t>
      </w:r>
      <w:r w:rsidR="00843133">
        <w:rPr>
          <w:rFonts w:ascii="Times New Roman" w:hAnsi="Times New Roman" w:cs="Times New Roman"/>
          <w:szCs w:val="24"/>
        </w:rPr>
        <w:t xml:space="preserve"> from the RT DNA polymerase active site</w:t>
      </w:r>
      <w:r w:rsidR="00F65150">
        <w:rPr>
          <w:rFonts w:ascii="Times New Roman" w:hAnsi="Times New Roman" w:cs="Times New Roman"/>
          <w:szCs w:val="24"/>
        </w:rPr>
        <w:t xml:space="preserve"> and forms only upon NNRTI binding, via an induced conformational change in the RT p66 subunit.</w:t>
      </w:r>
      <w:r w:rsidR="00F6515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F6515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3,4</w:t>
      </w:r>
      <w:r w:rsidR="00F65150">
        <w:rPr>
          <w:rFonts w:ascii="Times New Roman" w:hAnsi="Times New Roman" w:cs="Times New Roman"/>
          <w:szCs w:val="24"/>
        </w:rPr>
        <w:fldChar w:fldCharType="end"/>
      </w:r>
      <w:r w:rsidR="007D0ED8">
        <w:rPr>
          <w:rFonts w:ascii="Times New Roman" w:hAnsi="Times New Roman" w:cs="Times New Roman"/>
          <w:szCs w:val="24"/>
        </w:rPr>
        <w:t xml:space="preserve"> </w:t>
      </w:r>
      <w:r w:rsidR="00835458">
        <w:rPr>
          <w:rFonts w:ascii="Times New Roman" w:hAnsi="Times New Roman" w:cs="Times New Roman"/>
          <w:szCs w:val="24"/>
        </w:rPr>
        <w:t xml:space="preserve">Since the NNIBP can more readily accommodate mutations </w:t>
      </w:r>
      <w:r w:rsidR="00B747D0">
        <w:rPr>
          <w:rFonts w:ascii="Times New Roman" w:hAnsi="Times New Roman" w:cs="Times New Roman"/>
          <w:szCs w:val="24"/>
        </w:rPr>
        <w:t>than</w:t>
      </w:r>
      <w:r w:rsidR="00835458">
        <w:rPr>
          <w:rFonts w:ascii="Times New Roman" w:hAnsi="Times New Roman" w:cs="Times New Roman"/>
          <w:szCs w:val="24"/>
        </w:rPr>
        <w:t xml:space="preserve"> the polymerase active site</w:t>
      </w:r>
      <w:r w:rsidR="00B747D0">
        <w:rPr>
          <w:rFonts w:ascii="Times New Roman" w:hAnsi="Times New Roman" w:cs="Times New Roman"/>
          <w:szCs w:val="24"/>
        </w:rPr>
        <w:t xml:space="preserve"> without a significant cost to enzyme fitness</w:t>
      </w:r>
      <w:r w:rsidR="00835458">
        <w:rPr>
          <w:rFonts w:ascii="Times New Roman" w:hAnsi="Times New Roman" w:cs="Times New Roman"/>
          <w:szCs w:val="24"/>
        </w:rPr>
        <w:t xml:space="preserve">, </w:t>
      </w:r>
      <w:r w:rsidR="00B747D0">
        <w:rPr>
          <w:rFonts w:ascii="Times New Roman" w:hAnsi="Times New Roman" w:cs="Times New Roman"/>
          <w:szCs w:val="24"/>
        </w:rPr>
        <w:t xml:space="preserve">emergence of </w:t>
      </w:r>
      <w:r w:rsidR="00835458">
        <w:rPr>
          <w:rFonts w:ascii="Times New Roman" w:hAnsi="Times New Roman" w:cs="Times New Roman"/>
          <w:szCs w:val="24"/>
        </w:rPr>
        <w:t xml:space="preserve">NNRTI resistance </w:t>
      </w:r>
      <w:r w:rsidR="00ED5AF7">
        <w:rPr>
          <w:rFonts w:ascii="Times New Roman" w:hAnsi="Times New Roman" w:cs="Times New Roman"/>
          <w:szCs w:val="24"/>
        </w:rPr>
        <w:t>occurs commonly if virological suppression is not complete in patients receiving an NNRTI</w:t>
      </w:r>
      <w:r w:rsidR="00D25ECE">
        <w:rPr>
          <w:rFonts w:ascii="Times New Roman" w:hAnsi="Times New Roman" w:cs="Times New Roman"/>
          <w:szCs w:val="24"/>
        </w:rPr>
        <w:t>.</w:t>
      </w:r>
      <w:r w:rsidR="00B747D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{"citationID":"8iPYHvpr","properties":{"unsorted":false,"formattedCitation":"\\super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B747D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5,6</w:t>
      </w:r>
      <w:r w:rsidR="00B747D0">
        <w:rPr>
          <w:rFonts w:ascii="Times New Roman" w:hAnsi="Times New Roman" w:cs="Times New Roman"/>
          <w:szCs w:val="24"/>
        </w:rPr>
        <w:fldChar w:fldCharType="end"/>
      </w:r>
    </w:p>
    <w:p w14:paraId="0A2D5673" w14:textId="05688176" w:rsidR="005F5ED0" w:rsidRDefault="001464A2" w:rsidP="005F0819">
      <w:pPr>
        <w:spacing w:after="240"/>
        <w:rPr>
          <w:rFonts w:ascii="Times New Roman" w:hAnsi="Times New Roman" w:cs="Times New Roman"/>
          <w:szCs w:val="24"/>
        </w:rPr>
      </w:pPr>
      <w:r>
        <w:rPr>
          <w:rFonts w:ascii="Times New Roman" w:hAnsi="Times New Roman" w:cs="Times New Roman"/>
          <w:szCs w:val="24"/>
        </w:rPr>
        <w:t xml:space="preserve">NNRTI resistance mutations </w:t>
      </w:r>
      <w:r w:rsidR="0014494F">
        <w:rPr>
          <w:rFonts w:ascii="Times New Roman" w:hAnsi="Times New Roman" w:cs="Times New Roman"/>
          <w:szCs w:val="24"/>
        </w:rPr>
        <w:t xml:space="preserve">generally </w:t>
      </w:r>
      <w:r>
        <w:rPr>
          <w:rFonts w:ascii="Times New Roman" w:hAnsi="Times New Roman" w:cs="Times New Roman"/>
          <w:szCs w:val="24"/>
        </w:rPr>
        <w:t>decrease HIV-1 susceptibility by affecting interactions between the inhibitor and the NNIBP.</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7</w:t>
      </w:r>
      <w:r>
        <w:rPr>
          <w:rFonts w:ascii="Times New Roman" w:hAnsi="Times New Roman" w:cs="Times New Roman"/>
          <w:szCs w:val="24"/>
        </w:rPr>
        <w:fldChar w:fldCharType="end"/>
      </w:r>
      <w:r w:rsidR="0014494F">
        <w:rPr>
          <w:rFonts w:ascii="Times New Roman" w:hAnsi="Times New Roman" w:cs="Times New Roman"/>
          <w:szCs w:val="24"/>
        </w:rPr>
        <w:t xml:space="preserve"> K103N </w:t>
      </w:r>
      <w:r w:rsidR="00134A97">
        <w:rPr>
          <w:rFonts w:ascii="Times New Roman" w:hAnsi="Times New Roman" w:cs="Times New Roman"/>
          <w:szCs w:val="24"/>
        </w:rPr>
        <w:t>alter</w:t>
      </w:r>
      <w:r w:rsidR="00ED5AF7">
        <w:rPr>
          <w:rFonts w:ascii="Times New Roman" w:hAnsi="Times New Roman" w:cs="Times New Roman"/>
          <w:szCs w:val="24"/>
        </w:rPr>
        <w:t>s</w:t>
      </w:r>
      <w:r w:rsidR="00134A97">
        <w:rPr>
          <w:rFonts w:ascii="Times New Roman" w:hAnsi="Times New Roman" w:cs="Times New Roman"/>
          <w:szCs w:val="24"/>
        </w:rPr>
        <w:t xml:space="preserve"> allosteric RT dynamics and permit </w:t>
      </w:r>
      <w:r w:rsidR="005A458B">
        <w:rPr>
          <w:rFonts w:ascii="Times New Roman" w:hAnsi="Times New Roman" w:cs="Times New Roman"/>
          <w:szCs w:val="24"/>
        </w:rPr>
        <w:t xml:space="preserve">a productive RT-template/primer-dNTP complex despite </w:t>
      </w:r>
      <w:r w:rsidR="00F25C75">
        <w:rPr>
          <w:rFonts w:ascii="Times New Roman" w:hAnsi="Times New Roman" w:cs="Times New Roman"/>
          <w:szCs w:val="24"/>
        </w:rPr>
        <w:t>NNRTI</w:t>
      </w:r>
      <w:r w:rsidR="005A458B">
        <w:rPr>
          <w:rFonts w:ascii="Times New Roman" w:hAnsi="Times New Roman" w:cs="Times New Roman"/>
          <w:szCs w:val="24"/>
        </w:rPr>
        <w:t xml:space="preserve"> binding</w:t>
      </w:r>
      <w:r w:rsidR="0021435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21435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8</w:t>
      </w:r>
      <w:r w:rsidR="00214355">
        <w:rPr>
          <w:rFonts w:ascii="Times New Roman" w:hAnsi="Times New Roman" w:cs="Times New Roman"/>
          <w:szCs w:val="24"/>
        </w:rPr>
        <w:fldChar w:fldCharType="end"/>
      </w:r>
      <w:r w:rsidR="00214355">
        <w:rPr>
          <w:rFonts w:ascii="Times New Roman" w:hAnsi="Times New Roman" w:cs="Times New Roman"/>
          <w:szCs w:val="24"/>
        </w:rPr>
        <w:t xml:space="preserve"> </w:t>
      </w:r>
      <w:r w:rsidR="005F7E90">
        <w:rPr>
          <w:rFonts w:ascii="Times New Roman" w:hAnsi="Times New Roman" w:cs="Times New Roman"/>
          <w:szCs w:val="24"/>
        </w:rPr>
        <w:t xml:space="preserve">or stabilize the closed </w:t>
      </w:r>
      <w:r w:rsidR="00DF6AF9">
        <w:rPr>
          <w:rFonts w:ascii="Times New Roman" w:hAnsi="Times New Roman" w:cs="Times New Roman"/>
          <w:szCs w:val="24"/>
        </w:rPr>
        <w:t>pocket</w:t>
      </w:r>
      <w:r w:rsidR="005F7E90">
        <w:rPr>
          <w:rFonts w:ascii="Times New Roman" w:hAnsi="Times New Roman" w:cs="Times New Roman"/>
          <w:szCs w:val="24"/>
        </w:rPr>
        <w:t xml:space="preserve"> form of RT, thus decreasing </w:t>
      </w:r>
      <w:r w:rsidR="005830D2">
        <w:rPr>
          <w:rFonts w:ascii="Times New Roman" w:hAnsi="Times New Roman" w:cs="Times New Roman"/>
          <w:szCs w:val="24"/>
        </w:rPr>
        <w:t xml:space="preserve">NNRTI </w:t>
      </w:r>
      <w:r w:rsidR="005F7E90">
        <w:rPr>
          <w:rFonts w:ascii="Times New Roman" w:hAnsi="Times New Roman" w:cs="Times New Roman"/>
          <w:szCs w:val="24"/>
        </w:rPr>
        <w:t>binding affinity.</w:t>
      </w:r>
      <w:r w:rsidR="00F25C7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F25C7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w:t>
      </w:r>
      <w:r w:rsidR="00F25C75">
        <w:rPr>
          <w:rFonts w:ascii="Times New Roman" w:hAnsi="Times New Roman" w:cs="Times New Roman"/>
          <w:szCs w:val="24"/>
        </w:rPr>
        <w:fldChar w:fldCharType="end"/>
      </w:r>
      <w:r w:rsidR="005F7E90">
        <w:rPr>
          <w:rFonts w:ascii="Times New Roman" w:hAnsi="Times New Roman" w:cs="Times New Roman"/>
          <w:szCs w:val="24"/>
        </w:rPr>
        <w:t xml:space="preserve"> </w:t>
      </w:r>
      <w:r w:rsidR="00214355">
        <w:rPr>
          <w:rFonts w:ascii="Times New Roman" w:hAnsi="Times New Roman" w:cs="Times New Roman"/>
          <w:szCs w:val="24"/>
        </w:rPr>
        <w:t>Y181C remove</w:t>
      </w:r>
      <w:r w:rsidR="00ED5AF7">
        <w:rPr>
          <w:rFonts w:ascii="Times New Roman" w:hAnsi="Times New Roman" w:cs="Times New Roman"/>
          <w:szCs w:val="24"/>
        </w:rPr>
        <w:t>s</w:t>
      </w:r>
      <w:r w:rsidR="00214355">
        <w:rPr>
          <w:rFonts w:ascii="Times New Roman" w:hAnsi="Times New Roman" w:cs="Times New Roman"/>
          <w:szCs w:val="24"/>
        </w:rPr>
        <w:t xml:space="preserve"> </w:t>
      </w:r>
      <w:r w:rsidR="005475A5">
        <w:rPr>
          <w:rFonts w:ascii="Times New Roman" w:hAnsi="Times New Roman" w:cs="Times New Roman"/>
          <w:szCs w:val="24"/>
        </w:rPr>
        <w:t xml:space="preserve">critical </w:t>
      </w:r>
      <w:r w:rsidR="00214355">
        <w:rPr>
          <w:rFonts w:ascii="Times New Roman" w:hAnsi="Times New Roman" w:cs="Times New Roman"/>
          <w:szCs w:val="24"/>
        </w:rPr>
        <w:t xml:space="preserve">aromatic </w:t>
      </w:r>
      <w:r w:rsidR="00EC7DA4">
        <w:rPr>
          <w:rFonts w:ascii="Times New Roman" w:hAnsi="Times New Roman" w:cs="Times New Roman"/>
          <w:szCs w:val="24"/>
        </w:rPr>
        <w:t xml:space="preserve">ring </w:t>
      </w:r>
      <w:r w:rsidR="00214355">
        <w:rPr>
          <w:rFonts w:ascii="Times New Roman" w:hAnsi="Times New Roman" w:cs="Times New Roman"/>
          <w:szCs w:val="24"/>
        </w:rPr>
        <w:t>stacking</w:t>
      </w:r>
      <w:r w:rsidR="005475A5">
        <w:rPr>
          <w:rFonts w:ascii="Times New Roman" w:hAnsi="Times New Roman" w:cs="Times New Roman"/>
          <w:szCs w:val="24"/>
        </w:rPr>
        <w:t xml:space="preserve"> interactions between </w:t>
      </w:r>
      <w:r w:rsidR="00F25C75">
        <w:rPr>
          <w:rFonts w:ascii="Times New Roman" w:hAnsi="Times New Roman" w:cs="Times New Roman"/>
          <w:szCs w:val="24"/>
        </w:rPr>
        <w:t>NNRTIs</w:t>
      </w:r>
      <w:r w:rsidR="005475A5">
        <w:rPr>
          <w:rFonts w:ascii="Times New Roman" w:hAnsi="Times New Roman" w:cs="Times New Roman"/>
          <w:szCs w:val="24"/>
        </w:rPr>
        <w:t xml:space="preserve"> </w:t>
      </w:r>
      <w:r w:rsidR="00ED698D">
        <w:rPr>
          <w:rFonts w:ascii="Times New Roman" w:hAnsi="Times New Roman" w:cs="Times New Roman"/>
          <w:szCs w:val="24"/>
        </w:rPr>
        <w:t>and</w:t>
      </w:r>
      <w:r w:rsidR="005475A5">
        <w:rPr>
          <w:rFonts w:ascii="Times New Roman" w:hAnsi="Times New Roman" w:cs="Times New Roman"/>
          <w:szCs w:val="24"/>
        </w:rPr>
        <w:t xml:space="preserve"> the NNIBP.</w:t>
      </w:r>
      <w:r w:rsidR="00ED698D">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ED698D">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10,11</w:t>
      </w:r>
      <w:r w:rsidR="00ED698D">
        <w:rPr>
          <w:rFonts w:ascii="Times New Roman" w:hAnsi="Times New Roman" w:cs="Times New Roman"/>
          <w:szCs w:val="24"/>
        </w:rPr>
        <w:fldChar w:fldCharType="end"/>
      </w:r>
      <w:r w:rsidR="00ED698D">
        <w:rPr>
          <w:rFonts w:ascii="Times New Roman" w:hAnsi="Times New Roman" w:cs="Times New Roman"/>
          <w:szCs w:val="24"/>
        </w:rPr>
        <w:t xml:space="preserve"> </w:t>
      </w:r>
      <w:r w:rsidR="00DF6AF9">
        <w:rPr>
          <w:rFonts w:ascii="Times New Roman" w:hAnsi="Times New Roman" w:cs="Times New Roman"/>
          <w:szCs w:val="24"/>
        </w:rPr>
        <w:t>G190A add</w:t>
      </w:r>
      <w:r w:rsidR="00ED5AF7">
        <w:rPr>
          <w:rFonts w:ascii="Times New Roman" w:hAnsi="Times New Roman" w:cs="Times New Roman"/>
          <w:szCs w:val="24"/>
        </w:rPr>
        <w:t>s</w:t>
      </w:r>
      <w:r w:rsidR="00DF6AF9">
        <w:rPr>
          <w:rFonts w:ascii="Times New Roman" w:hAnsi="Times New Roman" w:cs="Times New Roman"/>
          <w:szCs w:val="24"/>
        </w:rPr>
        <w:t xml:space="preserve"> a bulge in a compact binding region, causing steric conflict with the NNRTI.</w:t>
      </w:r>
      <w:r w:rsidR="00D55C96">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D55C96">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D55C96">
        <w:rPr>
          <w:rFonts w:ascii="Times New Roman" w:hAnsi="Times New Roman" w:cs="Times New Roman"/>
          <w:szCs w:val="24"/>
        </w:rPr>
        <w:fldChar w:fldCharType="end"/>
      </w:r>
      <w:r w:rsidR="005F0819">
        <w:rPr>
          <w:rFonts w:ascii="Times New Roman" w:hAnsi="Times New Roman" w:cs="Times New Roman"/>
          <w:szCs w:val="24"/>
        </w:rPr>
        <w:t xml:space="preserve"> </w:t>
      </w:r>
      <w:r w:rsidR="00ED5AF7">
        <w:rPr>
          <w:rFonts w:ascii="Times New Roman" w:hAnsi="Times New Roman" w:cs="Times New Roman"/>
          <w:szCs w:val="24"/>
        </w:rPr>
        <w:t>The s</w:t>
      </w:r>
      <w:r w:rsidR="005F5ED0">
        <w:rPr>
          <w:rFonts w:ascii="Times New Roman" w:hAnsi="Times New Roman" w:cs="Times New Roman"/>
          <w:szCs w:val="24"/>
        </w:rPr>
        <w:t>econd generation NNRTIs</w:t>
      </w:r>
      <w:r w:rsidR="00D25ECE">
        <w:rPr>
          <w:rFonts w:ascii="Times New Roman" w:hAnsi="Times New Roman" w:cs="Times New Roman"/>
          <w:szCs w:val="24"/>
        </w:rPr>
        <w:t xml:space="preserve"> Etravirine</w:t>
      </w:r>
      <w:r w:rsidR="005F5ED0">
        <w:rPr>
          <w:rFonts w:ascii="Times New Roman" w:hAnsi="Times New Roman" w:cs="Times New Roman"/>
          <w:szCs w:val="24"/>
        </w:rPr>
        <w:t xml:space="preserve"> </w:t>
      </w:r>
      <w:r w:rsidR="00D25ECE">
        <w:rPr>
          <w:rFonts w:ascii="Times New Roman" w:hAnsi="Times New Roman" w:cs="Times New Roman"/>
          <w:szCs w:val="24"/>
        </w:rPr>
        <w:t>(</w:t>
      </w:r>
      <w:r w:rsidR="005F5ED0">
        <w:rPr>
          <w:rFonts w:ascii="Times New Roman" w:hAnsi="Times New Roman" w:cs="Times New Roman"/>
          <w:szCs w:val="24"/>
        </w:rPr>
        <w:t>ETR</w:t>
      </w:r>
      <w:r w:rsidR="00D25ECE">
        <w:rPr>
          <w:rFonts w:ascii="Times New Roman" w:hAnsi="Times New Roman" w:cs="Times New Roman"/>
          <w:szCs w:val="24"/>
        </w:rPr>
        <w:t>)</w:t>
      </w:r>
      <w:r w:rsidR="005F5ED0">
        <w:rPr>
          <w:rFonts w:ascii="Times New Roman" w:hAnsi="Times New Roman" w:cs="Times New Roman"/>
          <w:szCs w:val="24"/>
        </w:rPr>
        <w:t xml:space="preserve"> and </w:t>
      </w:r>
      <w:r w:rsidR="00D25ECE">
        <w:rPr>
          <w:rFonts w:ascii="Times New Roman" w:hAnsi="Times New Roman" w:cs="Times New Roman"/>
          <w:szCs w:val="24"/>
        </w:rPr>
        <w:t>Rilpivirine (</w:t>
      </w:r>
      <w:r w:rsidR="005F5ED0">
        <w:rPr>
          <w:rFonts w:ascii="Times New Roman" w:hAnsi="Times New Roman" w:cs="Times New Roman"/>
          <w:szCs w:val="24"/>
        </w:rPr>
        <w:t>RPV</w:t>
      </w:r>
      <w:r w:rsidR="00D25ECE">
        <w:rPr>
          <w:rFonts w:ascii="Times New Roman" w:hAnsi="Times New Roman" w:cs="Times New Roman"/>
          <w:szCs w:val="24"/>
        </w:rPr>
        <w:t>)</w:t>
      </w:r>
      <w:r w:rsidR="005F5ED0">
        <w:rPr>
          <w:rFonts w:ascii="Times New Roman" w:hAnsi="Times New Roman" w:cs="Times New Roman"/>
          <w:szCs w:val="24"/>
        </w:rPr>
        <w:t xml:space="preserve"> counteract such common NNRTI resistance mutations by introducing positional and conformational flexibility</w:t>
      </w:r>
      <w:r w:rsidR="00DB126B">
        <w:rPr>
          <w:rFonts w:ascii="Times New Roman" w:hAnsi="Times New Roman" w:cs="Times New Roman"/>
          <w:szCs w:val="24"/>
        </w:rPr>
        <w:t>.</w:t>
      </w:r>
      <w:r w:rsidR="00AA7A2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00AA7A2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12,13</w:t>
      </w:r>
      <w:r w:rsidR="00AA7A20">
        <w:rPr>
          <w:rFonts w:ascii="Times New Roman" w:hAnsi="Times New Roman" w:cs="Times New Roman"/>
          <w:szCs w:val="24"/>
        </w:rPr>
        <w:fldChar w:fldCharType="end"/>
      </w:r>
      <w:r w:rsidR="00AA7A20">
        <w:rPr>
          <w:rFonts w:ascii="Times New Roman" w:hAnsi="Times New Roman" w:cs="Times New Roman"/>
          <w:szCs w:val="24"/>
        </w:rPr>
        <w:t xml:space="preserve"> </w:t>
      </w:r>
      <w:r w:rsidR="00AA7A20" w:rsidRPr="00AA7A20">
        <w:rPr>
          <w:rFonts w:ascii="Times New Roman" w:hAnsi="Times New Roman" w:cs="Times New Roman"/>
          <w:szCs w:val="24"/>
        </w:rPr>
        <w:t>The flexible structure</w:t>
      </w:r>
      <w:r w:rsidR="00AA7A20">
        <w:rPr>
          <w:rFonts w:ascii="Times New Roman" w:hAnsi="Times New Roman" w:cs="Times New Roman"/>
          <w:szCs w:val="24"/>
        </w:rPr>
        <w:t>s</w:t>
      </w:r>
      <w:r w:rsidR="00AA7A20" w:rsidRPr="00AA7A20">
        <w:rPr>
          <w:rFonts w:ascii="Times New Roman" w:hAnsi="Times New Roman" w:cs="Times New Roman"/>
          <w:szCs w:val="24"/>
        </w:rPr>
        <w:t xml:space="preserve"> of</w:t>
      </w:r>
      <w:r w:rsidR="00ED5AF7">
        <w:rPr>
          <w:rFonts w:ascii="Times New Roman" w:hAnsi="Times New Roman" w:cs="Times New Roman"/>
          <w:szCs w:val="24"/>
        </w:rPr>
        <w:t xml:space="preserve"> ETR and RPV</w:t>
      </w:r>
      <w:r w:rsidR="00AA7A20" w:rsidRPr="00AA7A20">
        <w:rPr>
          <w:rFonts w:ascii="Times New Roman" w:hAnsi="Times New Roman" w:cs="Times New Roman"/>
          <w:szCs w:val="24"/>
        </w:rPr>
        <w:t xml:space="preserve"> allow them to rotate within the </w:t>
      </w:r>
      <w:r w:rsidR="005F0819">
        <w:rPr>
          <w:rFonts w:ascii="Times New Roman" w:hAnsi="Times New Roman" w:cs="Times New Roman"/>
          <w:szCs w:val="24"/>
        </w:rPr>
        <w:t>NNIBP,</w:t>
      </w:r>
      <w:r w:rsidR="00AA7A20" w:rsidRPr="00AA7A20">
        <w:rPr>
          <w:rFonts w:ascii="Times New Roman" w:hAnsi="Times New Roman" w:cs="Times New Roman"/>
          <w:szCs w:val="24"/>
        </w:rPr>
        <w:t xml:space="preserve"> permitting multiple interactions with </w:t>
      </w:r>
      <w:r w:rsidR="005F0819">
        <w:rPr>
          <w:rFonts w:ascii="Times New Roman" w:hAnsi="Times New Roman" w:cs="Times New Roman"/>
          <w:szCs w:val="24"/>
        </w:rPr>
        <w:t>NNIBP residues</w:t>
      </w:r>
      <w:r w:rsidR="00AA7A20" w:rsidRPr="00AA7A20">
        <w:rPr>
          <w:rFonts w:ascii="Times New Roman" w:hAnsi="Times New Roman" w:cs="Times New Roman"/>
          <w:szCs w:val="24"/>
        </w:rPr>
        <w:t xml:space="preserve"> even in the presence of NNRTI mutations and thereby allowing them to retain activity against </w:t>
      </w:r>
      <w:r w:rsidR="005F0819">
        <w:rPr>
          <w:rFonts w:ascii="Times New Roman" w:hAnsi="Times New Roman" w:cs="Times New Roman"/>
          <w:szCs w:val="24"/>
        </w:rPr>
        <w:t>certain</w:t>
      </w:r>
      <w:r w:rsidR="00AA7A20" w:rsidRPr="00AA7A20">
        <w:rPr>
          <w:rFonts w:ascii="Times New Roman" w:hAnsi="Times New Roman" w:cs="Times New Roman"/>
          <w:szCs w:val="24"/>
        </w:rPr>
        <w:t xml:space="preserve"> mutant viruses.</w:t>
      </w:r>
      <w:r w:rsidR="005F081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5F081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5F0819">
        <w:rPr>
          <w:rFonts w:ascii="Times New Roman" w:hAnsi="Times New Roman" w:cs="Times New Roman"/>
          <w:szCs w:val="24"/>
        </w:rPr>
        <w:fldChar w:fldCharType="end"/>
      </w:r>
      <w:r w:rsidR="00AA7A20" w:rsidRPr="00AA7A20">
        <w:rPr>
          <w:rFonts w:ascii="Times New Roman" w:hAnsi="Times New Roman" w:cs="Times New Roman"/>
          <w:szCs w:val="24"/>
        </w:rPr>
        <w:t xml:space="preserve"> </w:t>
      </w:r>
    </w:p>
    <w:p w14:paraId="37AF2E30" w14:textId="71856806" w:rsidR="005F0819" w:rsidRDefault="005F0819" w:rsidP="005F0819">
      <w:pPr>
        <w:spacing w:after="240"/>
        <w:rPr>
          <w:rFonts w:ascii="Times New Roman" w:hAnsi="Times New Roman" w:cs="Times New Roman"/>
          <w:szCs w:val="24"/>
        </w:rPr>
      </w:pPr>
      <w:r w:rsidRPr="005F0819">
        <w:rPr>
          <w:rFonts w:ascii="Times New Roman" w:hAnsi="Times New Roman" w:cs="Times New Roman"/>
          <w:szCs w:val="24"/>
        </w:rPr>
        <w:t xml:space="preserve">DOR was designed by introducing cyclic constraints in a novel class of </w:t>
      </w:r>
      <w:proofErr w:type="spellStart"/>
      <w:r w:rsidRPr="005F0819">
        <w:rPr>
          <w:rFonts w:ascii="Times New Roman" w:hAnsi="Times New Roman" w:cs="Times New Roman"/>
          <w:szCs w:val="24"/>
        </w:rPr>
        <w:t>diaryl</w:t>
      </w:r>
      <w:proofErr w:type="spellEnd"/>
      <w:r w:rsidRPr="005F0819">
        <w:rPr>
          <w:rFonts w:ascii="Times New Roman" w:hAnsi="Times New Roman" w:cs="Times New Roman"/>
          <w:szCs w:val="24"/>
        </w:rPr>
        <w:t xml:space="preserve"> ether NNRTIs.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14</w:t>
      </w:r>
      <w:r>
        <w:rPr>
          <w:rFonts w:ascii="Times New Roman" w:hAnsi="Times New Roman" w:cs="Times New Roman"/>
          <w:szCs w:val="24"/>
        </w:rPr>
        <w:fldChar w:fldCharType="end"/>
      </w:r>
      <w:r w:rsidRPr="005F0819">
        <w:rPr>
          <w:rFonts w:ascii="Times New Roman" w:hAnsi="Times New Roman" w:cs="Times New Roman"/>
          <w:szCs w:val="24"/>
        </w:rPr>
        <w:t xml:space="preserve"> DOR makes a unique H-bond </w:t>
      </w:r>
      <w:r>
        <w:rPr>
          <w:rFonts w:ascii="Times New Roman" w:hAnsi="Times New Roman" w:cs="Times New Roman"/>
          <w:szCs w:val="24"/>
        </w:rPr>
        <w:t>with</w:t>
      </w:r>
      <w:r w:rsidRPr="005F0819">
        <w:rPr>
          <w:rFonts w:ascii="Times New Roman" w:hAnsi="Times New Roman" w:cs="Times New Roman"/>
          <w:szCs w:val="24"/>
        </w:rPr>
        <w:t xml:space="preserve"> the backbone of Lys103, and the Tyr181 side chain is rotated by 90° away from Tyr188 when compared to apo, ETR, EFV, and RPV X-ray structures.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15</w:t>
      </w:r>
      <w:r>
        <w:rPr>
          <w:rFonts w:ascii="Times New Roman" w:hAnsi="Times New Roman" w:cs="Times New Roman"/>
          <w:szCs w:val="24"/>
        </w:rPr>
        <w:fldChar w:fldCharType="end"/>
      </w:r>
      <w:r w:rsidRPr="005F0819">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w:t>
      </w:r>
      <w:r w:rsidR="00907EEB">
        <w:rPr>
          <w:rFonts w:ascii="Times New Roman" w:hAnsi="Times New Roman" w:cs="Times New Roman"/>
          <w:szCs w:val="24"/>
        </w:rPr>
        <w:t>, which is often mutated to alanine in viruses from patients with virological failure receiving DOR and which results in reduced DOR susceptibility</w:t>
      </w:r>
      <w:r w:rsidR="00B24F5E">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B24F5E">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16,17</w:t>
      </w:r>
      <w:r w:rsidR="00B24F5E">
        <w:rPr>
          <w:rFonts w:ascii="Times New Roman" w:hAnsi="Times New Roman" w:cs="Times New Roman"/>
          <w:szCs w:val="24"/>
        </w:rPr>
        <w:fldChar w:fldCharType="end"/>
      </w:r>
      <w:r w:rsidR="00907EEB">
        <w:rPr>
          <w:rFonts w:ascii="Times New Roman" w:hAnsi="Times New Roman" w:cs="Times New Roman"/>
          <w:szCs w:val="24"/>
        </w:rPr>
        <w:t>.</w:t>
      </w:r>
      <w:r w:rsidRPr="005F0819">
        <w:rPr>
          <w:rFonts w:ascii="Times New Roman" w:hAnsi="Times New Roman" w:cs="Times New Roman"/>
          <w:szCs w:val="24"/>
        </w:rPr>
        <w:t xml:space="preserve"> Similarly, combinations of V106A/I with F227C/L, L234I, and P225H cause &gt;100-fold reduction</w:t>
      </w:r>
      <w:r w:rsidR="00907EEB">
        <w:rPr>
          <w:rFonts w:ascii="Times New Roman" w:hAnsi="Times New Roman" w:cs="Times New Roman"/>
          <w:szCs w:val="24"/>
        </w:rPr>
        <w:t>s</w:t>
      </w:r>
      <w:r w:rsidRPr="005F0819">
        <w:rPr>
          <w:rFonts w:ascii="Times New Roman" w:hAnsi="Times New Roman" w:cs="Times New Roman"/>
          <w:szCs w:val="24"/>
        </w:rPr>
        <w:t xml:space="preserve"> in susceptibility </w:t>
      </w:r>
      <w:r w:rsidR="00C808C3">
        <w:rPr>
          <w:rFonts w:ascii="Times New Roman" w:hAnsi="Times New Roman" w:cs="Times New Roman"/>
          <w:szCs w:val="24"/>
        </w:rPr>
        <w:t>to</w:t>
      </w:r>
      <w:r w:rsidRPr="005F0819">
        <w:rPr>
          <w:rFonts w:ascii="Times New Roman" w:hAnsi="Times New Roman" w:cs="Times New Roman"/>
          <w:szCs w:val="24"/>
        </w:rPr>
        <w:t xml:space="preserve"> DOR</w:t>
      </w:r>
      <w:r w:rsidR="00C808C3">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808C3">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18</w:t>
      </w:r>
      <w:r w:rsidR="00C808C3">
        <w:rPr>
          <w:rFonts w:ascii="Times New Roman" w:hAnsi="Times New Roman" w:cs="Times New Roman"/>
          <w:szCs w:val="24"/>
        </w:rPr>
        <w:fldChar w:fldCharType="end"/>
      </w:r>
      <w:r w:rsidRPr="005F0819">
        <w:rPr>
          <w:rFonts w:ascii="Times New Roman" w:hAnsi="Times New Roman" w:cs="Times New Roman"/>
          <w:szCs w:val="24"/>
        </w:rPr>
        <w:t xml:space="preserve">. </w:t>
      </w:r>
    </w:p>
    <w:p w14:paraId="09AA43E8" w14:textId="7463FFC9" w:rsidR="00547C65" w:rsidRPr="005F0819" w:rsidRDefault="00DB126B" w:rsidP="009977AB">
      <w:pPr>
        <w:spacing w:before="240" w:after="240"/>
        <w:rPr>
          <w:rFonts w:ascii="Times New Roman" w:hAnsi="Times New Roman" w:cs="Times New Roman"/>
          <w:szCs w:val="24"/>
        </w:rPr>
      </w:pPr>
      <w:r w:rsidRPr="005F0819">
        <w:rPr>
          <w:rFonts w:ascii="Times New Roman" w:hAnsi="Times New Roman" w:cs="Times New Roman"/>
          <w:szCs w:val="24"/>
        </w:rPr>
        <w:t xml:space="preserve">This unique resistance profile has allowed DOR to become an integral component of the standard of care in </w:t>
      </w:r>
      <w:r>
        <w:rPr>
          <w:rFonts w:ascii="Times New Roman" w:hAnsi="Times New Roman" w:cs="Times New Roman"/>
          <w:szCs w:val="24"/>
        </w:rPr>
        <w:t>antiretroviral therapy (</w:t>
      </w:r>
      <w:r w:rsidRPr="005F0819">
        <w:rPr>
          <w:rFonts w:ascii="Times New Roman" w:hAnsi="Times New Roman" w:cs="Times New Roman"/>
          <w:szCs w:val="24"/>
        </w:rPr>
        <w:t>ART</w:t>
      </w:r>
      <w:r>
        <w:rPr>
          <w:rFonts w:ascii="Times New Roman" w:hAnsi="Times New Roman" w:cs="Times New Roman"/>
          <w:szCs w:val="24"/>
        </w:rPr>
        <w:t>)</w:t>
      </w:r>
      <w:r w:rsidRPr="005F0819">
        <w:rPr>
          <w:rFonts w:ascii="Times New Roman" w:hAnsi="Times New Roman" w:cs="Times New Roman"/>
          <w:szCs w:val="24"/>
        </w:rPr>
        <w:t>.</w:t>
      </w:r>
      <w:r w:rsidR="004D470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4D470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19–22</w:t>
      </w:r>
      <w:r w:rsidR="004D4709">
        <w:rPr>
          <w:rFonts w:ascii="Times New Roman" w:hAnsi="Times New Roman" w:cs="Times New Roman"/>
          <w:szCs w:val="24"/>
        </w:rPr>
        <w:fldChar w:fldCharType="end"/>
      </w:r>
      <w:r w:rsidRPr="005F0819">
        <w:rPr>
          <w:rFonts w:ascii="Times New Roman" w:hAnsi="Times New Roman" w:cs="Times New Roman"/>
          <w:szCs w:val="24"/>
        </w:rPr>
        <w:t xml:space="preserve"> Yet limited availability of DOR-resistance data has </w:t>
      </w:r>
      <w:r>
        <w:rPr>
          <w:rFonts w:ascii="Times New Roman" w:hAnsi="Times New Roman" w:cs="Times New Roman"/>
          <w:szCs w:val="24"/>
        </w:rPr>
        <w:t>complicated</w:t>
      </w:r>
      <w:r w:rsidRPr="005F0819">
        <w:rPr>
          <w:rFonts w:ascii="Times New Roman" w:hAnsi="Times New Roman" w:cs="Times New Roman"/>
          <w:szCs w:val="24"/>
        </w:rPr>
        <w:t xml:space="preserve"> its use in persons with pre-existing NNRTI resistance. To investigate mechanisms of DOR resistance and explore computational approaches to fill gaps in DOR susceptibility data, we performed all-atom explicit solvent molecular dynamics (MD) simulations on 1</w:t>
      </w:r>
      <w:r>
        <w:rPr>
          <w:rFonts w:ascii="Times New Roman" w:hAnsi="Times New Roman" w:cs="Times New Roman"/>
          <w:szCs w:val="24"/>
        </w:rPr>
        <w:t>9</w:t>
      </w:r>
      <w:r w:rsidRPr="005F0819">
        <w:rPr>
          <w:rFonts w:ascii="Times New Roman" w:hAnsi="Times New Roman" w:cs="Times New Roman"/>
          <w:szCs w:val="24"/>
        </w:rPr>
        <w:t xml:space="preserve"> RT-DOR complexes, corresponding to wild-type</w:t>
      </w:r>
      <w:r>
        <w:rPr>
          <w:rFonts w:ascii="Times New Roman" w:hAnsi="Times New Roman" w:cs="Times New Roman"/>
          <w:szCs w:val="24"/>
        </w:rPr>
        <w:t xml:space="preserve"> (WT)</w:t>
      </w:r>
      <w:r w:rsidRPr="005F0819">
        <w:rPr>
          <w:rFonts w:ascii="Times New Roman" w:hAnsi="Times New Roman" w:cs="Times New Roman"/>
          <w:szCs w:val="24"/>
        </w:rPr>
        <w:t xml:space="preserve"> RT and 18 DOR-associated genotypes.</w:t>
      </w:r>
      <w:r>
        <w:rPr>
          <w:rFonts w:ascii="Times New Roman" w:hAnsi="Times New Roman" w:cs="Times New Roman"/>
          <w:szCs w:val="24"/>
        </w:rPr>
        <w:t xml:space="preserve"> </w:t>
      </w:r>
      <w:r w:rsidRPr="005F0819">
        <w:rPr>
          <w:rFonts w:ascii="Times New Roman" w:hAnsi="Times New Roman" w:cs="Times New Roman"/>
          <w:szCs w:val="24"/>
        </w:rPr>
        <w:t xml:space="preserve">Our results demonstrate that computational approaches relying on a combination of physics-based molecular dynamics simulations and machine learning models </w:t>
      </w:r>
      <w:r>
        <w:rPr>
          <w:rFonts w:ascii="Times New Roman" w:hAnsi="Times New Roman" w:cs="Times New Roman"/>
          <w:szCs w:val="24"/>
        </w:rPr>
        <w:t>correlate with</w:t>
      </w:r>
      <w:r w:rsidRPr="005F0819">
        <w:rPr>
          <w:rFonts w:ascii="Times New Roman" w:hAnsi="Times New Roman" w:cs="Times New Roman"/>
          <w:szCs w:val="24"/>
        </w:rPr>
        <w:t xml:space="preserve">, and provide </w:t>
      </w:r>
      <w:r>
        <w:rPr>
          <w:rFonts w:ascii="Times New Roman" w:hAnsi="Times New Roman" w:cs="Times New Roman"/>
          <w:szCs w:val="24"/>
        </w:rPr>
        <w:t>structural</w:t>
      </w:r>
      <w:r w:rsidRPr="005F0819">
        <w:rPr>
          <w:rFonts w:ascii="Times New Roman" w:hAnsi="Times New Roman" w:cs="Times New Roman"/>
          <w:szCs w:val="24"/>
        </w:rPr>
        <w:t xml:space="preserve"> interpretations for, mutation-induced changes in susceptibility. </w:t>
      </w:r>
    </w:p>
    <w:p w14:paraId="481974F7" w14:textId="305B5C46" w:rsidR="00165F8F" w:rsidRDefault="00E013CB" w:rsidP="00165F8F">
      <w:pPr>
        <w:spacing w:after="240"/>
        <w:rPr>
          <w:rFonts w:ascii="Times New Roman" w:hAnsi="Times New Roman" w:cs="Times New Roman"/>
          <w:b/>
          <w:bCs/>
          <w:sz w:val="28"/>
          <w:szCs w:val="28"/>
        </w:rPr>
      </w:pPr>
      <w:r>
        <w:rPr>
          <w:rFonts w:ascii="Times New Roman" w:hAnsi="Times New Roman" w:cs="Times New Roman"/>
          <w:b/>
          <w:bCs/>
          <w:noProof/>
          <w:sz w:val="22"/>
          <w:szCs w:val="22"/>
        </w:rPr>
        <w:lastRenderedPageBreak/>
        <w:drawing>
          <wp:inline distT="0" distB="0" distL="0" distR="0" wp14:anchorId="3BEFC67E" wp14:editId="0C5BE688">
            <wp:extent cx="5943600" cy="6109335"/>
            <wp:effectExtent l="0" t="0" r="0" b="0"/>
            <wp:docPr id="1309979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9249" name="Picture 1309979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r w:rsidR="000156E3" w:rsidRPr="00B44656">
        <w:rPr>
          <w:rFonts w:ascii="Times New Roman" w:hAnsi="Times New Roman" w:cs="Times New Roman"/>
          <w:b/>
          <w:bCs/>
          <w:sz w:val="22"/>
          <w:szCs w:val="22"/>
        </w:rPr>
        <w:t xml:space="preserve">Figure </w:t>
      </w:r>
      <w:r w:rsidR="00254253" w:rsidRPr="00B44656">
        <w:rPr>
          <w:rFonts w:ascii="Times New Roman" w:hAnsi="Times New Roman" w:cs="Times New Roman"/>
          <w:b/>
          <w:bCs/>
          <w:sz w:val="22"/>
          <w:szCs w:val="22"/>
        </w:rPr>
        <w:t>1</w:t>
      </w:r>
      <w:r w:rsidR="000156E3" w:rsidRPr="00B44656">
        <w:rPr>
          <w:rFonts w:ascii="Times New Roman" w:hAnsi="Times New Roman" w:cs="Times New Roman"/>
          <w:b/>
          <w:bCs/>
          <w:sz w:val="22"/>
          <w:szCs w:val="22"/>
        </w:rPr>
        <w:t>: Crystal structure of DOR bound to WT RT (PDB ID: 4NCG).</w:t>
      </w:r>
      <w:r w:rsidR="000156E3" w:rsidRPr="00B44656">
        <w:rPr>
          <w:rFonts w:ascii="Times New Roman" w:hAnsi="Times New Roman" w:cs="Times New Roman"/>
          <w:sz w:val="22"/>
          <w:szCs w:val="22"/>
        </w:rPr>
        <w:t xml:space="preserve"> </w:t>
      </w:r>
      <w:r w:rsidR="00EB72A7" w:rsidRPr="00B44656">
        <w:rPr>
          <w:rFonts w:ascii="Times New Roman" w:hAnsi="Times New Roman" w:cs="Times New Roman"/>
          <w:b/>
          <w:bCs/>
          <w:sz w:val="22"/>
          <w:szCs w:val="22"/>
        </w:rPr>
        <w:t>(A)</w:t>
      </w:r>
      <w:r w:rsidR="00EB72A7" w:rsidRPr="00B44656">
        <w:rPr>
          <w:rFonts w:ascii="Times New Roman" w:hAnsi="Times New Roman" w:cs="Times New Roman"/>
          <w:sz w:val="22"/>
          <w:szCs w:val="22"/>
        </w:rPr>
        <w:t xml:space="preserve"> Annotated structure of WT RT in complex with DOR simulated in this work. The NNIBP including DOR is highlighted in a light gray oval. </w:t>
      </w:r>
      <w:r w:rsidR="00EB72A7" w:rsidRPr="00B44656">
        <w:rPr>
          <w:rFonts w:ascii="Times New Roman" w:hAnsi="Times New Roman" w:cs="Times New Roman"/>
          <w:b/>
          <w:bCs/>
          <w:sz w:val="22"/>
          <w:szCs w:val="22"/>
        </w:rPr>
        <w:t xml:space="preserve">(B) </w:t>
      </w:r>
      <w:r w:rsidR="000156E3" w:rsidRPr="00B44656">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00EB72A7" w:rsidRPr="00B44656">
        <w:rPr>
          <w:rFonts w:ascii="Times New Roman" w:hAnsi="Times New Roman" w:cs="Times New Roman"/>
          <w:b/>
          <w:bCs/>
          <w:sz w:val="22"/>
          <w:szCs w:val="22"/>
        </w:rPr>
        <w:t>(C)</w:t>
      </w:r>
      <w:r w:rsidR="00EB72A7" w:rsidRPr="00B44656">
        <w:rPr>
          <w:rFonts w:ascii="Times New Roman" w:hAnsi="Times New Roman" w:cs="Times New Roman"/>
          <w:i/>
          <w:iCs/>
          <w:sz w:val="22"/>
          <w:szCs w:val="22"/>
        </w:rPr>
        <w:t xml:space="preserve"> </w:t>
      </w:r>
      <w:r w:rsidR="00EB72A7" w:rsidRPr="00B44656">
        <w:rPr>
          <w:rFonts w:ascii="Times New Roman" w:hAnsi="Times New Roman" w:cs="Times New Roman"/>
          <w:sz w:val="22"/>
          <w:szCs w:val="22"/>
        </w:rPr>
        <w:t>Minimum heavy atom distances between DOR (yellow) and eight key NNIBP residues (pink).</w:t>
      </w:r>
    </w:p>
    <w:p w14:paraId="71D162A3" w14:textId="1C6E21F5" w:rsidR="00EB72A7" w:rsidRDefault="00EB72A7" w:rsidP="00EB72A7">
      <w:pPr>
        <w:spacing w:after="240"/>
        <w:rPr>
          <w:rFonts w:ascii="Times New Roman" w:hAnsi="Times New Roman" w:cs="Times New Roman"/>
          <w:b/>
          <w:bCs/>
          <w:sz w:val="28"/>
          <w:szCs w:val="28"/>
        </w:rPr>
      </w:pPr>
      <w:r>
        <w:rPr>
          <w:rFonts w:ascii="Times New Roman" w:hAnsi="Times New Roman" w:cs="Times New Roman"/>
          <w:b/>
          <w:bCs/>
          <w:sz w:val="28"/>
          <w:szCs w:val="28"/>
        </w:rPr>
        <w:t>Results</w:t>
      </w:r>
    </w:p>
    <w:p w14:paraId="3F74EA6C" w14:textId="5B311C38" w:rsidR="0061294B" w:rsidRPr="00472985" w:rsidRDefault="00C965EE" w:rsidP="0061294B">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166AC4BA" w14:textId="77777777" w:rsidR="00471553" w:rsidRDefault="00C965EE" w:rsidP="007D28A7">
      <w:pPr>
        <w:spacing w:after="240"/>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52DB8799" w:rsidR="00471553" w:rsidRP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lastRenderedPageBreak/>
        <w:t>Susceptible 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209FEB8E" w:rsid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t>Resistant</w:t>
      </w:r>
      <w:r w:rsidRPr="00471553">
        <w:rPr>
          <w:rFonts w:ascii="Times New Roman" w:hAnsi="Times New Roman" w:cs="Times New Roman"/>
          <w:i/>
          <w:iCs/>
          <w:szCs w:val="24"/>
        </w:rPr>
        <w:t xml:space="preserve"> </w:t>
      </w:r>
      <w:r>
        <w:rPr>
          <w:rFonts w:ascii="Times New Roman" w:hAnsi="Times New Roman" w:cs="Times New Roman"/>
          <w:i/>
          <w:iCs/>
          <w:szCs w:val="24"/>
        </w:rPr>
        <w:t>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EC4578" w:rsidRPr="00C965EE">
        <w:rPr>
          <w:rFonts w:ascii="Times New Roman" w:hAnsi="Times New Roman" w:cs="Times New Roman"/>
          <w:szCs w:val="24"/>
        </w:rPr>
        <w:t>K103N+M230L</w:t>
      </w:r>
      <w:r w:rsidR="00EC4578">
        <w:rPr>
          <w:rFonts w:ascii="Times New Roman" w:hAnsi="Times New Roman" w:cs="Times New Roman"/>
          <w:szCs w:val="24"/>
        </w:rPr>
        <w:t>,</w:t>
      </w:r>
      <w:r w:rsidR="00EC4578" w:rsidRPr="00C965EE">
        <w:rPr>
          <w:rFonts w:ascii="Times New Roman" w:hAnsi="Times New Roman" w:cs="Times New Roman"/>
          <w:szCs w:val="24"/>
        </w:rPr>
        <w:t xml:space="preserve"> </w:t>
      </w:r>
      <w:r w:rsidR="00471553" w:rsidRPr="00C965EE">
        <w:rPr>
          <w:rFonts w:ascii="Times New Roman" w:hAnsi="Times New Roman" w:cs="Times New Roman"/>
          <w:szCs w:val="24"/>
        </w:rPr>
        <w:t xml:space="preserve">V106A, Y188L, Y318F, A98G+F227C, V106A+F227L, V106A+L234I, V106A+P225H, </w:t>
      </w:r>
      <w:r w:rsidR="00EC4578">
        <w:rPr>
          <w:rFonts w:ascii="Times New Roman" w:hAnsi="Times New Roman" w:cs="Times New Roman"/>
          <w:szCs w:val="24"/>
        </w:rPr>
        <w:t xml:space="preserve">and </w:t>
      </w:r>
      <w:r w:rsidR="00471553" w:rsidRPr="00C965EE">
        <w:rPr>
          <w:rFonts w:ascii="Times New Roman" w:hAnsi="Times New Roman" w:cs="Times New Roman"/>
          <w:szCs w:val="24"/>
        </w:rPr>
        <w:t>V106I+F227C</w:t>
      </w:r>
      <w:r w:rsidR="00471553">
        <w:rPr>
          <w:rFonts w:ascii="Times New Roman" w:hAnsi="Times New Roman" w:cs="Times New Roman"/>
          <w:szCs w:val="24"/>
        </w:rPr>
        <w:t>.</w:t>
      </w:r>
    </w:p>
    <w:p w14:paraId="58174DC4" w14:textId="07BD26B3" w:rsidR="00471553" w:rsidRPr="00472985" w:rsidRDefault="00BF3DF7"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46845287" w14:textId="7E825805" w:rsidR="007D28A7" w:rsidRDefault="004B60F7" w:rsidP="000156E3">
      <w:pPr>
        <w:spacing w:before="240" w:after="240"/>
        <w:rPr>
          <w:rFonts w:ascii="Times New Roman" w:hAnsi="Times New Roman" w:cs="Times New Roman"/>
          <w:szCs w:val="24"/>
        </w:rPr>
      </w:pPr>
      <w:r>
        <w:rPr>
          <w:rFonts w:ascii="Times New Roman" w:hAnsi="Times New Roman" w:cs="Times New Roman"/>
          <w:szCs w:val="24"/>
        </w:rPr>
        <w:t>Table</w:t>
      </w:r>
      <w:r w:rsidR="00C965EE" w:rsidRPr="00471553">
        <w:rPr>
          <w:rFonts w:ascii="Times New Roman" w:hAnsi="Times New Roman" w:cs="Times New Roman"/>
          <w:szCs w:val="24"/>
        </w:rPr>
        <w:t xml:space="preserve"> 1 summarizes the median fold-change in DOR susceptibility used to define the panel and Supplementary Table 1 </w:t>
      </w:r>
      <w:r w:rsidR="0080051D">
        <w:rPr>
          <w:rFonts w:ascii="Times New Roman" w:hAnsi="Times New Roman" w:cs="Times New Roman"/>
          <w:szCs w:val="24"/>
        </w:rPr>
        <w:t>traces the isolate-level data indexed in the Stanford HIVDB</w:t>
      </w:r>
      <w:r w:rsidR="00FB45FB">
        <w:rPr>
          <w:rFonts w:ascii="Times New Roman" w:hAnsi="Times New Roman" w:cs="Times New Roman"/>
          <w:szCs w:val="24"/>
        </w:rPr>
        <w:t xml:space="preserve"> (</w:t>
      </w:r>
      <w:hyperlink r:id="rId9" w:history="1">
        <w:r w:rsidR="00CB5C39" w:rsidRPr="00FF6404">
          <w:rPr>
            <w:rStyle w:val="Hyperlink"/>
            <w:rFonts w:ascii="Times New Roman" w:hAnsi="Times New Roman" w:cs="Times New Roman"/>
            <w:szCs w:val="24"/>
          </w:rPr>
          <w:t>https://hivdb.stanford.edu/</w:t>
        </w:r>
      </w:hyperlink>
      <w:r w:rsidR="00CB5C39">
        <w:rPr>
          <w:rFonts w:ascii="Times New Roman" w:hAnsi="Times New Roman" w:cs="Times New Roman"/>
          <w:szCs w:val="24"/>
        </w:rPr>
        <w:t>)</w:t>
      </w:r>
      <w:r w:rsidR="00C965EE"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w:t>
      </w:r>
      <w:r w:rsidR="00CB5C39">
        <w:rPr>
          <w:rFonts w:ascii="Times New Roman" w:hAnsi="Times New Roman" w:cs="Times New Roman"/>
          <w:szCs w:val="24"/>
        </w:rPr>
        <w:t>se</w:t>
      </w:r>
      <w:r w:rsidR="005F6D6C">
        <w:rPr>
          <w:rFonts w:ascii="Times New Roman" w:hAnsi="Times New Roman" w:cs="Times New Roman"/>
          <w:szCs w:val="24"/>
        </w:rPr>
        <w:t xml:space="preserve"> susceptibility data were derived from assays performed using the</w:t>
      </w:r>
      <w:r w:rsidR="00C965EE" w:rsidRPr="00C965EE">
        <w:rPr>
          <w:rFonts w:ascii="Times New Roman" w:hAnsi="Times New Roman" w:cs="Times New Roman"/>
          <w:szCs w:val="24"/>
        </w:rPr>
        <w:t xml:space="preserve"> Monogram PhenoSense </w:t>
      </w:r>
      <w:r w:rsidR="005F6D6C">
        <w:rPr>
          <w:rFonts w:ascii="Times New Roman" w:hAnsi="Times New Roman" w:cs="Times New Roman"/>
          <w:szCs w:val="24"/>
        </w:rPr>
        <w:t>assay and the relatively similar</w:t>
      </w:r>
      <w:r w:rsidR="00C965EE"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00C965EE"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r w:rsidR="00B67051" w:rsidRPr="00985CF1">
        <w:rPr>
          <w:rFonts w:ascii="Times New Roman" w:hAnsi="Times New Roman" w:cs="Times New Roman"/>
          <w:szCs w:val="24"/>
        </w:rPr>
        <w:t xml:space="preserve">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A361BD" w:rsidRPr="00A361BD" w14:paraId="1F174D65" w14:textId="77777777" w:rsidTr="00FB45FB">
        <w:trPr>
          <w:trHeight w:val="260"/>
        </w:trPr>
        <w:tc>
          <w:tcPr>
            <w:tcW w:w="9558" w:type="dxa"/>
            <w:gridSpan w:val="6"/>
            <w:tcBorders>
              <w:bottom w:val="single" w:sz="4" w:space="0" w:color="auto"/>
            </w:tcBorders>
          </w:tcPr>
          <w:p w14:paraId="7F5FF3C2" w14:textId="566D4D2E" w:rsidR="00A361BD" w:rsidRPr="00FB45FB" w:rsidRDefault="00A361BD" w:rsidP="00DF404F">
            <w:pPr>
              <w:rPr>
                <w:rFonts w:ascii="Times New Roman" w:hAnsi="Times New Roman" w:cs="Times New Roman"/>
                <w:b/>
                <w:bCs/>
                <w:color w:val="000000"/>
                <w:szCs w:val="24"/>
              </w:rPr>
            </w:pPr>
            <w:r w:rsidRPr="00FB45FB">
              <w:rPr>
                <w:rFonts w:ascii="Times New Roman" w:hAnsi="Times New Roman" w:cs="Times New Roman"/>
                <w:b/>
                <w:bCs/>
                <w:color w:val="000000"/>
                <w:szCs w:val="24"/>
              </w:rPr>
              <w:t xml:space="preserve">Table 1. </w:t>
            </w:r>
            <w:r w:rsidR="00EA6F61" w:rsidRPr="00FB45FB">
              <w:rPr>
                <w:rFonts w:ascii="Times New Roman" w:hAnsi="Times New Roman" w:cs="Times New Roman"/>
                <w:b/>
                <w:bCs/>
                <w:color w:val="000000"/>
                <w:szCs w:val="24"/>
              </w:rPr>
              <w:t>Fold-change in DOR susceptibility associated with selected genotypes</w:t>
            </w:r>
          </w:p>
        </w:tc>
      </w:tr>
      <w:tr w:rsidR="00A361BD" w:rsidRPr="00A361BD" w14:paraId="1E6F70F0" w14:textId="77777777" w:rsidTr="00FB45FB">
        <w:trPr>
          <w:trHeight w:val="539"/>
        </w:trPr>
        <w:tc>
          <w:tcPr>
            <w:tcW w:w="1206" w:type="dxa"/>
            <w:tcBorders>
              <w:top w:val="single" w:sz="4" w:space="0" w:color="auto"/>
              <w:bottom w:val="single" w:sz="4" w:space="0" w:color="auto"/>
            </w:tcBorders>
            <w:hideMark/>
          </w:tcPr>
          <w:p w14:paraId="5C00CF2A" w14:textId="0DAB9D7F" w:rsidR="00A361BD" w:rsidRPr="00FB45FB" w:rsidRDefault="00EA6F61"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sidR="00FB45FB">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2618764B" w14:textId="1264F098" w:rsidR="00A361BD" w:rsidRPr="00FB45FB" w:rsidRDefault="00A361BD"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137EF4A3" w14:textId="7AC75B56"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087BDF72" w14:textId="484BB222"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Number of </w:t>
            </w:r>
            <w:r w:rsidR="00FB45FB">
              <w:rPr>
                <w:rFonts w:ascii="Times New Roman" w:hAnsi="Times New Roman" w:cs="Times New Roman"/>
                <w:b/>
                <w:bCs/>
                <w:color w:val="000000"/>
                <w:sz w:val="22"/>
                <w:szCs w:val="22"/>
              </w:rPr>
              <w:t>i</w:t>
            </w:r>
            <w:r w:rsidRPr="00FB45FB">
              <w:rPr>
                <w:rFonts w:ascii="Times New Roman" w:hAnsi="Times New Roman" w:cs="Times New Roman"/>
                <w:b/>
                <w:bCs/>
                <w:color w:val="000000"/>
                <w:sz w:val="22"/>
                <w:szCs w:val="22"/>
              </w:rPr>
              <w:t>solates</w:t>
            </w:r>
          </w:p>
        </w:tc>
        <w:tc>
          <w:tcPr>
            <w:tcW w:w="2151" w:type="dxa"/>
            <w:tcBorders>
              <w:top w:val="single" w:sz="4" w:space="0" w:color="auto"/>
              <w:bottom w:val="single" w:sz="4" w:space="0" w:color="auto"/>
            </w:tcBorders>
            <w:hideMark/>
          </w:tcPr>
          <w:p w14:paraId="1337BDCE" w14:textId="2FB99EE1" w:rsidR="00A361BD" w:rsidRPr="00FB45FB" w:rsidRDefault="00FB45FB"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Raw f</w:t>
            </w:r>
            <w:r w:rsidR="00A361BD" w:rsidRPr="00FB45FB">
              <w:rPr>
                <w:rFonts w:ascii="Times New Roman" w:hAnsi="Times New Roman" w:cs="Times New Roman"/>
                <w:b/>
                <w:bCs/>
                <w:color w:val="000000"/>
                <w:sz w:val="22"/>
                <w:szCs w:val="22"/>
              </w:rPr>
              <w:t>old</w:t>
            </w:r>
            <w:r>
              <w:rPr>
                <w:rFonts w:ascii="Times New Roman" w:hAnsi="Times New Roman" w:cs="Times New Roman"/>
                <w:b/>
                <w:bCs/>
                <w:color w:val="000000"/>
                <w:sz w:val="22"/>
                <w:szCs w:val="22"/>
              </w:rPr>
              <w:t>-change</w:t>
            </w:r>
            <w:r w:rsidR="00A361BD" w:rsidRPr="00FB45FB">
              <w:rPr>
                <w:rFonts w:ascii="Times New Roman" w:hAnsi="Times New Roman" w:cs="Times New Roman"/>
                <w:b/>
                <w:bCs/>
                <w:color w:val="000000"/>
                <w:sz w:val="22"/>
                <w:szCs w:val="22"/>
              </w:rPr>
              <w:t xml:space="preserve"> </w:t>
            </w:r>
            <w:r>
              <w:rPr>
                <w:rFonts w:ascii="Times New Roman" w:hAnsi="Times New Roman" w:cs="Times New Roman"/>
                <w:b/>
                <w:bCs/>
                <w:color w:val="000000"/>
                <w:sz w:val="22"/>
                <w:szCs w:val="22"/>
              </w:rPr>
              <w:t>v</w:t>
            </w:r>
            <w:r w:rsidR="00A361BD" w:rsidRPr="00FB45FB">
              <w:rPr>
                <w:rFonts w:ascii="Times New Roman" w:hAnsi="Times New Roman" w:cs="Times New Roman"/>
                <w:b/>
                <w:bCs/>
                <w:color w:val="000000"/>
                <w:sz w:val="22"/>
                <w:szCs w:val="22"/>
              </w:rPr>
              <w:t>alues</w:t>
            </w:r>
          </w:p>
        </w:tc>
        <w:tc>
          <w:tcPr>
            <w:tcW w:w="2050" w:type="dxa"/>
            <w:tcBorders>
              <w:top w:val="single" w:sz="4" w:space="0" w:color="auto"/>
              <w:bottom w:val="single" w:sz="4" w:space="0" w:color="auto"/>
            </w:tcBorders>
            <w:hideMark/>
          </w:tcPr>
          <w:p w14:paraId="35913372" w14:textId="2A63562C" w:rsidR="00A361BD" w:rsidRPr="00FB45FB" w:rsidRDefault="00A361BD"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Primary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 xml:space="preserve">ource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tudies</w:t>
            </w:r>
          </w:p>
        </w:tc>
      </w:tr>
      <w:tr w:rsidR="00A361BD" w:rsidRPr="00A361BD" w14:paraId="7A064A66" w14:textId="77777777" w:rsidTr="00FB45FB">
        <w:trPr>
          <w:trHeight w:val="340"/>
        </w:trPr>
        <w:tc>
          <w:tcPr>
            <w:tcW w:w="1206" w:type="dxa"/>
            <w:vMerge w:val="restart"/>
            <w:tcBorders>
              <w:top w:val="single" w:sz="4" w:space="0" w:color="auto"/>
            </w:tcBorders>
            <w:vAlign w:val="center"/>
            <w:hideMark/>
          </w:tcPr>
          <w:p w14:paraId="344C5678" w14:textId="19FBFF28" w:rsidR="00A361BD"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w:t>
            </w:r>
            <w:r w:rsidR="004D4709">
              <w:rPr>
                <w:rFonts w:ascii="Times New Roman" w:hAnsi="Times New Roman" w:cs="Times New Roman"/>
                <w:b/>
                <w:bCs/>
                <w:color w:val="000000"/>
                <w:sz w:val="22"/>
                <w:szCs w:val="22"/>
              </w:rPr>
              <w:t>e</w:t>
            </w:r>
            <w:r>
              <w:rPr>
                <w:rFonts w:ascii="Times New Roman" w:hAnsi="Times New Roman" w:cs="Times New Roman"/>
                <w:b/>
                <w:bCs/>
                <w:color w:val="000000"/>
                <w:sz w:val="22"/>
                <w:szCs w:val="22"/>
              </w:rPr>
              <w:t>ptible</w:t>
            </w:r>
          </w:p>
        </w:tc>
        <w:tc>
          <w:tcPr>
            <w:tcW w:w="1648" w:type="dxa"/>
            <w:tcBorders>
              <w:top w:val="single" w:sz="4" w:space="0" w:color="auto"/>
            </w:tcBorders>
            <w:hideMark/>
          </w:tcPr>
          <w:p w14:paraId="6F9E04AB" w14:textId="5B2CDBF8"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504" w:type="dxa"/>
            <w:tcBorders>
              <w:top w:val="single" w:sz="4" w:space="0" w:color="auto"/>
            </w:tcBorders>
            <w:hideMark/>
          </w:tcPr>
          <w:p w14:paraId="1C26147A" w14:textId="06FA533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1.1</w:t>
            </w:r>
          </w:p>
        </w:tc>
        <w:tc>
          <w:tcPr>
            <w:tcW w:w="999" w:type="dxa"/>
            <w:tcBorders>
              <w:top w:val="single" w:sz="4" w:space="0" w:color="auto"/>
            </w:tcBorders>
            <w:hideMark/>
          </w:tcPr>
          <w:p w14:paraId="7BEC45A3" w14:textId="17D7EE86"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2</w:t>
            </w:r>
          </w:p>
        </w:tc>
        <w:tc>
          <w:tcPr>
            <w:tcW w:w="2151" w:type="dxa"/>
            <w:tcBorders>
              <w:top w:val="single" w:sz="4" w:space="0" w:color="auto"/>
            </w:tcBorders>
            <w:hideMark/>
          </w:tcPr>
          <w:p w14:paraId="32387CB2" w14:textId="4CEC9951"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[0.8, 1.4]</w:t>
            </w:r>
          </w:p>
        </w:tc>
        <w:tc>
          <w:tcPr>
            <w:tcW w:w="2050" w:type="dxa"/>
            <w:tcBorders>
              <w:top w:val="single" w:sz="4" w:space="0" w:color="auto"/>
            </w:tcBorders>
            <w:hideMark/>
          </w:tcPr>
          <w:p w14:paraId="3C148385" w14:textId="608E8998" w:rsidR="00A361BD" w:rsidRPr="00FB45FB" w:rsidRDefault="005170F9"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{"citationID":"fElh6OGk","properties":{"unsorted":false,"formattedCitation":"\\super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00F77AFE"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F77AFE"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00F77AFE" w:rsidRPr="00FB45FB">
              <w:rPr>
                <w:rFonts w:ascii="Times New Roman" w:hAnsi="Times New Roman" w:cs="Times New Roman"/>
                <w:color w:val="000000"/>
                <w:sz w:val="22"/>
                <w:szCs w:val="22"/>
              </w:rPr>
              <w:fldChar w:fldCharType="end"/>
            </w:r>
          </w:p>
        </w:tc>
      </w:tr>
      <w:tr w:rsidR="00A361BD" w:rsidRPr="00A361BD" w14:paraId="4E89E4C9" w14:textId="77777777" w:rsidTr="00FB45FB">
        <w:trPr>
          <w:trHeight w:val="340"/>
        </w:trPr>
        <w:tc>
          <w:tcPr>
            <w:tcW w:w="1206" w:type="dxa"/>
            <w:vMerge/>
            <w:hideMark/>
          </w:tcPr>
          <w:p w14:paraId="5E611706" w14:textId="1CD29A91" w:rsidR="00A361BD" w:rsidRPr="00FB45FB" w:rsidRDefault="00A361BD" w:rsidP="00FB45FB">
            <w:pPr>
              <w:rPr>
                <w:rFonts w:ascii="Times New Roman" w:hAnsi="Times New Roman" w:cs="Times New Roman"/>
                <w:color w:val="000000"/>
                <w:sz w:val="22"/>
                <w:szCs w:val="22"/>
              </w:rPr>
            </w:pPr>
          </w:p>
        </w:tc>
        <w:tc>
          <w:tcPr>
            <w:tcW w:w="1648" w:type="dxa"/>
            <w:hideMark/>
          </w:tcPr>
          <w:p w14:paraId="4DBD37A4" w14:textId="32D1BB2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504" w:type="dxa"/>
            <w:hideMark/>
          </w:tcPr>
          <w:p w14:paraId="6F0C6F15" w14:textId="5804712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w:t>
            </w:r>
          </w:p>
        </w:tc>
        <w:tc>
          <w:tcPr>
            <w:tcW w:w="999" w:type="dxa"/>
            <w:hideMark/>
          </w:tcPr>
          <w:p w14:paraId="4B0E7708" w14:textId="407C5613"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04F9583C" w14:textId="5D0A27D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[0.6, 1.2, 1.2, 1.3, 2.8, 3.0]</w:t>
            </w:r>
          </w:p>
        </w:tc>
        <w:tc>
          <w:tcPr>
            <w:tcW w:w="2050" w:type="dxa"/>
            <w:hideMark/>
          </w:tcPr>
          <w:p w14:paraId="6CBA9F9B" w14:textId="2A92F123" w:rsidR="00A361BD" w:rsidRPr="00FB45FB" w:rsidRDefault="00F8679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{"citationID":"OQAQvJEJ","properties":{"unsorted":false,"formattedCitation":"\\super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4772D7A5" w14:textId="77777777" w:rsidTr="00FB45FB">
        <w:trPr>
          <w:trHeight w:val="340"/>
        </w:trPr>
        <w:tc>
          <w:tcPr>
            <w:tcW w:w="1206" w:type="dxa"/>
            <w:vMerge/>
            <w:hideMark/>
          </w:tcPr>
          <w:p w14:paraId="1B1AC704" w14:textId="17B3CB05" w:rsidR="00A361BD" w:rsidRPr="00FB45FB" w:rsidRDefault="00A361BD" w:rsidP="00FB45FB">
            <w:pPr>
              <w:rPr>
                <w:rFonts w:ascii="Times New Roman" w:hAnsi="Times New Roman" w:cs="Times New Roman"/>
                <w:color w:val="000000"/>
                <w:sz w:val="22"/>
                <w:szCs w:val="22"/>
              </w:rPr>
            </w:pPr>
          </w:p>
        </w:tc>
        <w:tc>
          <w:tcPr>
            <w:tcW w:w="1648" w:type="dxa"/>
            <w:hideMark/>
          </w:tcPr>
          <w:p w14:paraId="6D51AFAE" w14:textId="295C1CEB"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504" w:type="dxa"/>
            <w:hideMark/>
          </w:tcPr>
          <w:p w14:paraId="71CD8E22" w14:textId="77A2853E"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w:t>
            </w:r>
          </w:p>
        </w:tc>
        <w:tc>
          <w:tcPr>
            <w:tcW w:w="999" w:type="dxa"/>
            <w:hideMark/>
          </w:tcPr>
          <w:p w14:paraId="75D2AC27" w14:textId="63152DD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2E235379" w14:textId="2BD5B8C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 1.3, 1.5, 6.0]</w:t>
            </w:r>
          </w:p>
        </w:tc>
        <w:tc>
          <w:tcPr>
            <w:tcW w:w="2050" w:type="dxa"/>
            <w:hideMark/>
          </w:tcPr>
          <w:p w14:paraId="1C4613D0" w14:textId="7350F404" w:rsidR="00A361BD" w:rsidRPr="00FB45FB" w:rsidRDefault="009B4EB6"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{"citationID":"TUXQIXQi","properties":{"unsorted":false,"formattedCitation":"\\super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27DE1F07" w14:textId="77777777" w:rsidTr="00FB45FB">
        <w:trPr>
          <w:trHeight w:val="359"/>
        </w:trPr>
        <w:tc>
          <w:tcPr>
            <w:tcW w:w="1206" w:type="dxa"/>
            <w:vMerge/>
            <w:tcBorders>
              <w:bottom w:val="single" w:sz="4" w:space="0" w:color="auto"/>
            </w:tcBorders>
            <w:hideMark/>
          </w:tcPr>
          <w:p w14:paraId="1BC7C0EA" w14:textId="322E0F40" w:rsidR="00A361BD" w:rsidRPr="00FB45FB" w:rsidRDefault="00A361BD" w:rsidP="00FB45FB">
            <w:pPr>
              <w:rPr>
                <w:rFonts w:ascii="Times New Roman" w:hAnsi="Times New Roman" w:cs="Times New Roman"/>
                <w:color w:val="000000"/>
                <w:sz w:val="22"/>
                <w:szCs w:val="22"/>
              </w:rPr>
            </w:pPr>
          </w:p>
        </w:tc>
        <w:tc>
          <w:tcPr>
            <w:tcW w:w="1648" w:type="dxa"/>
            <w:tcBorders>
              <w:bottom w:val="single" w:sz="4" w:space="0" w:color="auto"/>
            </w:tcBorders>
            <w:hideMark/>
          </w:tcPr>
          <w:p w14:paraId="5940A108" w14:textId="223F908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504" w:type="dxa"/>
            <w:tcBorders>
              <w:bottom w:val="single" w:sz="4" w:space="0" w:color="auto"/>
            </w:tcBorders>
            <w:hideMark/>
          </w:tcPr>
          <w:p w14:paraId="1F6E8973" w14:textId="7AC854E2"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2.7</w:t>
            </w:r>
          </w:p>
        </w:tc>
        <w:tc>
          <w:tcPr>
            <w:tcW w:w="999" w:type="dxa"/>
            <w:tcBorders>
              <w:bottom w:val="single" w:sz="4" w:space="0" w:color="auto"/>
            </w:tcBorders>
            <w:hideMark/>
          </w:tcPr>
          <w:p w14:paraId="6E9BB693" w14:textId="67EB6CE5"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tcBorders>
              <w:bottom w:val="single" w:sz="4" w:space="0" w:color="auto"/>
            </w:tcBorders>
            <w:hideMark/>
          </w:tcPr>
          <w:p w14:paraId="66B80F46" w14:textId="76EFA686"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[1.8, 3.6]</w:t>
            </w:r>
          </w:p>
        </w:tc>
        <w:tc>
          <w:tcPr>
            <w:tcW w:w="2050" w:type="dxa"/>
            <w:tcBorders>
              <w:bottom w:val="single" w:sz="4" w:space="0" w:color="auto"/>
            </w:tcBorders>
            <w:hideMark/>
          </w:tcPr>
          <w:p w14:paraId="3E2EE398" w14:textId="59BABF21" w:rsidR="00A361BD" w:rsidRPr="00FB45FB" w:rsidRDefault="009B4EB6" w:rsidP="00FB45FB">
            <w:pPr>
              <w:jc w:val="center"/>
              <w:rPr>
                <w:rFonts w:ascii="Times New Roman" w:hAnsi="Times New Roman" w:cs="Times New Roman"/>
                <w:color w:val="000000"/>
                <w:sz w:val="22"/>
                <w:szCs w:val="22"/>
              </w:rPr>
            </w:pPr>
            <w:bookmarkStart w:id="0" w:name="_Hlk230520854"/>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{"citationID":"qNCfGXhs","properties":{"unsorted":false,"formattedCitation":"\\super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bookmarkEnd w:id="0"/>
          </w:p>
        </w:tc>
      </w:tr>
      <w:tr w:rsidR="008D0480" w:rsidRPr="00A361BD" w14:paraId="5BC6997C" w14:textId="77777777" w:rsidTr="00FB45FB">
        <w:trPr>
          <w:trHeight w:val="340"/>
        </w:trPr>
        <w:tc>
          <w:tcPr>
            <w:tcW w:w="1206" w:type="dxa"/>
            <w:vMerge w:val="restart"/>
            <w:tcBorders>
              <w:top w:val="single" w:sz="4" w:space="0" w:color="auto"/>
            </w:tcBorders>
            <w:vAlign w:val="center"/>
            <w:hideMark/>
          </w:tcPr>
          <w:p w14:paraId="0F591D19" w14:textId="623F5516" w:rsidR="008D0480"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648" w:type="dxa"/>
            <w:tcBorders>
              <w:top w:val="single" w:sz="4" w:space="0" w:color="auto"/>
            </w:tcBorders>
            <w:hideMark/>
          </w:tcPr>
          <w:p w14:paraId="68BDFB7B" w14:textId="05D46D07"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504" w:type="dxa"/>
            <w:tcBorders>
              <w:top w:val="single" w:sz="4" w:space="0" w:color="auto"/>
            </w:tcBorders>
            <w:hideMark/>
          </w:tcPr>
          <w:p w14:paraId="5B658EC0" w14:textId="370AECC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11</w:t>
            </w:r>
          </w:p>
        </w:tc>
        <w:tc>
          <w:tcPr>
            <w:tcW w:w="999" w:type="dxa"/>
            <w:tcBorders>
              <w:top w:val="single" w:sz="4" w:space="0" w:color="auto"/>
            </w:tcBorders>
            <w:hideMark/>
          </w:tcPr>
          <w:p w14:paraId="62223942" w14:textId="062F39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3</w:t>
            </w:r>
          </w:p>
        </w:tc>
        <w:tc>
          <w:tcPr>
            <w:tcW w:w="2151" w:type="dxa"/>
            <w:tcBorders>
              <w:top w:val="single" w:sz="4" w:space="0" w:color="auto"/>
            </w:tcBorders>
            <w:hideMark/>
          </w:tcPr>
          <w:p w14:paraId="55FB8D30" w14:textId="5D4D0D0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E646014" w14:textId="029A1262" w:rsidR="008D0480" w:rsidRPr="00FB45FB" w:rsidRDefault="00554FD7"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Asante-Appiah et al (2021)</w:t>
            </w:r>
            <w:r w:rsidR="00162BB5"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{"citationID":"EX1gvYm7","properties":{"unsorted":false,"formattedCitation":"\\super 23\\nosupersub{}","plainCitation":"23","noteIndex":0},"citationItems":[{"id":131,"uris":["http://zotero.org/users/19404620/items/B8KKE9VH"],"itemData":{"id":131,"type":"article-journal","abstract":"Clinical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00162BB5"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23</w:t>
            </w:r>
            <w:r w:rsidR="00162BB5" w:rsidRPr="00FB45FB">
              <w:rPr>
                <w:rFonts w:ascii="Times New Roman" w:hAnsi="Times New Roman" w:cs="Times New Roman"/>
                <w:color w:val="000000"/>
                <w:sz w:val="22"/>
                <w:szCs w:val="22"/>
              </w:rPr>
              <w:fldChar w:fldCharType="end"/>
            </w:r>
          </w:p>
        </w:tc>
      </w:tr>
      <w:tr w:rsidR="008D0480" w:rsidRPr="00A361BD" w14:paraId="62F2CBA4" w14:textId="77777777" w:rsidTr="00FB45FB">
        <w:trPr>
          <w:trHeight w:val="340"/>
        </w:trPr>
        <w:tc>
          <w:tcPr>
            <w:tcW w:w="1206" w:type="dxa"/>
            <w:vMerge/>
            <w:hideMark/>
          </w:tcPr>
          <w:p w14:paraId="6CFB090E" w14:textId="59DC4E76" w:rsidR="008D0480" w:rsidRPr="00FB45FB" w:rsidRDefault="008D0480" w:rsidP="00FB45FB">
            <w:pPr>
              <w:rPr>
                <w:rFonts w:ascii="Times New Roman" w:hAnsi="Times New Roman" w:cs="Times New Roman"/>
                <w:color w:val="000000"/>
                <w:sz w:val="22"/>
                <w:szCs w:val="22"/>
              </w:rPr>
            </w:pPr>
          </w:p>
        </w:tc>
        <w:tc>
          <w:tcPr>
            <w:tcW w:w="1648" w:type="dxa"/>
            <w:hideMark/>
          </w:tcPr>
          <w:p w14:paraId="75974436" w14:textId="4492718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504" w:type="dxa"/>
            <w:hideMark/>
          </w:tcPr>
          <w:p w14:paraId="4720BBA3" w14:textId="0E45969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9.6</w:t>
            </w:r>
          </w:p>
        </w:tc>
        <w:tc>
          <w:tcPr>
            <w:tcW w:w="999" w:type="dxa"/>
            <w:hideMark/>
          </w:tcPr>
          <w:p w14:paraId="4DCB24F8" w14:textId="4078066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56263F" w14:textId="6AD2C46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[7.1, 9.6, 28]</w:t>
            </w:r>
          </w:p>
        </w:tc>
        <w:tc>
          <w:tcPr>
            <w:tcW w:w="2050" w:type="dxa"/>
            <w:hideMark/>
          </w:tcPr>
          <w:p w14:paraId="550604CB" w14:textId="77245B4F" w:rsidR="008D0480" w:rsidRPr="00FB45FB" w:rsidRDefault="0016662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{"citationID":"PF84jPK8","properties":{"unsorted":false,"formattedCitation":"\\super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006A57E7"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Feng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{"citationID":"Yngmo9Y2","properties":{"unsorted":false,"formattedCitation":"\\super 17\\nosupersub{}","plainCitation":"17","noteIndex":0},"citationItems":[{"id":200,"uris":["http://zotero.org/users/19404620/items/3N7LAJL2"],"itemData":{"id":200,"type":"article-journal","abstract":"Doravirine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17</w:t>
            </w:r>
            <w:r w:rsidR="006A57E7" w:rsidRPr="00FB45FB">
              <w:rPr>
                <w:rFonts w:ascii="Times New Roman" w:hAnsi="Times New Roman" w:cs="Times New Roman"/>
                <w:color w:val="000000"/>
                <w:sz w:val="22"/>
                <w:szCs w:val="22"/>
              </w:rPr>
              <w:fldChar w:fldCharType="end"/>
            </w:r>
          </w:p>
        </w:tc>
      </w:tr>
      <w:tr w:rsidR="008D0480" w:rsidRPr="00A361BD" w14:paraId="4B733545" w14:textId="77777777" w:rsidTr="00FB45FB">
        <w:trPr>
          <w:trHeight w:val="340"/>
        </w:trPr>
        <w:tc>
          <w:tcPr>
            <w:tcW w:w="1206" w:type="dxa"/>
            <w:vMerge/>
            <w:hideMark/>
          </w:tcPr>
          <w:p w14:paraId="177B4200" w14:textId="6534F1AD" w:rsidR="008D0480" w:rsidRPr="00FB45FB" w:rsidRDefault="008D0480" w:rsidP="00FB45FB">
            <w:pPr>
              <w:rPr>
                <w:rFonts w:ascii="Times New Roman" w:hAnsi="Times New Roman" w:cs="Times New Roman"/>
                <w:color w:val="000000"/>
                <w:sz w:val="22"/>
                <w:szCs w:val="22"/>
              </w:rPr>
            </w:pPr>
          </w:p>
        </w:tc>
        <w:tc>
          <w:tcPr>
            <w:tcW w:w="1648" w:type="dxa"/>
            <w:hideMark/>
          </w:tcPr>
          <w:p w14:paraId="6E9FB14B" w14:textId="45D46E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504" w:type="dxa"/>
            <w:hideMark/>
          </w:tcPr>
          <w:p w14:paraId="7F618C65" w14:textId="5A275E6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999" w:type="dxa"/>
            <w:hideMark/>
          </w:tcPr>
          <w:p w14:paraId="5C53EC29" w14:textId="7B99F43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A97C946" w14:textId="657DB2A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2050" w:type="dxa"/>
            <w:hideMark/>
          </w:tcPr>
          <w:p w14:paraId="4C1136E1" w14:textId="53785E66"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{"citationID":"A8Oinhsw","properties":{"unsorted":false,"formattedCitation":"\\super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4AFF8098" w14:textId="77777777" w:rsidTr="00FB45FB">
        <w:trPr>
          <w:trHeight w:val="340"/>
        </w:trPr>
        <w:tc>
          <w:tcPr>
            <w:tcW w:w="1206" w:type="dxa"/>
            <w:vMerge/>
            <w:hideMark/>
          </w:tcPr>
          <w:p w14:paraId="1DCF889C" w14:textId="7EB39C0F" w:rsidR="008D0480" w:rsidRPr="00FB45FB" w:rsidRDefault="008D0480" w:rsidP="00FB45FB">
            <w:pPr>
              <w:rPr>
                <w:rFonts w:ascii="Times New Roman" w:hAnsi="Times New Roman" w:cs="Times New Roman"/>
                <w:color w:val="000000"/>
                <w:sz w:val="22"/>
                <w:szCs w:val="22"/>
              </w:rPr>
            </w:pPr>
          </w:p>
        </w:tc>
        <w:tc>
          <w:tcPr>
            <w:tcW w:w="1648" w:type="dxa"/>
            <w:hideMark/>
          </w:tcPr>
          <w:p w14:paraId="3DB89BC5" w14:textId="5DB3F7A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504" w:type="dxa"/>
            <w:hideMark/>
          </w:tcPr>
          <w:p w14:paraId="6E3C98E6" w14:textId="37CBD045"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999" w:type="dxa"/>
            <w:hideMark/>
          </w:tcPr>
          <w:p w14:paraId="25C2A292" w14:textId="58BA53D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36E38DFC" w14:textId="3F46E14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2050" w:type="dxa"/>
            <w:hideMark/>
          </w:tcPr>
          <w:p w14:paraId="52CAD94F" w14:textId="73B14AC1"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{"citationID":"lcT7Ijjb","properties":{"unsorted":false,"formattedCitation":"\\super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601122CD" w14:textId="77777777" w:rsidTr="00FB45FB">
        <w:trPr>
          <w:trHeight w:val="340"/>
        </w:trPr>
        <w:tc>
          <w:tcPr>
            <w:tcW w:w="1206" w:type="dxa"/>
            <w:vMerge/>
            <w:hideMark/>
          </w:tcPr>
          <w:p w14:paraId="46F51957" w14:textId="1D5A78B9" w:rsidR="008D0480" w:rsidRPr="00FB45FB" w:rsidRDefault="008D0480" w:rsidP="00FB45FB">
            <w:pPr>
              <w:rPr>
                <w:rFonts w:ascii="Times New Roman" w:hAnsi="Times New Roman" w:cs="Times New Roman"/>
                <w:color w:val="000000"/>
                <w:sz w:val="22"/>
                <w:szCs w:val="22"/>
              </w:rPr>
            </w:pPr>
          </w:p>
        </w:tc>
        <w:tc>
          <w:tcPr>
            <w:tcW w:w="1648" w:type="dxa"/>
            <w:hideMark/>
          </w:tcPr>
          <w:p w14:paraId="43D9FB71" w14:textId="67126C4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504" w:type="dxa"/>
            <w:hideMark/>
          </w:tcPr>
          <w:p w14:paraId="1C8FF9EA" w14:textId="7DC3DF6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999" w:type="dxa"/>
            <w:hideMark/>
          </w:tcPr>
          <w:p w14:paraId="5A735402" w14:textId="638C071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56AADF1" w14:textId="48B6636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2050" w:type="dxa"/>
            <w:hideMark/>
          </w:tcPr>
          <w:p w14:paraId="389FA887" w14:textId="64073D13" w:rsidR="008D0480" w:rsidRPr="00FB45FB" w:rsidRDefault="0034497A"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5017A6DF" w14:textId="77777777" w:rsidTr="00FB45FB">
        <w:trPr>
          <w:trHeight w:val="340"/>
        </w:trPr>
        <w:tc>
          <w:tcPr>
            <w:tcW w:w="1206" w:type="dxa"/>
            <w:vMerge/>
            <w:hideMark/>
          </w:tcPr>
          <w:p w14:paraId="0C70F18F" w14:textId="400B1FF9" w:rsidR="008D0480" w:rsidRPr="00FB45FB" w:rsidRDefault="008D0480" w:rsidP="00FB45FB">
            <w:pPr>
              <w:rPr>
                <w:rFonts w:ascii="Times New Roman" w:hAnsi="Times New Roman" w:cs="Times New Roman"/>
                <w:color w:val="000000"/>
                <w:sz w:val="22"/>
                <w:szCs w:val="22"/>
              </w:rPr>
            </w:pPr>
          </w:p>
        </w:tc>
        <w:tc>
          <w:tcPr>
            <w:tcW w:w="1648" w:type="dxa"/>
            <w:hideMark/>
          </w:tcPr>
          <w:p w14:paraId="63EFC1AE" w14:textId="48E74B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504" w:type="dxa"/>
            <w:hideMark/>
          </w:tcPr>
          <w:p w14:paraId="7FE61C07" w14:textId="6A4EF0A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149</w:t>
            </w:r>
          </w:p>
        </w:tc>
        <w:tc>
          <w:tcPr>
            <w:tcW w:w="999" w:type="dxa"/>
            <w:hideMark/>
          </w:tcPr>
          <w:p w14:paraId="39CE475B" w14:textId="7E8E058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39944FD7" w14:textId="795CD43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116, 116, 181, 181, 182]</w:t>
            </w:r>
          </w:p>
        </w:tc>
        <w:tc>
          <w:tcPr>
            <w:tcW w:w="2050" w:type="dxa"/>
            <w:hideMark/>
          </w:tcPr>
          <w:p w14:paraId="09C7C686" w14:textId="63842FC1"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{"citationID":"SNOn14BB","properties":{"unsorted":false,"formattedCitation":"\\super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Hazuda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{"citationID":"iEuvspek","properties":{"unsorted":false,"formattedCitation":"\\super 25\\nosupersub{}","plainCitation":"25","noteIndex":0},"citationItems":[{"id":210,"uris":["http://zotero.org/users/19404620/items/JW4TMFXK"],"itemData":{"id":210,"type":"webpage","publisher":"22nd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{"citationID":"r5HkVSPs","properties":{"unsorted":false,"formattedCitation":"\\super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689AAA5F" w14:textId="77777777" w:rsidTr="00FB45FB">
        <w:trPr>
          <w:trHeight w:val="340"/>
        </w:trPr>
        <w:tc>
          <w:tcPr>
            <w:tcW w:w="1206" w:type="dxa"/>
            <w:vMerge/>
            <w:hideMark/>
          </w:tcPr>
          <w:p w14:paraId="36698896" w14:textId="4B20724E" w:rsidR="008D0480" w:rsidRPr="00FB45FB" w:rsidRDefault="008D0480" w:rsidP="00FB45FB">
            <w:pPr>
              <w:rPr>
                <w:rFonts w:ascii="Times New Roman" w:hAnsi="Times New Roman" w:cs="Times New Roman"/>
                <w:color w:val="000000"/>
                <w:sz w:val="22"/>
                <w:szCs w:val="22"/>
              </w:rPr>
            </w:pPr>
          </w:p>
        </w:tc>
        <w:tc>
          <w:tcPr>
            <w:tcW w:w="1648" w:type="dxa"/>
            <w:hideMark/>
          </w:tcPr>
          <w:p w14:paraId="09A9B897" w14:textId="6C78A5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504" w:type="dxa"/>
            <w:hideMark/>
          </w:tcPr>
          <w:p w14:paraId="4F1B2104" w14:textId="185F674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153</w:t>
            </w:r>
          </w:p>
        </w:tc>
        <w:tc>
          <w:tcPr>
            <w:tcW w:w="999" w:type="dxa"/>
            <w:hideMark/>
          </w:tcPr>
          <w:p w14:paraId="5ECE7E14" w14:textId="696831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32C7A720" w14:textId="7CDC29B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210]</w:t>
            </w:r>
          </w:p>
        </w:tc>
        <w:tc>
          <w:tcPr>
            <w:tcW w:w="2050" w:type="dxa"/>
            <w:hideMark/>
          </w:tcPr>
          <w:p w14:paraId="306332A5" w14:textId="155257AF"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{"citationID":"y9MGbkL3","properties":{"unsorted":false,"formattedCitation":"\\super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2A59639A" w14:textId="77777777" w:rsidTr="00B51E09">
        <w:trPr>
          <w:trHeight w:val="386"/>
        </w:trPr>
        <w:tc>
          <w:tcPr>
            <w:tcW w:w="1206" w:type="dxa"/>
            <w:vMerge/>
            <w:hideMark/>
          </w:tcPr>
          <w:p w14:paraId="1086F4D4" w14:textId="106F279A" w:rsidR="008D0480" w:rsidRPr="00FB45FB" w:rsidRDefault="008D0480" w:rsidP="00FB45FB">
            <w:pPr>
              <w:rPr>
                <w:rFonts w:ascii="Times New Roman" w:hAnsi="Times New Roman" w:cs="Times New Roman"/>
                <w:color w:val="000000"/>
                <w:sz w:val="22"/>
                <w:szCs w:val="22"/>
              </w:rPr>
            </w:pPr>
          </w:p>
        </w:tc>
        <w:tc>
          <w:tcPr>
            <w:tcW w:w="1648" w:type="dxa"/>
            <w:hideMark/>
          </w:tcPr>
          <w:p w14:paraId="246B153A" w14:textId="1E25B03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504" w:type="dxa"/>
            <w:hideMark/>
          </w:tcPr>
          <w:p w14:paraId="3B1A0BFE" w14:textId="3CD89E5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161</w:t>
            </w:r>
          </w:p>
        </w:tc>
        <w:tc>
          <w:tcPr>
            <w:tcW w:w="999" w:type="dxa"/>
            <w:hideMark/>
          </w:tcPr>
          <w:p w14:paraId="714AD268" w14:textId="396B07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5E76D664" w14:textId="46F9D32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[150, 173]</w:t>
            </w:r>
          </w:p>
        </w:tc>
        <w:tc>
          <w:tcPr>
            <w:tcW w:w="2050" w:type="dxa"/>
            <w:hideMark/>
          </w:tcPr>
          <w:p w14:paraId="100BA8DA" w14:textId="58AA1097" w:rsidR="008D0480" w:rsidRPr="00FB45FB" w:rsidRDefault="007F3EA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Feng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{"citationID":"DnX8jZfI","properties":{"unsorted":false,"formattedCitation":"\\super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Smith et al (2016)</w:t>
            </w:r>
            <w:r w:rsidR="00153DE6"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{"citationID":"jt8k6vke","properties":{"unsorted":false,"formattedCitation":"\\super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00153DE6"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00153DE6" w:rsidRPr="00FB45FB">
              <w:rPr>
                <w:rFonts w:ascii="Times New Roman" w:hAnsi="Times New Roman" w:cs="Times New Roman"/>
                <w:color w:val="000000"/>
                <w:sz w:val="22"/>
                <w:szCs w:val="22"/>
              </w:rPr>
              <w:fldChar w:fldCharType="end"/>
            </w:r>
          </w:p>
        </w:tc>
      </w:tr>
      <w:tr w:rsidR="00B51E09" w:rsidRPr="00A361BD" w14:paraId="6BDBEEC2" w14:textId="77777777" w:rsidTr="00B51E09">
        <w:trPr>
          <w:trHeight w:val="386"/>
        </w:trPr>
        <w:tc>
          <w:tcPr>
            <w:tcW w:w="1206" w:type="dxa"/>
            <w:tcBorders>
              <w:bottom w:val="single" w:sz="4" w:space="0" w:color="auto"/>
            </w:tcBorders>
          </w:tcPr>
          <w:p w14:paraId="7AEB7B8E" w14:textId="77777777" w:rsidR="00B51E09" w:rsidRPr="00FB45FB" w:rsidRDefault="00B51E09" w:rsidP="00B51E09">
            <w:pPr>
              <w:rPr>
                <w:rFonts w:ascii="Times New Roman" w:hAnsi="Times New Roman" w:cs="Times New Roman"/>
                <w:color w:val="000000"/>
                <w:sz w:val="22"/>
                <w:szCs w:val="22"/>
              </w:rPr>
            </w:pPr>
          </w:p>
        </w:tc>
        <w:tc>
          <w:tcPr>
            <w:tcW w:w="1648" w:type="dxa"/>
            <w:tcBorders>
              <w:bottom w:val="single" w:sz="4" w:space="0" w:color="auto"/>
            </w:tcBorders>
          </w:tcPr>
          <w:p w14:paraId="36EFF8E3" w14:textId="08A5044D"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504" w:type="dxa"/>
            <w:tcBorders>
              <w:bottom w:val="single" w:sz="4" w:space="0" w:color="auto"/>
            </w:tcBorders>
          </w:tcPr>
          <w:p w14:paraId="2F2BF183" w14:textId="3DA2AF8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999" w:type="dxa"/>
            <w:tcBorders>
              <w:bottom w:val="single" w:sz="4" w:space="0" w:color="auto"/>
            </w:tcBorders>
          </w:tcPr>
          <w:p w14:paraId="43DCE849" w14:textId="25339DD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CC80D1E" w14:textId="483A0602"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2050" w:type="dxa"/>
            <w:tcBorders>
              <w:bottom w:val="single" w:sz="4" w:space="0" w:color="auto"/>
            </w:tcBorders>
          </w:tcPr>
          <w:p w14:paraId="71ABEE25" w14:textId="50F5FD7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{"citationID":"0N5BrjjB","properties":{"unsorted":false,"formattedCitation":"\\super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B51E09" w:rsidRPr="00A361BD" w14:paraId="4671FBAB" w14:textId="77777777" w:rsidTr="00FB45FB">
        <w:trPr>
          <w:trHeight w:val="340"/>
        </w:trPr>
        <w:tc>
          <w:tcPr>
            <w:tcW w:w="1206" w:type="dxa"/>
            <w:vMerge w:val="restart"/>
            <w:tcBorders>
              <w:top w:val="single" w:sz="4" w:space="0" w:color="auto"/>
            </w:tcBorders>
            <w:vAlign w:val="center"/>
            <w:hideMark/>
          </w:tcPr>
          <w:p w14:paraId="424ECB75" w14:textId="32B01764" w:rsidR="00B51E09" w:rsidRPr="00FB45FB" w:rsidRDefault="00B51E09" w:rsidP="00B51E09">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lastRenderedPageBreak/>
              <w:t xml:space="preserve">Uncertain </w:t>
            </w:r>
          </w:p>
        </w:tc>
        <w:tc>
          <w:tcPr>
            <w:tcW w:w="1648" w:type="dxa"/>
            <w:tcBorders>
              <w:top w:val="single" w:sz="4" w:space="0" w:color="auto"/>
            </w:tcBorders>
            <w:hideMark/>
          </w:tcPr>
          <w:p w14:paraId="63E03067" w14:textId="35D3F78C"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504" w:type="dxa"/>
            <w:tcBorders>
              <w:top w:val="single" w:sz="4" w:space="0" w:color="auto"/>
            </w:tcBorders>
            <w:hideMark/>
          </w:tcPr>
          <w:p w14:paraId="2AADC4A6" w14:textId="03B7AE77"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999" w:type="dxa"/>
            <w:tcBorders>
              <w:top w:val="single" w:sz="4" w:space="0" w:color="auto"/>
            </w:tcBorders>
            <w:hideMark/>
          </w:tcPr>
          <w:p w14:paraId="675DD6FD" w14:textId="5581BE69"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tcBorders>
              <w:top w:val="single" w:sz="4" w:space="0" w:color="auto"/>
            </w:tcBorders>
            <w:hideMark/>
          </w:tcPr>
          <w:p w14:paraId="160D9B14" w14:textId="5FA0722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2050" w:type="dxa"/>
            <w:tcBorders>
              <w:top w:val="single" w:sz="4" w:space="0" w:color="auto"/>
            </w:tcBorders>
            <w:hideMark/>
          </w:tcPr>
          <w:p w14:paraId="230308B6" w14:textId="4DD2E45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{"citationID":"5ImOAsH1","properties":{"unsorted":false,"formattedCitation":"\\super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7334A81D" w14:textId="77777777" w:rsidTr="00FB45FB">
        <w:trPr>
          <w:trHeight w:val="467"/>
        </w:trPr>
        <w:tc>
          <w:tcPr>
            <w:tcW w:w="1206" w:type="dxa"/>
            <w:vMerge/>
            <w:hideMark/>
          </w:tcPr>
          <w:p w14:paraId="1DD0A8E3" w14:textId="3F389E3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68EBD72B" w14:textId="7FC9519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504" w:type="dxa"/>
            <w:hideMark/>
          </w:tcPr>
          <w:p w14:paraId="3AAA6A22" w14:textId="5127337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5.2</w:t>
            </w:r>
          </w:p>
        </w:tc>
        <w:tc>
          <w:tcPr>
            <w:tcW w:w="999" w:type="dxa"/>
            <w:hideMark/>
          </w:tcPr>
          <w:p w14:paraId="36B66834" w14:textId="5023334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0EC8622B" w14:textId="5E6CB2B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[1.5, 4.5, 5.9, 11]</w:t>
            </w:r>
          </w:p>
        </w:tc>
        <w:tc>
          <w:tcPr>
            <w:tcW w:w="2050" w:type="dxa"/>
            <w:hideMark/>
          </w:tcPr>
          <w:p w14:paraId="386AC5D7" w14:textId="29D20C2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{"citationID":"KFT3tPG6","properties":{"unsorted":false,"formattedCitation":"\\super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4A2A17DC" w14:textId="77777777" w:rsidTr="00FB45FB">
        <w:trPr>
          <w:trHeight w:val="521"/>
        </w:trPr>
        <w:tc>
          <w:tcPr>
            <w:tcW w:w="1206" w:type="dxa"/>
            <w:vMerge/>
            <w:hideMark/>
          </w:tcPr>
          <w:p w14:paraId="462246AA" w14:textId="3B6F024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2BFDB16A" w14:textId="53B5A48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504" w:type="dxa"/>
            <w:hideMark/>
          </w:tcPr>
          <w:p w14:paraId="3E8BF830" w14:textId="16BE9CFD"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6.8</w:t>
            </w:r>
          </w:p>
        </w:tc>
        <w:tc>
          <w:tcPr>
            <w:tcW w:w="999" w:type="dxa"/>
            <w:hideMark/>
          </w:tcPr>
          <w:p w14:paraId="1ABD2A9F" w14:textId="7BF4065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8</w:t>
            </w:r>
          </w:p>
        </w:tc>
        <w:tc>
          <w:tcPr>
            <w:tcW w:w="2151" w:type="dxa"/>
            <w:hideMark/>
          </w:tcPr>
          <w:p w14:paraId="6618DFCA" w14:textId="5856BEA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[2.7, 4.5, 4.6, 5.1, 8.4, 10, 11, 19]</w:t>
            </w:r>
          </w:p>
        </w:tc>
        <w:tc>
          <w:tcPr>
            <w:tcW w:w="2050" w:type="dxa"/>
            <w:hideMark/>
          </w:tcPr>
          <w:p w14:paraId="634E33E7" w14:textId="51F423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{"citationID":"pekGNnut","properties":{"unsorted":false,"formattedCitation":"\\super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1833A90" w14:textId="77777777" w:rsidTr="00FB45FB">
        <w:trPr>
          <w:trHeight w:val="350"/>
        </w:trPr>
        <w:tc>
          <w:tcPr>
            <w:tcW w:w="1206" w:type="dxa"/>
            <w:vMerge/>
            <w:hideMark/>
          </w:tcPr>
          <w:p w14:paraId="4BE21ED3" w14:textId="44A84A0F"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3CC55E91" w14:textId="1AF75F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504" w:type="dxa"/>
            <w:hideMark/>
          </w:tcPr>
          <w:p w14:paraId="7AC9B950" w14:textId="6E6988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7.8</w:t>
            </w:r>
          </w:p>
        </w:tc>
        <w:tc>
          <w:tcPr>
            <w:tcW w:w="999" w:type="dxa"/>
            <w:hideMark/>
          </w:tcPr>
          <w:p w14:paraId="27D72DB2" w14:textId="2F441EE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00D445" w14:textId="3FE1835E"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[5.7, 10]</w:t>
            </w:r>
          </w:p>
        </w:tc>
        <w:tc>
          <w:tcPr>
            <w:tcW w:w="2050" w:type="dxa"/>
            <w:hideMark/>
          </w:tcPr>
          <w:p w14:paraId="0BDBFCF0" w14:textId="01A10BD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{"citationID":"dk8ipzQr","properties":{"unsorted":false,"formattedCitation":"\\super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00F6CB4" w14:textId="77777777" w:rsidTr="00B51E09">
        <w:trPr>
          <w:trHeight w:val="350"/>
        </w:trPr>
        <w:tc>
          <w:tcPr>
            <w:tcW w:w="1206" w:type="dxa"/>
            <w:vMerge/>
            <w:tcBorders>
              <w:bottom w:val="single" w:sz="4" w:space="0" w:color="auto"/>
            </w:tcBorders>
          </w:tcPr>
          <w:p w14:paraId="6FC02FC1" w14:textId="77777777" w:rsidR="00B51E09" w:rsidRPr="00FB45FB" w:rsidRDefault="00B51E09" w:rsidP="00B51E09">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3AF4F0A1" w14:textId="53767FAE"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504" w:type="dxa"/>
            <w:tcBorders>
              <w:bottom w:val="single" w:sz="4" w:space="0" w:color="auto"/>
            </w:tcBorders>
          </w:tcPr>
          <w:p w14:paraId="61C03185" w14:textId="529610A5"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999" w:type="dxa"/>
            <w:tcBorders>
              <w:bottom w:val="single" w:sz="4" w:space="0" w:color="auto"/>
            </w:tcBorders>
          </w:tcPr>
          <w:p w14:paraId="25389DC6" w14:textId="620958D7"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8098256" w14:textId="56284184"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2050" w:type="dxa"/>
            <w:tcBorders>
              <w:bottom w:val="single" w:sz="4" w:space="0" w:color="auto"/>
            </w:tcBorders>
          </w:tcPr>
          <w:p w14:paraId="6FD9C2B4" w14:textId="07E97AF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{"citationID":"clMt889n","properties":{"unsorted":false,"formattedCitation":"\\super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bl>
    <w:p w14:paraId="3867819B" w14:textId="77777777" w:rsidR="000156E3" w:rsidRDefault="000156E3" w:rsidP="000156E3">
      <w:pPr>
        <w:rPr>
          <w:rFonts w:ascii="Times New Roman" w:hAnsi="Times New Roman" w:cs="Times New Roman"/>
          <w:b/>
          <w:bCs/>
          <w:szCs w:val="24"/>
          <w:u w:val="single"/>
        </w:rPr>
      </w:pPr>
    </w:p>
    <w:p w14:paraId="48414241" w14:textId="1541B8FA" w:rsidR="000156E3" w:rsidRPr="00B67051" w:rsidRDefault="000156E3" w:rsidP="000156E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RT-DOR </w:t>
      </w:r>
      <w:r w:rsidR="001A726C">
        <w:rPr>
          <w:rFonts w:ascii="Times New Roman" w:hAnsi="Times New Roman" w:cs="Times New Roman"/>
          <w:b/>
          <w:bCs/>
          <w:szCs w:val="24"/>
          <w:u w:val="single"/>
        </w:rPr>
        <w:t xml:space="preserve">binding </w:t>
      </w:r>
      <w:r w:rsidRPr="00D55273">
        <w:rPr>
          <w:rFonts w:ascii="Times New Roman" w:hAnsi="Times New Roman" w:cs="Times New Roman"/>
          <w:b/>
          <w:bCs/>
          <w:szCs w:val="24"/>
          <w:u w:val="single"/>
        </w:rPr>
        <w:t>energ</w:t>
      </w:r>
      <w:r w:rsidR="001A726C">
        <w:rPr>
          <w:rFonts w:ascii="Times New Roman" w:hAnsi="Times New Roman" w:cs="Times New Roman"/>
          <w:b/>
          <w:bCs/>
          <w:szCs w:val="24"/>
          <w:u w:val="single"/>
        </w:rPr>
        <w:t>y changes</w:t>
      </w:r>
      <w:r w:rsidRPr="00D55273">
        <w:rPr>
          <w:rFonts w:ascii="Times New Roman" w:hAnsi="Times New Roman" w:cs="Times New Roman"/>
          <w:b/>
          <w:bCs/>
          <w:szCs w:val="24"/>
          <w:u w:val="single"/>
        </w:rPr>
        <w:t xml:space="preserve"> </w:t>
      </w:r>
      <w:r>
        <w:rPr>
          <w:rFonts w:ascii="Times New Roman" w:hAnsi="Times New Roman" w:cs="Times New Roman"/>
          <w:b/>
          <w:bCs/>
          <w:szCs w:val="24"/>
          <w:u w:val="single"/>
        </w:rPr>
        <w:t>weakly correlate with</w:t>
      </w:r>
      <w:r w:rsidRPr="00D55273">
        <w:rPr>
          <w:rFonts w:ascii="Times New Roman" w:hAnsi="Times New Roman" w:cs="Times New Roman"/>
          <w:b/>
          <w:bCs/>
          <w:szCs w:val="24"/>
          <w:u w:val="single"/>
        </w:rPr>
        <w:t xml:space="preserve"> the DOR phenotypic susceptibility landscape</w:t>
      </w:r>
    </w:p>
    <w:p w14:paraId="0D411DB1" w14:textId="4BEA68BB" w:rsidR="00A361BD" w:rsidRDefault="000156E3" w:rsidP="000156E3">
      <w:pPr>
        <w:rPr>
          <w:rFonts w:ascii="Times New Roman" w:hAnsi="Times New Roman" w:cs="Times New Roman"/>
          <w:szCs w:val="24"/>
        </w:rPr>
      </w:pPr>
      <w:r w:rsidRPr="00985CF1">
        <w:rPr>
          <w:rFonts w:ascii="Times New Roman" w:hAnsi="Times New Roman" w:cs="Times New Roman"/>
          <w:szCs w:val="24"/>
        </w:rPr>
        <w:t>We first asked whether short MD simulations could recapitulate the phenotypic DOR susceptibility landscape using a global destabilization metric derived from binding energy calculations. Starting from the published X-ray crystal structure of WT RT bound to DOR</w:t>
      </w:r>
      <w:r>
        <w:rPr>
          <w:rFonts w:ascii="Times New Roman" w:hAnsi="Times New Roman" w:cs="Times New Roman"/>
          <w:szCs w:val="24"/>
        </w:rPr>
        <w:t xml:space="preserve"> (Figure 1)</w:t>
      </w:r>
      <w:r w:rsidRPr="00985CF1">
        <w:rPr>
          <w:rFonts w:ascii="Times New Roman" w:hAnsi="Times New Roman" w:cs="Times New Roman"/>
          <w:szCs w:val="24"/>
        </w:rPr>
        <w:t xml:space="preserve">, we introduced each resistance-associated </w:t>
      </w:r>
      <w:r>
        <w:rPr>
          <w:rFonts w:ascii="Times New Roman" w:hAnsi="Times New Roman" w:cs="Times New Roman"/>
          <w:szCs w:val="24"/>
        </w:rPr>
        <w:t>mutation</w:t>
      </w:r>
      <w:r w:rsidRPr="00985CF1">
        <w:rPr>
          <w:rFonts w:ascii="Times New Roman" w:hAnsi="Times New Roman" w:cs="Times New Roman"/>
          <w:szCs w:val="24"/>
        </w:rPr>
        <w:t xml:space="preserve"> </w:t>
      </w:r>
      <w:r w:rsidRPr="007A2B2E">
        <w:rPr>
          <w:rFonts w:ascii="Times New Roman" w:hAnsi="Times New Roman" w:cs="Times New Roman"/>
          <w:i/>
          <w:iCs/>
          <w:szCs w:val="24"/>
        </w:rPr>
        <w:t>in silico</w:t>
      </w:r>
      <w:r w:rsidRPr="00985CF1">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5976F625" w14:textId="2D0BFF72" w:rsidR="00B67051" w:rsidRDefault="00B67051" w:rsidP="00B67051">
      <w:pPr>
        <w:spacing w:before="240" w:after="240"/>
        <w:rPr>
          <w:rFonts w:ascii="Times New Roman" w:hAnsi="Times New Roman" w:cs="Times New Roman"/>
          <w:szCs w:val="24"/>
        </w:rPr>
      </w:pPr>
      <w:r w:rsidRPr="00985CF1">
        <w:rPr>
          <w:rFonts w:ascii="Times New Roman" w:hAnsi="Times New Roman" w:cs="Times New Roman"/>
          <w:szCs w:val="24"/>
        </w:rPr>
        <w:t>For each system, we ran three independent 100ns all-atom, explicit-solvent production simulations and calculated the average MM/GBSA energy over the final 20 frames of each trajectory, corresponding to approximately the final 10ns. For each mutant genotype, we then computed WT-</w:t>
      </w:r>
      <w:r w:rsidRPr="000644BD">
        <w:rPr>
          <w:rFonts w:ascii="Times New Roman" w:hAnsi="Times New Roman" w:cs="Times New Roman"/>
          <w:szCs w:val="24"/>
        </w:rPr>
        <w:t>referenced energetic changes, ΔΔG, for the total MM/GBSA energy</w:t>
      </w:r>
      <w:r w:rsidR="000644BD">
        <w:rPr>
          <w:rFonts w:ascii="Times New Roman" w:hAnsi="Times New Roman" w:cs="Times New Roman"/>
          <w:szCs w:val="24"/>
        </w:rPr>
        <w:t xml:space="preserve"> (∆∆</w:t>
      </w:r>
      <w:proofErr w:type="spellStart"/>
      <w:r w:rsidR="000644BD">
        <w:rPr>
          <w:rFonts w:ascii="Times New Roman" w:hAnsi="Times New Roman" w:cs="Times New Roman"/>
          <w:szCs w:val="24"/>
        </w:rPr>
        <w:t>G</w:t>
      </w:r>
      <w:r w:rsidR="000644BD">
        <w:rPr>
          <w:rFonts w:ascii="Times New Roman" w:hAnsi="Times New Roman" w:cs="Times New Roman"/>
          <w:szCs w:val="24"/>
          <w:vertAlign w:val="subscript"/>
        </w:rPr>
        <w:t>Total</w:t>
      </w:r>
      <w:proofErr w:type="spellEnd"/>
      <w:r w:rsidR="000644BD">
        <w:rPr>
          <w:rFonts w:ascii="Times New Roman" w:hAnsi="Times New Roman" w:cs="Times New Roman"/>
          <w:szCs w:val="24"/>
        </w:rPr>
        <w:t>)</w:t>
      </w:r>
      <w:r w:rsidRPr="000644BD">
        <w:rPr>
          <w:rFonts w:ascii="Times New Roman" w:hAnsi="Times New Roman" w:cs="Times New Roman"/>
          <w:szCs w:val="24"/>
        </w:rPr>
        <w:t xml:space="preserve"> and for four individual energy components: van der Waals</w:t>
      </w:r>
      <w:r w:rsidR="000644BD" w:rsidRPr="000644BD">
        <w:rPr>
          <w:rFonts w:ascii="Times New Roman" w:hAnsi="Times New Roman" w:cs="Times New Roman"/>
          <w:szCs w:val="24"/>
        </w:rPr>
        <w:t xml:space="preserve"> (</w:t>
      </w:r>
      <w:r w:rsidR="000644BD" w:rsidRPr="009977AB">
        <w:rPr>
          <w:rFonts w:ascii="Times New Roman" w:hAnsi="Times New Roman" w:cs="Times New Roman"/>
        </w:rPr>
        <w:t>∆∆</w:t>
      </w:r>
      <w:proofErr w:type="spellStart"/>
      <w:r w:rsidR="000644BD" w:rsidRPr="009977AB">
        <w:rPr>
          <w:rFonts w:ascii="Times New Roman" w:hAnsi="Times New Roman" w:cs="Times New Roman"/>
        </w:rPr>
        <w:t>G</w:t>
      </w:r>
      <w:r w:rsidR="000644BD" w:rsidRPr="009977AB">
        <w:rPr>
          <w:rFonts w:ascii="Times New Roman" w:hAnsi="Times New Roman" w:cs="Times New Roman"/>
          <w:vertAlign w:val="subscript"/>
        </w:rPr>
        <w:t>vdW</w:t>
      </w:r>
      <w:proofErr w:type="spellEnd"/>
      <w:r w:rsidR="000644BD" w:rsidRPr="000644BD">
        <w:rPr>
          <w:rFonts w:ascii="Times New Roman" w:hAnsi="Times New Roman" w:cs="Times New Roman"/>
          <w:szCs w:val="24"/>
        </w:rPr>
        <w:t>)</w:t>
      </w:r>
      <w:r w:rsidRPr="000644BD">
        <w:rPr>
          <w:rFonts w:ascii="Times New Roman" w:hAnsi="Times New Roman" w:cs="Times New Roman"/>
          <w:szCs w:val="24"/>
        </w:rPr>
        <w:t>, electrostatic</w:t>
      </w:r>
      <w:r w:rsidR="000644BD">
        <w:rPr>
          <w:rFonts w:ascii="Times New Roman" w:hAnsi="Times New Roman" w:cs="Times New Roman"/>
          <w:szCs w:val="24"/>
        </w:rPr>
        <w:t xml:space="preserve"> (∆∆</w:t>
      </w:r>
      <w:proofErr w:type="spellStart"/>
      <w:r w:rsidR="000644BD">
        <w:rPr>
          <w:rFonts w:ascii="Times New Roman" w:hAnsi="Times New Roman" w:cs="Times New Roman"/>
          <w:szCs w:val="24"/>
        </w:rPr>
        <w:t>G</w:t>
      </w:r>
      <w:r w:rsidR="000644BD" w:rsidRPr="003D40B4">
        <w:rPr>
          <w:rFonts w:ascii="Times New Roman" w:hAnsi="Times New Roman" w:cs="Times New Roman"/>
          <w:szCs w:val="24"/>
          <w:vertAlign w:val="subscript"/>
        </w:rPr>
        <w:t>elec</w:t>
      </w:r>
      <w:proofErr w:type="spellEnd"/>
      <w:r w:rsidR="000644BD">
        <w:rPr>
          <w:rFonts w:ascii="Times New Roman" w:hAnsi="Times New Roman" w:cs="Times New Roman"/>
          <w:szCs w:val="24"/>
        </w:rPr>
        <w:t>)</w:t>
      </w:r>
      <w:r w:rsidRPr="00985CF1">
        <w:rPr>
          <w:rFonts w:ascii="Times New Roman" w:hAnsi="Times New Roman" w:cs="Times New Roman"/>
          <w:szCs w:val="24"/>
        </w:rPr>
        <w:t>, generalized Born polar solvation</w:t>
      </w:r>
      <w:r w:rsidR="000644BD">
        <w:rPr>
          <w:rFonts w:ascii="Times New Roman" w:hAnsi="Times New Roman" w:cs="Times New Roman"/>
          <w:szCs w:val="24"/>
        </w:rPr>
        <w:t xml:space="preserve"> (∆∆G</w:t>
      </w:r>
      <w:r w:rsidR="000644BD">
        <w:rPr>
          <w:rFonts w:ascii="Times New Roman" w:hAnsi="Times New Roman" w:cs="Times New Roman"/>
          <w:szCs w:val="24"/>
          <w:vertAlign w:val="subscript"/>
        </w:rPr>
        <w:t>GB</w:t>
      </w:r>
      <w:r w:rsidR="000644BD">
        <w:rPr>
          <w:rFonts w:ascii="Times New Roman" w:hAnsi="Times New Roman" w:cs="Times New Roman"/>
          <w:szCs w:val="24"/>
        </w:rPr>
        <w:t>)</w:t>
      </w:r>
      <w:r w:rsidRPr="00985CF1">
        <w:rPr>
          <w:rFonts w:ascii="Times New Roman" w:hAnsi="Times New Roman" w:cs="Times New Roman"/>
          <w:szCs w:val="24"/>
        </w:rPr>
        <w:t>, and nonpolar surface area</w:t>
      </w:r>
      <w:r w:rsidR="000644BD">
        <w:rPr>
          <w:rFonts w:ascii="Times New Roman" w:hAnsi="Times New Roman" w:cs="Times New Roman"/>
          <w:szCs w:val="24"/>
        </w:rPr>
        <w:t xml:space="preserve"> (∆∆G</w:t>
      </w:r>
      <w:r w:rsidR="000644BD">
        <w:rPr>
          <w:rFonts w:ascii="Times New Roman" w:hAnsi="Times New Roman" w:cs="Times New Roman"/>
          <w:szCs w:val="24"/>
          <w:vertAlign w:val="subscript"/>
        </w:rPr>
        <w:t>SA</w:t>
      </w:r>
      <w:r w:rsidR="000644BD">
        <w:rPr>
          <w:rFonts w:ascii="Times New Roman" w:hAnsi="Times New Roman" w:cs="Times New Roman"/>
          <w:szCs w:val="24"/>
        </w:rPr>
        <w:t>)</w:t>
      </w:r>
      <w:r w:rsidRPr="00985CF1">
        <w:rPr>
          <w:rFonts w:ascii="Times New Roman" w:hAnsi="Times New Roman" w:cs="Times New Roman"/>
          <w:szCs w:val="24"/>
        </w:rPr>
        <w:t xml:space="preserve"> contributions.</w:t>
      </w:r>
      <w:r>
        <w:rPr>
          <w:rFonts w:ascii="Times New Roman" w:hAnsi="Times New Roman" w:cs="Times New Roman"/>
          <w:szCs w:val="24"/>
        </w:rPr>
        <w:t xml:space="preserve"> In this framework, a positive WT-referenced energy shift, ∆∆G, represents a global destabilization of the bound RT-DOR complex.</w:t>
      </w:r>
      <w:r w:rsidR="00434DCE">
        <w:rPr>
          <w:rFonts w:ascii="Times New Roman" w:hAnsi="Times New Roman" w:cs="Times New Roman"/>
          <w:szCs w:val="24"/>
        </w:rPr>
        <w:t xml:space="preserve"> The results are summarized in Table 2 and </w:t>
      </w:r>
      <w:r w:rsidR="00434DCE" w:rsidRPr="00985CF1">
        <w:rPr>
          <w:rFonts w:ascii="Times New Roman" w:hAnsi="Times New Roman" w:cs="Times New Roman"/>
          <w:szCs w:val="24"/>
        </w:rPr>
        <w:t>Supplementary Table 3</w:t>
      </w:r>
      <w:r w:rsidR="00434DCE">
        <w:rPr>
          <w:rFonts w:ascii="Times New Roman" w:hAnsi="Times New Roman" w:cs="Times New Roman"/>
          <w:szCs w:val="24"/>
        </w:rPr>
        <w:t>.</w:t>
      </w:r>
    </w:p>
    <w:p w14:paraId="4D5CAAB7" w14:textId="5002D390" w:rsidR="00321E53" w:rsidRDefault="00321E53" w:rsidP="00321E53">
      <w:pPr>
        <w:spacing w:before="240"/>
        <w:rPr>
          <w:rFonts w:ascii="Times New Roman" w:hAnsi="Times New Roman" w:cs="Times New Roman"/>
          <w:szCs w:val="24"/>
        </w:rPr>
      </w:pPr>
      <w:r w:rsidRPr="00FB45FB">
        <w:rPr>
          <w:rFonts w:ascii="Times New Roman" w:hAnsi="Times New Roman" w:cs="Times New Roman"/>
          <w:b/>
          <w:bCs/>
          <w:color w:val="000000"/>
          <w:szCs w:val="24"/>
        </w:rPr>
        <w:t xml:space="preserve">Table </w:t>
      </w:r>
      <w:r>
        <w:rPr>
          <w:rFonts w:ascii="Times New Roman" w:hAnsi="Times New Roman" w:cs="Times New Roman"/>
          <w:b/>
          <w:bCs/>
          <w:color w:val="000000"/>
          <w:szCs w:val="24"/>
        </w:rPr>
        <w:t>2</w:t>
      </w:r>
      <w:r w:rsidRPr="00FB45FB">
        <w:rPr>
          <w:rFonts w:ascii="Times New Roman" w:hAnsi="Times New Roman" w:cs="Times New Roman"/>
          <w:b/>
          <w:bCs/>
          <w:color w:val="000000"/>
          <w:szCs w:val="24"/>
        </w:rPr>
        <w:t xml:space="preserve">. </w:t>
      </w:r>
      <w:r>
        <w:rPr>
          <w:rFonts w:ascii="Times New Roman" w:hAnsi="Times New Roman" w:cs="Times New Roman"/>
          <w:b/>
          <w:bCs/>
          <w:color w:val="000000"/>
          <w:szCs w:val="24"/>
        </w:rPr>
        <w:t>WT-referenced MM/GBSA energy shifts for DOR-bound RT variants</w:t>
      </w:r>
      <w:r w:rsidR="002D1287">
        <w:rPr>
          <w:rFonts w:ascii="Times New Roman" w:hAnsi="Times New Roman" w:cs="Times New Roman"/>
          <w:b/>
          <w:bCs/>
          <w:color w:val="000000"/>
          <w:szCs w:val="24"/>
        </w:rPr>
        <w:t>*</w:t>
      </w:r>
    </w:p>
    <w:tbl>
      <w:tblPr>
        <w:tblStyle w:val="TableGrid"/>
        <w:tblW w:w="48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1172"/>
        <w:gridCol w:w="1261"/>
        <w:gridCol w:w="1261"/>
        <w:gridCol w:w="1261"/>
        <w:gridCol w:w="1442"/>
        <w:gridCol w:w="1352"/>
      </w:tblGrid>
      <w:tr w:rsidR="006F396D" w:rsidRPr="00A361BD" w14:paraId="24D30954" w14:textId="59F95949" w:rsidTr="009977AB">
        <w:trPr>
          <w:trHeight w:val="539"/>
        </w:trPr>
        <w:tc>
          <w:tcPr>
            <w:tcW w:w="1345" w:type="dxa"/>
            <w:tcBorders>
              <w:top w:val="single" w:sz="4" w:space="0" w:color="auto"/>
              <w:bottom w:val="single" w:sz="4" w:space="0" w:color="auto"/>
            </w:tcBorders>
            <w:hideMark/>
          </w:tcPr>
          <w:p w14:paraId="34239A01" w14:textId="77777777" w:rsidR="006F396D" w:rsidRPr="00FB45FB" w:rsidRDefault="006F396D" w:rsidP="006F396D">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170" w:type="dxa"/>
            <w:tcBorders>
              <w:top w:val="single" w:sz="4" w:space="0" w:color="auto"/>
              <w:bottom w:val="single" w:sz="4" w:space="0" w:color="auto"/>
            </w:tcBorders>
            <w:hideMark/>
          </w:tcPr>
          <w:p w14:paraId="54D7E9F6" w14:textId="77777777" w:rsidR="006F396D" w:rsidRPr="00FB45FB" w:rsidRDefault="006F396D" w:rsidP="006F396D">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260" w:type="dxa"/>
            <w:tcBorders>
              <w:top w:val="single" w:sz="4" w:space="0" w:color="auto"/>
              <w:bottom w:val="single" w:sz="4" w:space="0" w:color="auto"/>
            </w:tcBorders>
            <w:hideMark/>
          </w:tcPr>
          <w:p w14:paraId="7A3754C9" w14:textId="26332B3D"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Total</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37BC9BBB" w14:textId="7FF9FB66"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vdW</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59AF2063" w14:textId="6B6ABA0E"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elec</w:t>
            </w:r>
            <w:proofErr w:type="spellEnd"/>
            <w:r>
              <w:rPr>
                <w:rFonts w:ascii="Times New Roman" w:hAnsi="Times New Roman" w:cs="Times New Roman"/>
                <w:b/>
                <w:bCs/>
                <w:color w:val="000000"/>
                <w:sz w:val="22"/>
                <w:szCs w:val="22"/>
              </w:rPr>
              <w:t xml:space="preserve"> (kJ/mol)</w:t>
            </w:r>
          </w:p>
        </w:tc>
        <w:tc>
          <w:tcPr>
            <w:tcW w:w="1440" w:type="dxa"/>
            <w:tcBorders>
              <w:top w:val="single" w:sz="4" w:space="0" w:color="auto"/>
              <w:bottom w:val="single" w:sz="4" w:space="0" w:color="auto"/>
            </w:tcBorders>
          </w:tcPr>
          <w:p w14:paraId="00A538BF" w14:textId="254B4FAA"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GB</w:t>
            </w:r>
            <w:r>
              <w:rPr>
                <w:rFonts w:ascii="Times New Roman" w:hAnsi="Times New Roman" w:cs="Times New Roman"/>
                <w:b/>
                <w:bCs/>
                <w:color w:val="000000"/>
                <w:sz w:val="22"/>
                <w:szCs w:val="22"/>
              </w:rPr>
              <w:t xml:space="preserve"> (kJ/mol)</w:t>
            </w:r>
          </w:p>
        </w:tc>
        <w:tc>
          <w:tcPr>
            <w:tcW w:w="1351" w:type="dxa"/>
            <w:tcBorders>
              <w:top w:val="single" w:sz="4" w:space="0" w:color="auto"/>
              <w:bottom w:val="single" w:sz="4" w:space="0" w:color="auto"/>
            </w:tcBorders>
          </w:tcPr>
          <w:p w14:paraId="4DE31983" w14:textId="7467E727"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SA</w:t>
            </w:r>
            <w:r>
              <w:rPr>
                <w:rFonts w:ascii="Times New Roman" w:hAnsi="Times New Roman" w:cs="Times New Roman"/>
                <w:b/>
                <w:bCs/>
                <w:color w:val="000000"/>
                <w:sz w:val="22"/>
                <w:szCs w:val="22"/>
              </w:rPr>
              <w:t xml:space="preserve"> (kJ/mol)</w:t>
            </w:r>
          </w:p>
        </w:tc>
      </w:tr>
      <w:tr w:rsidR="006F396D" w:rsidRPr="00A361BD" w14:paraId="44966014" w14:textId="1C56A82F" w:rsidTr="009977AB">
        <w:trPr>
          <w:trHeight w:val="340"/>
        </w:trPr>
        <w:tc>
          <w:tcPr>
            <w:tcW w:w="1345" w:type="dxa"/>
            <w:vMerge w:val="restart"/>
            <w:tcBorders>
              <w:top w:val="single" w:sz="4" w:space="0" w:color="auto"/>
            </w:tcBorders>
            <w:hideMark/>
          </w:tcPr>
          <w:p w14:paraId="4F19AE89" w14:textId="287E2E79" w:rsidR="006F396D" w:rsidRPr="00FB45FB"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Susceptible</w:t>
            </w:r>
          </w:p>
        </w:tc>
        <w:tc>
          <w:tcPr>
            <w:tcW w:w="1170" w:type="dxa"/>
            <w:tcBorders>
              <w:top w:val="single" w:sz="4" w:space="0" w:color="auto"/>
            </w:tcBorders>
            <w:hideMark/>
          </w:tcPr>
          <w:p w14:paraId="2749A180"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260" w:type="dxa"/>
            <w:tcBorders>
              <w:top w:val="single" w:sz="4" w:space="0" w:color="auto"/>
            </w:tcBorders>
            <w:hideMark/>
          </w:tcPr>
          <w:p w14:paraId="4EC57C46" w14:textId="224FAC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-78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93</w:t>
            </w:r>
          </w:p>
        </w:tc>
        <w:tc>
          <w:tcPr>
            <w:tcW w:w="1260" w:type="dxa"/>
            <w:tcBorders>
              <w:top w:val="single" w:sz="4" w:space="0" w:color="auto"/>
            </w:tcBorders>
            <w:hideMark/>
          </w:tcPr>
          <w:p w14:paraId="093D5BEE" w14:textId="66B7BF83"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-68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260" w:type="dxa"/>
            <w:tcBorders>
              <w:top w:val="single" w:sz="4" w:space="0" w:color="auto"/>
            </w:tcBorders>
            <w:hideMark/>
          </w:tcPr>
          <w:p w14:paraId="11FC6C6A" w14:textId="11F2F881"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top w:val="single" w:sz="4" w:space="0" w:color="auto"/>
            </w:tcBorders>
          </w:tcPr>
          <w:p w14:paraId="5CAD71A4" w14:textId="417ACBD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-11.8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11.5</w:t>
            </w:r>
          </w:p>
        </w:tc>
        <w:tc>
          <w:tcPr>
            <w:tcW w:w="1351" w:type="dxa"/>
            <w:tcBorders>
              <w:top w:val="single" w:sz="4" w:space="0" w:color="auto"/>
            </w:tcBorders>
          </w:tcPr>
          <w:p w14:paraId="437ED4A3" w14:textId="5AD98AB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2E5B7A0A" w14:textId="73B04894" w:rsidTr="009977AB">
        <w:trPr>
          <w:trHeight w:val="340"/>
        </w:trPr>
        <w:tc>
          <w:tcPr>
            <w:tcW w:w="1345" w:type="dxa"/>
            <w:vMerge/>
            <w:hideMark/>
          </w:tcPr>
          <w:p w14:paraId="57F0AADE"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46D7EB0D"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260" w:type="dxa"/>
            <w:hideMark/>
          </w:tcPr>
          <w:p w14:paraId="64613AD8" w14:textId="53B7523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40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102</w:t>
            </w:r>
            <w:r>
              <w:rPr>
                <w:rFonts w:ascii="Times New Roman" w:hAnsi="Times New Roman" w:cs="Times New Roman"/>
                <w:sz w:val="22"/>
                <w:szCs w:val="22"/>
              </w:rPr>
              <w:t xml:space="preserve"> </w:t>
            </w:r>
          </w:p>
        </w:tc>
        <w:tc>
          <w:tcPr>
            <w:tcW w:w="1260" w:type="dxa"/>
            <w:hideMark/>
          </w:tcPr>
          <w:p w14:paraId="011B6A9B" w14:textId="55CCC7D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105</w:t>
            </w:r>
          </w:p>
        </w:tc>
        <w:tc>
          <w:tcPr>
            <w:tcW w:w="1260" w:type="dxa"/>
            <w:hideMark/>
          </w:tcPr>
          <w:p w14:paraId="13D572A2" w14:textId="61C99206"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3.3</w:t>
            </w:r>
          </w:p>
        </w:tc>
        <w:tc>
          <w:tcPr>
            <w:tcW w:w="1440" w:type="dxa"/>
          </w:tcPr>
          <w:p w14:paraId="28F94474" w14:textId="1AFC237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22.5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11.4</w:t>
            </w:r>
          </w:p>
        </w:tc>
        <w:tc>
          <w:tcPr>
            <w:tcW w:w="1351" w:type="dxa"/>
          </w:tcPr>
          <w:p w14:paraId="4CDD4E06" w14:textId="72DD3CA5"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12856804" w14:textId="61072A8C" w:rsidTr="009977AB">
        <w:trPr>
          <w:trHeight w:val="340"/>
        </w:trPr>
        <w:tc>
          <w:tcPr>
            <w:tcW w:w="1345" w:type="dxa"/>
            <w:vMerge/>
            <w:hideMark/>
          </w:tcPr>
          <w:p w14:paraId="06659659"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0245771A"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260" w:type="dxa"/>
            <w:hideMark/>
          </w:tcPr>
          <w:p w14:paraId="3DF6DEB6" w14:textId="0CDAE6CF" w:rsidR="006F396D" w:rsidRPr="00FB45FB" w:rsidRDefault="00001714" w:rsidP="006F396D">
            <w:pPr>
              <w:jc w:val="center"/>
              <w:rPr>
                <w:rFonts w:ascii="Times New Roman" w:hAnsi="Times New Roman" w:cs="Times New Roman"/>
                <w:color w:val="000000"/>
                <w:sz w:val="22"/>
                <w:szCs w:val="22"/>
              </w:rPr>
            </w:pPr>
            <w:r>
              <w:rPr>
                <w:rFonts w:ascii="Times New Roman" w:hAnsi="Times New Roman" w:cs="Times New Roman"/>
                <w:sz w:val="22"/>
                <w:szCs w:val="22"/>
              </w:rPr>
              <w:t>-</w:t>
            </w:r>
            <w:r w:rsidR="006F396D">
              <w:rPr>
                <w:rFonts w:ascii="Times New Roman" w:hAnsi="Times New Roman" w:cs="Times New Roman"/>
                <w:sz w:val="22"/>
                <w:szCs w:val="22"/>
              </w:rPr>
              <w:t>5</w:t>
            </w:r>
            <w:r w:rsidR="006F396D">
              <w:rPr>
                <w:rFonts w:ascii="Times New Roman" w:hAnsi="Times New Roman" w:cs="Times New Roman"/>
                <w:color w:val="000000"/>
                <w:sz w:val="22"/>
                <w:szCs w:val="22"/>
              </w:rPr>
              <w:t xml:space="preserve"> </w:t>
            </w:r>
            <w:r w:rsidR="006F396D">
              <w:rPr>
                <w:rFonts w:ascii="Times New Roman" w:hAnsi="Times New Roman" w:cs="Times New Roman"/>
                <w:color w:val="000000"/>
                <w:sz w:val="22"/>
                <w:szCs w:val="22"/>
              </w:rPr>
              <w:sym w:font="Symbol" w:char="F0B1"/>
            </w:r>
            <w:r w:rsidR="006F396D">
              <w:rPr>
                <w:rFonts w:ascii="Times New Roman" w:hAnsi="Times New Roman" w:cs="Times New Roman"/>
                <w:color w:val="000000"/>
                <w:sz w:val="22"/>
                <w:szCs w:val="22"/>
              </w:rPr>
              <w:t xml:space="preserve"> 79</w:t>
            </w:r>
          </w:p>
        </w:tc>
        <w:tc>
          <w:tcPr>
            <w:tcW w:w="1260" w:type="dxa"/>
            <w:hideMark/>
          </w:tcPr>
          <w:p w14:paraId="42CAC3C9" w14:textId="4FC1877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67</w:t>
            </w:r>
          </w:p>
        </w:tc>
        <w:tc>
          <w:tcPr>
            <w:tcW w:w="1260" w:type="dxa"/>
            <w:hideMark/>
          </w:tcPr>
          <w:p w14:paraId="77C5D46D" w14:textId="58AD070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4.3</w:t>
            </w:r>
          </w:p>
        </w:tc>
        <w:tc>
          <w:tcPr>
            <w:tcW w:w="1440" w:type="dxa"/>
          </w:tcPr>
          <w:p w14:paraId="5F0E568C" w14:textId="49849D80"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16.4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351" w:type="dxa"/>
          </w:tcPr>
          <w:p w14:paraId="6AF82C0D" w14:textId="6CD2C2C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3E17992D" w14:textId="4DBEDDD7" w:rsidTr="009977AB">
        <w:trPr>
          <w:trHeight w:val="359"/>
        </w:trPr>
        <w:tc>
          <w:tcPr>
            <w:tcW w:w="1345" w:type="dxa"/>
            <w:vMerge/>
            <w:tcBorders>
              <w:bottom w:val="single" w:sz="4" w:space="0" w:color="auto"/>
            </w:tcBorders>
            <w:hideMark/>
          </w:tcPr>
          <w:p w14:paraId="22F42737" w14:textId="77777777" w:rsidR="006F396D" w:rsidRPr="00FB45FB" w:rsidRDefault="006F396D" w:rsidP="006F396D">
            <w:pPr>
              <w:rPr>
                <w:rFonts w:ascii="Times New Roman" w:hAnsi="Times New Roman" w:cs="Times New Roman"/>
                <w:color w:val="000000"/>
                <w:sz w:val="22"/>
                <w:szCs w:val="22"/>
              </w:rPr>
            </w:pPr>
          </w:p>
        </w:tc>
        <w:tc>
          <w:tcPr>
            <w:tcW w:w="1170" w:type="dxa"/>
            <w:tcBorders>
              <w:bottom w:val="single" w:sz="4" w:space="0" w:color="auto"/>
            </w:tcBorders>
            <w:hideMark/>
          </w:tcPr>
          <w:p w14:paraId="0B912095"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260" w:type="dxa"/>
            <w:tcBorders>
              <w:bottom w:val="single" w:sz="4" w:space="0" w:color="auto"/>
            </w:tcBorders>
            <w:hideMark/>
          </w:tcPr>
          <w:p w14:paraId="599B9F10" w14:textId="29E69A0F"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260" w:type="dxa"/>
            <w:tcBorders>
              <w:bottom w:val="single" w:sz="4" w:space="0" w:color="auto"/>
            </w:tcBorders>
            <w:hideMark/>
          </w:tcPr>
          <w:p w14:paraId="423205B9" w14:textId="438C228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-32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110</w:t>
            </w:r>
          </w:p>
        </w:tc>
        <w:tc>
          <w:tcPr>
            <w:tcW w:w="1260" w:type="dxa"/>
            <w:tcBorders>
              <w:bottom w:val="single" w:sz="4" w:space="0" w:color="auto"/>
            </w:tcBorders>
            <w:hideMark/>
          </w:tcPr>
          <w:p w14:paraId="14126D0A" w14:textId="2E8EFA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bottom w:val="single" w:sz="4" w:space="0" w:color="auto"/>
            </w:tcBorders>
          </w:tcPr>
          <w:p w14:paraId="5EABE30F" w14:textId="07E0815B"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7.5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Borders>
              <w:bottom w:val="single" w:sz="4" w:space="0" w:color="auto"/>
            </w:tcBorders>
          </w:tcPr>
          <w:p w14:paraId="2E516955" w14:textId="1E53B932"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087B21" w:rsidRPr="00A361BD" w14:paraId="2552917A" w14:textId="0442AEC2" w:rsidTr="009977AB">
        <w:trPr>
          <w:trHeight w:val="340"/>
        </w:trPr>
        <w:tc>
          <w:tcPr>
            <w:tcW w:w="1345" w:type="dxa"/>
            <w:vMerge w:val="restart"/>
            <w:tcBorders>
              <w:top w:val="single" w:sz="4" w:space="0" w:color="auto"/>
            </w:tcBorders>
            <w:hideMark/>
          </w:tcPr>
          <w:p w14:paraId="2A5C282B" w14:textId="0BC994F4" w:rsidR="00087B21" w:rsidRPr="00FB45FB" w:rsidRDefault="00087B21" w:rsidP="00087B21">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170" w:type="dxa"/>
            <w:tcBorders>
              <w:top w:val="single" w:sz="4" w:space="0" w:color="auto"/>
            </w:tcBorders>
            <w:hideMark/>
          </w:tcPr>
          <w:p w14:paraId="2C7DC4C7"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260" w:type="dxa"/>
            <w:tcBorders>
              <w:top w:val="single" w:sz="4" w:space="0" w:color="auto"/>
            </w:tcBorders>
            <w:hideMark/>
          </w:tcPr>
          <w:p w14:paraId="6FF2C0E2" w14:textId="47DF76BB"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157</w:t>
            </w:r>
          </w:p>
        </w:tc>
        <w:tc>
          <w:tcPr>
            <w:tcW w:w="1260" w:type="dxa"/>
            <w:tcBorders>
              <w:top w:val="single" w:sz="4" w:space="0" w:color="auto"/>
            </w:tcBorders>
            <w:hideMark/>
          </w:tcPr>
          <w:p w14:paraId="4EDE9FF4" w14:textId="04D36D53"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138</w:t>
            </w:r>
          </w:p>
        </w:tc>
        <w:tc>
          <w:tcPr>
            <w:tcW w:w="1260" w:type="dxa"/>
            <w:tcBorders>
              <w:top w:val="single" w:sz="4" w:space="0" w:color="auto"/>
            </w:tcBorders>
            <w:hideMark/>
          </w:tcPr>
          <w:p w14:paraId="4DAB253D" w14:textId="759576FA"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8.1</w:t>
            </w:r>
          </w:p>
        </w:tc>
        <w:tc>
          <w:tcPr>
            <w:tcW w:w="1440" w:type="dxa"/>
            <w:tcBorders>
              <w:top w:val="single" w:sz="4" w:space="0" w:color="auto"/>
            </w:tcBorders>
          </w:tcPr>
          <w:p w14:paraId="47ADA358" w14:textId="495F555C"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5.6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14.7</w:t>
            </w:r>
          </w:p>
        </w:tc>
        <w:tc>
          <w:tcPr>
            <w:tcW w:w="1351" w:type="dxa"/>
            <w:tcBorders>
              <w:top w:val="single" w:sz="4" w:space="0" w:color="auto"/>
            </w:tcBorders>
          </w:tcPr>
          <w:p w14:paraId="0D3709E4" w14:textId="775017B1"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r w:rsidR="00087B21" w:rsidRPr="00A361BD" w14:paraId="52DF051B" w14:textId="13833943" w:rsidTr="009977AB">
        <w:trPr>
          <w:trHeight w:val="340"/>
        </w:trPr>
        <w:tc>
          <w:tcPr>
            <w:tcW w:w="1345" w:type="dxa"/>
            <w:vMerge/>
            <w:hideMark/>
          </w:tcPr>
          <w:p w14:paraId="6BA3C0B2"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04246288"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260" w:type="dxa"/>
            <w:hideMark/>
          </w:tcPr>
          <w:p w14:paraId="02E4A43F" w14:textId="1B103396"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260" w:type="dxa"/>
            <w:hideMark/>
          </w:tcPr>
          <w:p w14:paraId="187DB824" w14:textId="0BC94EB9"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-73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2A0DF9D9" w14:textId="781ECDE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3.1</w:t>
            </w:r>
          </w:p>
        </w:tc>
        <w:tc>
          <w:tcPr>
            <w:tcW w:w="1440" w:type="dxa"/>
          </w:tcPr>
          <w:p w14:paraId="68C5554D" w14:textId="67C37849"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12.5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13.7</w:t>
            </w:r>
          </w:p>
        </w:tc>
        <w:tc>
          <w:tcPr>
            <w:tcW w:w="1351" w:type="dxa"/>
          </w:tcPr>
          <w:p w14:paraId="2C38731E" w14:textId="1D1A5B9E"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087B21" w:rsidRPr="00A361BD" w14:paraId="7239B8E5" w14:textId="0CA50D15" w:rsidTr="009977AB">
        <w:trPr>
          <w:trHeight w:val="340"/>
        </w:trPr>
        <w:tc>
          <w:tcPr>
            <w:tcW w:w="1345" w:type="dxa"/>
            <w:vMerge/>
            <w:hideMark/>
          </w:tcPr>
          <w:p w14:paraId="50D3B3F3"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64AB54A1"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260" w:type="dxa"/>
            <w:hideMark/>
          </w:tcPr>
          <w:p w14:paraId="1BDA9F26" w14:textId="070C1E67"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-44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99</w:t>
            </w:r>
          </w:p>
        </w:tc>
        <w:tc>
          <w:tcPr>
            <w:tcW w:w="1260" w:type="dxa"/>
            <w:hideMark/>
          </w:tcPr>
          <w:p w14:paraId="2D18358B" w14:textId="58AC000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92</w:t>
            </w:r>
          </w:p>
        </w:tc>
        <w:tc>
          <w:tcPr>
            <w:tcW w:w="1260" w:type="dxa"/>
            <w:hideMark/>
          </w:tcPr>
          <w:p w14:paraId="14CAECF1" w14:textId="5B1571C8"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4.7</w:t>
            </w:r>
          </w:p>
        </w:tc>
        <w:tc>
          <w:tcPr>
            <w:tcW w:w="1440" w:type="dxa"/>
          </w:tcPr>
          <w:p w14:paraId="71649A78" w14:textId="4EDB7EC3" w:rsidR="00087B21" w:rsidRDefault="001C6753" w:rsidP="00087B21">
            <w:pPr>
              <w:jc w:val="center"/>
              <w:rPr>
                <w:rFonts w:ascii="Times New Roman" w:hAnsi="Times New Roman" w:cs="Times New Roman"/>
                <w:sz w:val="22"/>
                <w:szCs w:val="22"/>
              </w:rPr>
            </w:pPr>
            <w:r>
              <w:rPr>
                <w:rFonts w:ascii="Times New Roman" w:hAnsi="Times New Roman" w:cs="Times New Roman"/>
                <w:color w:val="000000"/>
                <w:sz w:val="22"/>
                <w:szCs w:val="22"/>
              </w:rPr>
              <w:t>25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0</w:t>
            </w:r>
            <w:r w:rsidR="00087B21">
              <w:rPr>
                <w:rFonts w:ascii="Times New Roman" w:hAnsi="Times New Roman" w:cs="Times New Roman"/>
                <w:color w:val="000000"/>
                <w:sz w:val="22"/>
                <w:szCs w:val="22"/>
              </w:rPr>
              <w:t xml:space="preserve"> </w:t>
            </w:r>
            <w:r w:rsidR="00087B21">
              <w:rPr>
                <w:rFonts w:ascii="Times New Roman" w:hAnsi="Times New Roman" w:cs="Times New Roman"/>
                <w:color w:val="000000"/>
                <w:sz w:val="22"/>
                <w:szCs w:val="22"/>
              </w:rPr>
              <w:sym w:font="Symbol" w:char="F0B1"/>
            </w:r>
            <w:r w:rsidR="00087B21">
              <w:rPr>
                <w:rFonts w:ascii="Times New Roman" w:hAnsi="Times New Roman" w:cs="Times New Roman"/>
                <w:color w:val="000000"/>
                <w:sz w:val="22"/>
                <w:szCs w:val="22"/>
              </w:rPr>
              <w:t xml:space="preserve"> </w:t>
            </w:r>
            <w:r>
              <w:rPr>
                <w:rFonts w:ascii="Times New Roman" w:hAnsi="Times New Roman" w:cs="Times New Roman"/>
                <w:color w:val="000000"/>
                <w:sz w:val="22"/>
                <w:szCs w:val="22"/>
              </w:rPr>
              <w:t>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3</w:t>
            </w:r>
          </w:p>
        </w:tc>
        <w:tc>
          <w:tcPr>
            <w:tcW w:w="1351" w:type="dxa"/>
          </w:tcPr>
          <w:p w14:paraId="32F3A789" w14:textId="0D95F3EB"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-0.0</w:t>
            </w:r>
            <w:r w:rsidR="001C6753">
              <w:rPr>
                <w:rFonts w:ascii="Times New Roman" w:hAnsi="Times New Roman" w:cs="Times New Roman"/>
                <w:color w:val="000000"/>
                <w:sz w:val="22"/>
                <w:szCs w:val="22"/>
              </w:rPr>
              <w:t>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w:t>
            </w:r>
            <w:r w:rsidR="001C6753">
              <w:rPr>
                <w:rFonts w:ascii="Times New Roman" w:hAnsi="Times New Roman" w:cs="Times New Roman"/>
                <w:color w:val="000000"/>
                <w:sz w:val="22"/>
                <w:szCs w:val="22"/>
              </w:rPr>
              <w:t>1</w:t>
            </w:r>
          </w:p>
        </w:tc>
      </w:tr>
      <w:tr w:rsidR="001C6753" w:rsidRPr="00A361BD" w14:paraId="4708B274" w14:textId="486F027E" w:rsidTr="009977AB">
        <w:trPr>
          <w:trHeight w:val="340"/>
        </w:trPr>
        <w:tc>
          <w:tcPr>
            <w:tcW w:w="1345" w:type="dxa"/>
            <w:vMerge/>
            <w:hideMark/>
          </w:tcPr>
          <w:p w14:paraId="2B7711CB"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11F2621B"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260" w:type="dxa"/>
            <w:hideMark/>
          </w:tcPr>
          <w:p w14:paraId="1AAA529E" w14:textId="487ACBCB"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33042B4" w14:textId="2DF1572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126</w:t>
            </w:r>
          </w:p>
        </w:tc>
        <w:tc>
          <w:tcPr>
            <w:tcW w:w="1260" w:type="dxa"/>
            <w:hideMark/>
          </w:tcPr>
          <w:p w14:paraId="3D7BBBEC" w14:textId="63C9AE7A"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9.6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2.4</w:t>
            </w:r>
          </w:p>
        </w:tc>
        <w:tc>
          <w:tcPr>
            <w:tcW w:w="1440" w:type="dxa"/>
          </w:tcPr>
          <w:p w14:paraId="42D6376D" w14:textId="152C147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15.0</w:t>
            </w:r>
          </w:p>
        </w:tc>
        <w:tc>
          <w:tcPr>
            <w:tcW w:w="1351" w:type="dxa"/>
          </w:tcPr>
          <w:p w14:paraId="65BF7FCD" w14:textId="71EA5F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3E2C60F1" w14:textId="7E96C81D" w:rsidTr="009977AB">
        <w:trPr>
          <w:trHeight w:val="340"/>
        </w:trPr>
        <w:tc>
          <w:tcPr>
            <w:tcW w:w="1345" w:type="dxa"/>
            <w:vMerge/>
            <w:hideMark/>
          </w:tcPr>
          <w:p w14:paraId="33B2F6E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B742A0"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260" w:type="dxa"/>
            <w:hideMark/>
          </w:tcPr>
          <w:p w14:paraId="5883E93D" w14:textId="47BA477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-59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7979F67" w14:textId="2D35E05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77</w:t>
            </w:r>
          </w:p>
        </w:tc>
        <w:tc>
          <w:tcPr>
            <w:tcW w:w="1260" w:type="dxa"/>
            <w:hideMark/>
          </w:tcPr>
          <w:p w14:paraId="6ECB0EE0" w14:textId="74DE3415"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w:t>
            </w:r>
          </w:p>
        </w:tc>
        <w:tc>
          <w:tcPr>
            <w:tcW w:w="1440" w:type="dxa"/>
          </w:tcPr>
          <w:p w14:paraId="7186D2FD" w14:textId="0E1F16F7"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6.8</w:t>
            </w:r>
          </w:p>
        </w:tc>
        <w:tc>
          <w:tcPr>
            <w:tcW w:w="1351" w:type="dxa"/>
          </w:tcPr>
          <w:p w14:paraId="79880F45" w14:textId="7EB376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FA49CB6" w14:textId="73BECB51" w:rsidTr="009977AB">
        <w:trPr>
          <w:trHeight w:val="340"/>
        </w:trPr>
        <w:tc>
          <w:tcPr>
            <w:tcW w:w="1345" w:type="dxa"/>
            <w:vMerge/>
            <w:hideMark/>
          </w:tcPr>
          <w:p w14:paraId="478FDFEE"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58E9A41"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260" w:type="dxa"/>
            <w:hideMark/>
          </w:tcPr>
          <w:p w14:paraId="7AC0A5EC" w14:textId="691DA7E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213</w:t>
            </w:r>
          </w:p>
        </w:tc>
        <w:tc>
          <w:tcPr>
            <w:tcW w:w="1260" w:type="dxa"/>
            <w:hideMark/>
          </w:tcPr>
          <w:p w14:paraId="4BAA47BE" w14:textId="4F91893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189</w:t>
            </w:r>
          </w:p>
        </w:tc>
        <w:tc>
          <w:tcPr>
            <w:tcW w:w="1260" w:type="dxa"/>
            <w:hideMark/>
          </w:tcPr>
          <w:p w14:paraId="5E8F2B59" w14:textId="4342BF5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6.1</w:t>
            </w:r>
          </w:p>
        </w:tc>
        <w:tc>
          <w:tcPr>
            <w:tcW w:w="1440" w:type="dxa"/>
          </w:tcPr>
          <w:p w14:paraId="63F7BC4D" w14:textId="4491CE1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8.0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18.7</w:t>
            </w:r>
          </w:p>
        </w:tc>
        <w:tc>
          <w:tcPr>
            <w:tcW w:w="1351" w:type="dxa"/>
          </w:tcPr>
          <w:p w14:paraId="798AC900" w14:textId="2CF49050"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0.07</w:t>
            </w:r>
          </w:p>
        </w:tc>
      </w:tr>
      <w:tr w:rsidR="001C6753" w:rsidRPr="00A361BD" w14:paraId="6D85E728" w14:textId="5C4DF877" w:rsidTr="009977AB">
        <w:trPr>
          <w:trHeight w:val="340"/>
        </w:trPr>
        <w:tc>
          <w:tcPr>
            <w:tcW w:w="1345" w:type="dxa"/>
            <w:vMerge/>
            <w:hideMark/>
          </w:tcPr>
          <w:p w14:paraId="491CDD6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67098A"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260" w:type="dxa"/>
            <w:hideMark/>
          </w:tcPr>
          <w:p w14:paraId="52E5F1C3" w14:textId="1AF37F6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87</w:t>
            </w:r>
          </w:p>
        </w:tc>
        <w:tc>
          <w:tcPr>
            <w:tcW w:w="1260" w:type="dxa"/>
            <w:hideMark/>
          </w:tcPr>
          <w:p w14:paraId="5A789EA1" w14:textId="721AD7C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606A69B1" w14:textId="1484C11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3.7</w:t>
            </w:r>
          </w:p>
        </w:tc>
        <w:tc>
          <w:tcPr>
            <w:tcW w:w="1440" w:type="dxa"/>
          </w:tcPr>
          <w:p w14:paraId="3D0AC211" w14:textId="2D5EE75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-11.6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3.6</w:t>
            </w:r>
          </w:p>
        </w:tc>
        <w:tc>
          <w:tcPr>
            <w:tcW w:w="1351" w:type="dxa"/>
          </w:tcPr>
          <w:p w14:paraId="3641C3A0" w14:textId="7933ED9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4C965806" w14:textId="13FA952A" w:rsidTr="009977AB">
        <w:trPr>
          <w:trHeight w:val="386"/>
        </w:trPr>
        <w:tc>
          <w:tcPr>
            <w:tcW w:w="1345" w:type="dxa"/>
            <w:vMerge/>
            <w:hideMark/>
          </w:tcPr>
          <w:p w14:paraId="4501E696"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4F7E87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260" w:type="dxa"/>
            <w:hideMark/>
          </w:tcPr>
          <w:p w14:paraId="659E5DF2" w14:textId="34772807"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0786EDA6" w14:textId="35EC9C8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E57BFE3" w14:textId="3EF55C7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-0.9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2.0</w:t>
            </w:r>
          </w:p>
        </w:tc>
        <w:tc>
          <w:tcPr>
            <w:tcW w:w="1440" w:type="dxa"/>
          </w:tcPr>
          <w:p w14:paraId="5362030D" w14:textId="7FA82C81"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Pr>
          <w:p w14:paraId="0F391D0A" w14:textId="60A94E89"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100D1F91" w14:textId="1D1BC5A0" w:rsidTr="009977AB">
        <w:trPr>
          <w:trHeight w:val="386"/>
        </w:trPr>
        <w:tc>
          <w:tcPr>
            <w:tcW w:w="1345" w:type="dxa"/>
            <w:tcBorders>
              <w:bottom w:val="single" w:sz="4" w:space="0" w:color="auto"/>
            </w:tcBorders>
          </w:tcPr>
          <w:p w14:paraId="3EBBBF36" w14:textId="77777777" w:rsidR="001C6753" w:rsidRPr="00FB45FB" w:rsidRDefault="001C6753" w:rsidP="001C6753">
            <w:pPr>
              <w:rPr>
                <w:rFonts w:ascii="Times New Roman" w:hAnsi="Times New Roman" w:cs="Times New Roman"/>
                <w:color w:val="000000"/>
                <w:sz w:val="22"/>
                <w:szCs w:val="22"/>
              </w:rPr>
            </w:pPr>
          </w:p>
        </w:tc>
        <w:tc>
          <w:tcPr>
            <w:tcW w:w="1170" w:type="dxa"/>
            <w:tcBorders>
              <w:bottom w:val="single" w:sz="4" w:space="0" w:color="auto"/>
            </w:tcBorders>
          </w:tcPr>
          <w:p w14:paraId="43A35D13"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260" w:type="dxa"/>
            <w:tcBorders>
              <w:bottom w:val="single" w:sz="4" w:space="0" w:color="auto"/>
            </w:tcBorders>
          </w:tcPr>
          <w:p w14:paraId="6D366F4D" w14:textId="0E6374A5"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40</w:t>
            </w:r>
          </w:p>
        </w:tc>
        <w:tc>
          <w:tcPr>
            <w:tcW w:w="1260" w:type="dxa"/>
            <w:tcBorders>
              <w:bottom w:val="single" w:sz="4" w:space="0" w:color="auto"/>
            </w:tcBorders>
          </w:tcPr>
          <w:p w14:paraId="5C58CF29" w14:textId="42A80A19"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41</w:t>
            </w:r>
          </w:p>
        </w:tc>
        <w:tc>
          <w:tcPr>
            <w:tcW w:w="1260" w:type="dxa"/>
            <w:tcBorders>
              <w:bottom w:val="single" w:sz="4" w:space="0" w:color="auto"/>
            </w:tcBorders>
          </w:tcPr>
          <w:p w14:paraId="56105134" w14:textId="1A1336D0"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6.4</w:t>
            </w:r>
          </w:p>
        </w:tc>
        <w:tc>
          <w:tcPr>
            <w:tcW w:w="1440" w:type="dxa"/>
            <w:tcBorders>
              <w:bottom w:val="single" w:sz="4" w:space="0" w:color="auto"/>
            </w:tcBorders>
          </w:tcPr>
          <w:p w14:paraId="3229C62B" w14:textId="58E8172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2.9</w:t>
            </w:r>
          </w:p>
        </w:tc>
        <w:tc>
          <w:tcPr>
            <w:tcW w:w="1351" w:type="dxa"/>
            <w:tcBorders>
              <w:bottom w:val="single" w:sz="4" w:space="0" w:color="auto"/>
            </w:tcBorders>
          </w:tcPr>
          <w:p w14:paraId="4D795F6B" w14:textId="120992A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723DB524" w14:textId="444E72F9" w:rsidTr="009977AB">
        <w:trPr>
          <w:trHeight w:val="340"/>
        </w:trPr>
        <w:tc>
          <w:tcPr>
            <w:tcW w:w="1345" w:type="dxa"/>
            <w:vMerge w:val="restart"/>
            <w:tcBorders>
              <w:top w:val="single" w:sz="4" w:space="0" w:color="auto"/>
            </w:tcBorders>
            <w:hideMark/>
          </w:tcPr>
          <w:p w14:paraId="6280A96F" w14:textId="4F640292" w:rsidR="001C6753" w:rsidRPr="00FB45FB" w:rsidRDefault="001C6753" w:rsidP="001C6753">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Uncertain </w:t>
            </w:r>
          </w:p>
        </w:tc>
        <w:tc>
          <w:tcPr>
            <w:tcW w:w="1170" w:type="dxa"/>
            <w:tcBorders>
              <w:top w:val="single" w:sz="4" w:space="0" w:color="auto"/>
            </w:tcBorders>
            <w:hideMark/>
          </w:tcPr>
          <w:p w14:paraId="7CF0E42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260" w:type="dxa"/>
            <w:tcBorders>
              <w:top w:val="single" w:sz="4" w:space="0" w:color="auto"/>
            </w:tcBorders>
            <w:hideMark/>
          </w:tcPr>
          <w:p w14:paraId="406DD4C2" w14:textId="22F859F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160</w:t>
            </w:r>
          </w:p>
        </w:tc>
        <w:tc>
          <w:tcPr>
            <w:tcW w:w="1260" w:type="dxa"/>
            <w:tcBorders>
              <w:top w:val="single" w:sz="4" w:space="0" w:color="auto"/>
            </w:tcBorders>
            <w:hideMark/>
          </w:tcPr>
          <w:p w14:paraId="5087E47A" w14:textId="6C68B3C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153</w:t>
            </w:r>
          </w:p>
        </w:tc>
        <w:tc>
          <w:tcPr>
            <w:tcW w:w="1260" w:type="dxa"/>
            <w:tcBorders>
              <w:top w:val="single" w:sz="4" w:space="0" w:color="auto"/>
            </w:tcBorders>
            <w:hideMark/>
          </w:tcPr>
          <w:p w14:paraId="0854F989" w14:textId="555AEBE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6.0</w:t>
            </w:r>
          </w:p>
        </w:tc>
        <w:tc>
          <w:tcPr>
            <w:tcW w:w="1440" w:type="dxa"/>
            <w:tcBorders>
              <w:top w:val="single" w:sz="4" w:space="0" w:color="auto"/>
            </w:tcBorders>
          </w:tcPr>
          <w:p w14:paraId="4009CEE3" w14:textId="25C58FE8"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-9.0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7.1</w:t>
            </w:r>
          </w:p>
        </w:tc>
        <w:tc>
          <w:tcPr>
            <w:tcW w:w="1351" w:type="dxa"/>
            <w:tcBorders>
              <w:top w:val="single" w:sz="4" w:space="0" w:color="auto"/>
            </w:tcBorders>
          </w:tcPr>
          <w:p w14:paraId="109D91E7" w14:textId="27FCA66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9957CE4" w14:textId="07F2FD6C" w:rsidTr="009977AB">
        <w:trPr>
          <w:trHeight w:val="467"/>
        </w:trPr>
        <w:tc>
          <w:tcPr>
            <w:tcW w:w="1345" w:type="dxa"/>
            <w:vMerge/>
            <w:hideMark/>
          </w:tcPr>
          <w:p w14:paraId="445B2B8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78A1A0D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260" w:type="dxa"/>
            <w:hideMark/>
          </w:tcPr>
          <w:p w14:paraId="6BA4979F" w14:textId="6C19F34C"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38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130</w:t>
            </w:r>
          </w:p>
        </w:tc>
        <w:tc>
          <w:tcPr>
            <w:tcW w:w="1260" w:type="dxa"/>
            <w:hideMark/>
          </w:tcPr>
          <w:p w14:paraId="24599318" w14:textId="0233866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B6CBB97" w14:textId="6706B28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12.8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5.2</w:t>
            </w:r>
          </w:p>
        </w:tc>
        <w:tc>
          <w:tcPr>
            <w:tcW w:w="1440" w:type="dxa"/>
          </w:tcPr>
          <w:p w14:paraId="271B232A" w14:textId="6165E12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2.6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12.9</w:t>
            </w:r>
          </w:p>
        </w:tc>
        <w:tc>
          <w:tcPr>
            <w:tcW w:w="1351" w:type="dxa"/>
          </w:tcPr>
          <w:p w14:paraId="0FF0DC0C" w14:textId="67EB8A7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766F957" w14:textId="26367A99" w:rsidTr="009977AB">
        <w:trPr>
          <w:trHeight w:val="521"/>
        </w:trPr>
        <w:tc>
          <w:tcPr>
            <w:tcW w:w="1345" w:type="dxa"/>
            <w:vMerge/>
            <w:hideMark/>
          </w:tcPr>
          <w:p w14:paraId="46E4E24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55C9F1D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260" w:type="dxa"/>
            <w:hideMark/>
          </w:tcPr>
          <w:p w14:paraId="3F4FD7D1" w14:textId="495BBD4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94</w:t>
            </w:r>
          </w:p>
        </w:tc>
        <w:tc>
          <w:tcPr>
            <w:tcW w:w="1260" w:type="dxa"/>
            <w:hideMark/>
          </w:tcPr>
          <w:p w14:paraId="7517396D" w14:textId="1E12E0C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1702F5E6" w14:textId="6CD766D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7.0</w:t>
            </w:r>
          </w:p>
        </w:tc>
        <w:tc>
          <w:tcPr>
            <w:tcW w:w="1440" w:type="dxa"/>
          </w:tcPr>
          <w:p w14:paraId="20809596" w14:textId="7003564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17.9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351" w:type="dxa"/>
          </w:tcPr>
          <w:p w14:paraId="130A08F1" w14:textId="74499CE5"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A077A22" w14:textId="0305B25D" w:rsidTr="009977AB">
        <w:trPr>
          <w:trHeight w:val="350"/>
        </w:trPr>
        <w:tc>
          <w:tcPr>
            <w:tcW w:w="1345" w:type="dxa"/>
            <w:vMerge/>
            <w:hideMark/>
          </w:tcPr>
          <w:p w14:paraId="1478310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61FDE31C"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260" w:type="dxa"/>
            <w:hideMark/>
          </w:tcPr>
          <w:p w14:paraId="63FE95E4" w14:textId="6ED5CD4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103</w:t>
            </w:r>
          </w:p>
        </w:tc>
        <w:tc>
          <w:tcPr>
            <w:tcW w:w="1260" w:type="dxa"/>
            <w:hideMark/>
          </w:tcPr>
          <w:p w14:paraId="38C93B2C" w14:textId="1D41BCF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1AEFDDAE" w14:textId="3165CE2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7.8</w:t>
            </w:r>
          </w:p>
        </w:tc>
        <w:tc>
          <w:tcPr>
            <w:tcW w:w="1440" w:type="dxa"/>
          </w:tcPr>
          <w:p w14:paraId="5123E928" w14:textId="0F94F04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39.9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5.5</w:t>
            </w:r>
          </w:p>
        </w:tc>
        <w:tc>
          <w:tcPr>
            <w:tcW w:w="1351" w:type="dxa"/>
          </w:tcPr>
          <w:p w14:paraId="0C983EBA" w14:textId="62F355C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1E1577C4" w14:textId="47AB2E1A" w:rsidTr="009977AB">
        <w:trPr>
          <w:trHeight w:val="350"/>
        </w:trPr>
        <w:tc>
          <w:tcPr>
            <w:tcW w:w="1345" w:type="dxa"/>
            <w:vMerge/>
            <w:tcBorders>
              <w:bottom w:val="single" w:sz="4" w:space="0" w:color="auto"/>
            </w:tcBorders>
          </w:tcPr>
          <w:p w14:paraId="6BE54F4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tcBorders>
              <w:bottom w:val="single" w:sz="4" w:space="0" w:color="auto"/>
            </w:tcBorders>
          </w:tcPr>
          <w:p w14:paraId="571F4A55"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260" w:type="dxa"/>
            <w:tcBorders>
              <w:bottom w:val="single" w:sz="4" w:space="0" w:color="auto"/>
            </w:tcBorders>
          </w:tcPr>
          <w:p w14:paraId="66737C2A" w14:textId="73BC16B6"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86</w:t>
            </w:r>
          </w:p>
        </w:tc>
        <w:tc>
          <w:tcPr>
            <w:tcW w:w="1260" w:type="dxa"/>
            <w:tcBorders>
              <w:bottom w:val="single" w:sz="4" w:space="0" w:color="auto"/>
            </w:tcBorders>
          </w:tcPr>
          <w:p w14:paraId="776F3690" w14:textId="4E6C2754"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90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69</w:t>
            </w:r>
          </w:p>
        </w:tc>
        <w:tc>
          <w:tcPr>
            <w:tcW w:w="1260" w:type="dxa"/>
            <w:tcBorders>
              <w:bottom w:val="single" w:sz="4" w:space="0" w:color="auto"/>
            </w:tcBorders>
          </w:tcPr>
          <w:p w14:paraId="008D3451" w14:textId="0242B5A8"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4.6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2.2</w:t>
            </w:r>
          </w:p>
        </w:tc>
        <w:tc>
          <w:tcPr>
            <w:tcW w:w="1440" w:type="dxa"/>
            <w:tcBorders>
              <w:bottom w:val="single" w:sz="4" w:space="0" w:color="auto"/>
            </w:tcBorders>
          </w:tcPr>
          <w:p w14:paraId="4DB5E61D" w14:textId="79A644D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45.7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17.1</w:t>
            </w:r>
          </w:p>
        </w:tc>
        <w:tc>
          <w:tcPr>
            <w:tcW w:w="1351" w:type="dxa"/>
            <w:tcBorders>
              <w:bottom w:val="single" w:sz="4" w:space="0" w:color="auto"/>
            </w:tcBorders>
          </w:tcPr>
          <w:p w14:paraId="0D1485B0" w14:textId="55EC46F0"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bl>
    <w:p w14:paraId="664B779F" w14:textId="5B207E58" w:rsidR="00434DCE" w:rsidRDefault="002D1287" w:rsidP="00A77EE2">
      <w:pPr>
        <w:spacing w:after="240"/>
        <w:rPr>
          <w:rFonts w:ascii="Times New Roman" w:eastAsia="Times New Roman" w:hAnsi="Times New Roman" w:cs="Times New Roman"/>
          <w:szCs w:val="24"/>
        </w:rPr>
      </w:pPr>
      <w:r>
        <w:rPr>
          <w:rFonts w:ascii="Times New Roman" w:hAnsi="Times New Roman" w:cs="Times New Roman"/>
          <w:sz w:val="22"/>
          <w:szCs w:val="22"/>
        </w:rPr>
        <w:t>*</w:t>
      </w:r>
      <w:r w:rsidR="00321E53" w:rsidRPr="00F41060">
        <w:rPr>
          <w:rFonts w:ascii="Times New Roman" w:hAnsi="Times New Roman" w:cs="Times New Roman"/>
          <w:sz w:val="22"/>
          <w:szCs w:val="22"/>
        </w:rPr>
        <w:t>Values are averages</w:t>
      </w:r>
      <w:r w:rsidR="006F396D">
        <w:rPr>
          <w:rFonts w:ascii="Times New Roman" w:hAnsi="Times New Roman" w:cs="Times New Roman"/>
          <w:sz w:val="22"/>
          <w:szCs w:val="22"/>
        </w:rPr>
        <w:t xml:space="preserve"> </w:t>
      </w:r>
      <w:r w:rsidR="00321E53" w:rsidRPr="00F41060">
        <w:rPr>
          <w:rFonts w:ascii="Times New Roman" w:hAnsi="Times New Roman" w:cs="Times New Roman"/>
          <w:sz w:val="22"/>
          <w:szCs w:val="22"/>
        </w:rPr>
        <w:t xml:space="preserve">over the last 20 frames (~10ns) of </w:t>
      </w:r>
      <w:r w:rsidR="00F41060">
        <w:rPr>
          <w:rFonts w:ascii="Times New Roman" w:hAnsi="Times New Roman" w:cs="Times New Roman"/>
          <w:sz w:val="22"/>
          <w:szCs w:val="22"/>
        </w:rPr>
        <w:t>3 independent</w:t>
      </w:r>
      <w:r w:rsidR="00321E53" w:rsidRPr="00F41060">
        <w:rPr>
          <w:rFonts w:ascii="Times New Roman" w:hAnsi="Times New Roman" w:cs="Times New Roman"/>
          <w:sz w:val="22"/>
          <w:szCs w:val="22"/>
        </w:rPr>
        <w:t xml:space="preserve"> 100ns production MD simulations</w:t>
      </w:r>
      <w:r w:rsidR="006F396D">
        <w:rPr>
          <w:rFonts w:ascii="Times New Roman" w:hAnsi="Times New Roman" w:cs="Times New Roman"/>
          <w:sz w:val="22"/>
          <w:szCs w:val="22"/>
        </w:rPr>
        <w:t>. Errors are computed as standard errors of the mean (SEM) over the 3 replicates.</w:t>
      </w:r>
    </w:p>
    <w:p w14:paraId="2F43C2EF" w14:textId="358CDB94" w:rsidR="00D17D1B" w:rsidRDefault="00001714" w:rsidP="00434DCE">
      <w:pPr>
        <w:spacing w:after="240"/>
        <w:rPr>
          <w:rFonts w:ascii="Times New Roman" w:hAnsi="Times New Roman" w:cs="Times New Roman"/>
          <w:szCs w:val="24"/>
        </w:rPr>
      </w:pPr>
      <w:r>
        <w:rPr>
          <w:rFonts w:ascii="Times New Roman" w:hAnsi="Times New Roman" w:cs="Times New Roman"/>
          <w:color w:val="000000"/>
          <w:szCs w:val="24"/>
        </w:rPr>
        <w:t>First</w:t>
      </w:r>
      <w:r w:rsidR="00D17D1B">
        <w:rPr>
          <w:rFonts w:ascii="Times New Roman" w:hAnsi="Times New Roman" w:cs="Times New Roman"/>
          <w:color w:val="000000"/>
          <w:szCs w:val="24"/>
        </w:rPr>
        <w:t>, we observed huge trajectory to trajectory variability in the ∆∆G values. For reference, the average</w:t>
      </w:r>
      <w:r>
        <w:rPr>
          <w:rFonts w:ascii="Times New Roman" w:hAnsi="Times New Roman" w:cs="Times New Roman"/>
          <w:color w:val="000000"/>
          <w:szCs w:val="24"/>
        </w:rPr>
        <w:t xml:space="preserve"> of the non-negative</w:t>
      </w:r>
      <w:r w:rsidR="00D17D1B">
        <w:rPr>
          <w:rFonts w:ascii="Times New Roman" w:hAnsi="Times New Roman" w:cs="Times New Roman"/>
          <w:color w:val="000000"/>
          <w:szCs w:val="24"/>
        </w:rPr>
        <w:t xml:space="preserv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color w:val="000000"/>
          <w:szCs w:val="24"/>
        </w:rPr>
        <w:t xml:space="preserve"> </w:t>
      </w:r>
      <w:r>
        <w:rPr>
          <w:rFonts w:ascii="Times New Roman" w:hAnsi="Times New Roman" w:cs="Times New Roman"/>
          <w:color w:val="000000"/>
          <w:szCs w:val="24"/>
        </w:rPr>
        <w:t xml:space="preserve">values </w:t>
      </w:r>
      <w:r w:rsidR="00D17D1B">
        <w:rPr>
          <w:rFonts w:ascii="Times New Roman" w:hAnsi="Times New Roman" w:cs="Times New Roman"/>
          <w:color w:val="000000"/>
          <w:szCs w:val="24"/>
        </w:rPr>
        <w:t xml:space="preserve">across the panel was </w:t>
      </w:r>
      <w:r>
        <w:rPr>
          <w:rFonts w:ascii="Times New Roman" w:hAnsi="Times New Roman" w:cs="Times New Roman"/>
          <w:color w:val="000000"/>
          <w:szCs w:val="24"/>
        </w:rPr>
        <w:t>77</w:t>
      </w:r>
      <w:r w:rsidR="00D17D1B">
        <w:rPr>
          <w:rFonts w:ascii="Times New Roman" w:hAnsi="Times New Roman" w:cs="Times New Roman"/>
          <w:color w:val="000000"/>
          <w:szCs w:val="24"/>
        </w:rPr>
        <w:t xml:space="preserve"> kJ/mol, while </w:t>
      </w:r>
      <w:r>
        <w:rPr>
          <w:rFonts w:ascii="Times New Roman" w:hAnsi="Times New Roman" w:cs="Times New Roman"/>
          <w:color w:val="000000"/>
          <w:szCs w:val="24"/>
        </w:rPr>
        <w:t xml:space="preserve">the average of their standard error was 126 kJ/mol. </w:t>
      </w:r>
      <w:r w:rsidR="00D17D1B">
        <w:rPr>
          <w:rFonts w:ascii="Times New Roman" w:hAnsi="Times New Roman" w:cs="Times New Roman"/>
          <w:color w:val="000000"/>
          <w:szCs w:val="24"/>
        </w:rPr>
        <w:t>The only three genotypes that exhibited global destabilization of RT-DOR complex relative to WT were V106I+F227C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183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116</w:t>
      </w:r>
      <w:r w:rsidR="00D17D1B">
        <w:rPr>
          <w:rFonts w:ascii="Times New Roman" w:hAnsi="Times New Roman" w:cs="Times New Roman"/>
          <w:color w:val="000000"/>
          <w:szCs w:val="24"/>
        </w:rPr>
        <w:t xml:space="preserve"> kJ/mol), G190E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141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86</w:t>
      </w:r>
      <w:r w:rsidR="00D17D1B">
        <w:rPr>
          <w:rFonts w:ascii="Times New Roman" w:hAnsi="Times New Roman" w:cs="Times New Roman"/>
          <w:color w:val="000000"/>
          <w:szCs w:val="24"/>
        </w:rPr>
        <w:t xml:space="preserve"> kJ/mol), and K103N+M230L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szCs w:val="24"/>
        </w:rPr>
        <w:t xml:space="preserve">83 </w:t>
      </w:r>
      <w:r w:rsidR="00D17D1B" w:rsidRPr="00676923">
        <w:rPr>
          <w:rFonts w:ascii="Times New Roman" w:hAnsi="Times New Roman" w:cs="Times New Roman"/>
          <w:szCs w:val="24"/>
        </w:rPr>
        <w:sym w:font="Symbol" w:char="F0B1"/>
      </w:r>
      <w:r w:rsidR="00D17D1B" w:rsidRPr="00676923">
        <w:rPr>
          <w:rFonts w:ascii="Times New Roman" w:hAnsi="Times New Roman" w:cs="Times New Roman"/>
          <w:szCs w:val="24"/>
        </w:rPr>
        <w:t xml:space="preserve"> 40</w:t>
      </w:r>
      <w:r w:rsidR="00D17D1B">
        <w:rPr>
          <w:rFonts w:ascii="Times New Roman" w:hAnsi="Times New Roman" w:cs="Times New Roman"/>
          <w:szCs w:val="24"/>
        </w:rPr>
        <w:t xml:space="preserve"> </w:t>
      </w:r>
      <w:r w:rsidR="00D17D1B">
        <w:rPr>
          <w:rFonts w:ascii="Times New Roman" w:hAnsi="Times New Roman" w:cs="Times New Roman"/>
          <w:color w:val="000000"/>
          <w:szCs w:val="24"/>
        </w:rPr>
        <w:t>kJ/mol). For all other genotypes, the WT-referenced total energy shift was zero or near zero within error.</w:t>
      </w:r>
    </w:p>
    <w:p w14:paraId="57E78857" w14:textId="69D4E0DC" w:rsidR="00BD2E8C" w:rsidRDefault="001C6753" w:rsidP="00434DCE">
      <w:pPr>
        <w:spacing w:after="240"/>
        <w:rPr>
          <w:rFonts w:ascii="Times New Roman" w:hAnsi="Times New Roman" w:cs="Times New Roman"/>
          <w:color w:val="000000"/>
          <w:szCs w:val="24"/>
        </w:rPr>
      </w:pPr>
      <w:r>
        <w:rPr>
          <w:rFonts w:ascii="Times New Roman" w:hAnsi="Times New Roman" w:cs="Times New Roman"/>
          <w:szCs w:val="24"/>
        </w:rPr>
        <w:t>We found that t</w:t>
      </w:r>
      <w:r w:rsidR="00BD2E8C">
        <w:rPr>
          <w:rFonts w:ascii="Times New Roman" w:hAnsi="Times New Roman" w:cs="Times New Roman"/>
          <w:szCs w:val="24"/>
        </w:rPr>
        <w:t xml:space="preserve">he van der Waals component </w:t>
      </w:r>
      <w:r>
        <w:rPr>
          <w:rFonts w:ascii="Times New Roman" w:hAnsi="Times New Roman" w:cs="Times New Roman"/>
          <w:szCs w:val="24"/>
        </w:rPr>
        <w:t xml:space="preserve">generally </w:t>
      </w:r>
      <w:r w:rsidR="00BD2E8C">
        <w:rPr>
          <w:rFonts w:ascii="Times New Roman" w:hAnsi="Times New Roman" w:cs="Times New Roman"/>
          <w:szCs w:val="24"/>
        </w:rPr>
        <w:t xml:space="preserve">dominated </w:t>
      </w:r>
      <w:r>
        <w:rPr>
          <w:rFonts w:ascii="Times New Roman" w:hAnsi="Times New Roman" w:cs="Times New Roman"/>
          <w:szCs w:val="24"/>
        </w:rPr>
        <w:t xml:space="preserve">over </w:t>
      </w:r>
      <w:r w:rsidR="00BD2E8C">
        <w:rPr>
          <w:rFonts w:ascii="Times New Roman" w:hAnsi="Times New Roman" w:cs="Times New Roman"/>
          <w:szCs w:val="24"/>
        </w:rPr>
        <w:t>the other components</w:t>
      </w:r>
      <w:r w:rsidR="00577ABC">
        <w:rPr>
          <w:rFonts w:ascii="Times New Roman" w:hAnsi="Times New Roman" w:cs="Times New Roman"/>
          <w:szCs w:val="24"/>
        </w:rPr>
        <w:t>, both</w:t>
      </w:r>
      <w:r w:rsidR="00BD2E8C">
        <w:rPr>
          <w:rFonts w:ascii="Times New Roman" w:hAnsi="Times New Roman" w:cs="Times New Roman"/>
          <w:szCs w:val="24"/>
        </w:rPr>
        <w:t xml:space="preserve"> in terms of absolute contribution to </w:t>
      </w:r>
      <w:r w:rsidR="00577ABC">
        <w:rPr>
          <w:rFonts w:ascii="Times New Roman" w:hAnsi="Times New Roman" w:cs="Times New Roman"/>
          <w:szCs w:val="24"/>
        </w:rPr>
        <w:t xml:space="preserve">and the overall variation across replicates of the </w:t>
      </w:r>
      <w:r w:rsidR="00BD2E8C">
        <w:rPr>
          <w:rFonts w:ascii="Times New Roman" w:hAnsi="Times New Roman" w:cs="Times New Roman"/>
          <w:szCs w:val="24"/>
        </w:rPr>
        <w:t>total binding energy changes</w:t>
      </w:r>
      <w:r>
        <w:rPr>
          <w:rFonts w:ascii="Times New Roman" w:hAnsi="Times New Roman" w:cs="Times New Roman"/>
          <w:szCs w:val="24"/>
        </w:rPr>
        <w:t xml:space="preserve"> w</w:t>
      </w:r>
      <w:r w:rsidR="00021A9F">
        <w:rPr>
          <w:rFonts w:ascii="Times New Roman" w:hAnsi="Times New Roman" w:cs="Times New Roman"/>
          <w:szCs w:val="24"/>
        </w:rPr>
        <w:t>ith respect to</w:t>
      </w:r>
      <w:r>
        <w:rPr>
          <w:rFonts w:ascii="Times New Roman" w:hAnsi="Times New Roman" w:cs="Times New Roman"/>
          <w:szCs w:val="24"/>
        </w:rPr>
        <w:t xml:space="preserve"> W</w:t>
      </w:r>
      <w:r w:rsidR="00577ABC">
        <w:rPr>
          <w:rFonts w:ascii="Times New Roman" w:hAnsi="Times New Roman" w:cs="Times New Roman"/>
          <w:szCs w:val="24"/>
        </w:rPr>
        <w:t>T. For example, for the well-known DOR associated mutation Y188L, WT-referenced total energy shift was ∆∆</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Total</w:t>
      </w:r>
      <w:proofErr w:type="spellEnd"/>
      <w:r w:rsidR="00577ABC">
        <w:rPr>
          <w:rFonts w:ascii="Times New Roman" w:hAnsi="Times New Roman" w:cs="Times New Roman"/>
          <w:szCs w:val="24"/>
        </w:rPr>
        <w:t xml:space="preserve"> = </w:t>
      </w:r>
      <w:r w:rsidR="00577ABC" w:rsidRPr="009977AB">
        <w:rPr>
          <w:rFonts w:ascii="Times New Roman" w:hAnsi="Times New Roman" w:cs="Times New Roman"/>
          <w:szCs w:val="24"/>
        </w:rPr>
        <w:t>82</w:t>
      </w:r>
      <w:r w:rsidR="00577ABC" w:rsidRPr="009977AB">
        <w:rPr>
          <w:rFonts w:ascii="Times New Roman" w:hAnsi="Times New Roman" w:cs="Times New Roman"/>
          <w:color w:val="000000"/>
          <w:szCs w:val="24"/>
        </w:rPr>
        <w:t xml:space="preserve"> </w:t>
      </w:r>
      <w:r w:rsidR="00577ABC" w:rsidRPr="009977AB">
        <w:rPr>
          <w:rFonts w:ascii="Times New Roman" w:hAnsi="Times New Roman" w:cs="Times New Roman"/>
          <w:color w:val="000000"/>
          <w:szCs w:val="24"/>
        </w:rPr>
        <w:sym w:font="Symbol" w:char="F0B1"/>
      </w:r>
      <w:r w:rsidR="00577ABC" w:rsidRPr="009977AB">
        <w:rPr>
          <w:rFonts w:ascii="Times New Roman" w:hAnsi="Times New Roman" w:cs="Times New Roman"/>
          <w:color w:val="000000"/>
          <w:szCs w:val="24"/>
        </w:rPr>
        <w:t xml:space="preserve"> 213</w:t>
      </w:r>
      <w:r w:rsidR="00577ABC">
        <w:rPr>
          <w:rFonts w:ascii="Times New Roman" w:hAnsi="Times New Roman" w:cs="Times New Roman"/>
          <w:color w:val="000000"/>
          <w:szCs w:val="24"/>
        </w:rPr>
        <w:t xml:space="preserve"> kJ/mol with the van der Waals component </w:t>
      </w:r>
      <w:r w:rsidR="00577ABC">
        <w:rPr>
          <w:rFonts w:ascii="Times New Roman" w:hAnsi="Times New Roman" w:cs="Times New Roman"/>
          <w:szCs w:val="24"/>
        </w:rPr>
        <w:t>∆∆</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vdW</w:t>
      </w:r>
      <w:proofErr w:type="spellEnd"/>
      <w:r w:rsidR="00577ABC">
        <w:rPr>
          <w:rFonts w:ascii="Times New Roman" w:hAnsi="Times New Roman" w:cs="Times New Roman"/>
          <w:szCs w:val="24"/>
        </w:rPr>
        <w:t xml:space="preserve"> = 64</w:t>
      </w:r>
      <w:r w:rsidR="00577ABC" w:rsidRPr="00595432">
        <w:rPr>
          <w:rFonts w:ascii="Times New Roman" w:hAnsi="Times New Roman" w:cs="Times New Roman"/>
          <w:color w:val="000000"/>
          <w:szCs w:val="24"/>
        </w:rPr>
        <w:t xml:space="preserve"> </w:t>
      </w:r>
      <w:r w:rsidR="00577ABC" w:rsidRPr="00595432">
        <w:rPr>
          <w:rFonts w:ascii="Times New Roman" w:hAnsi="Times New Roman" w:cs="Times New Roman"/>
          <w:color w:val="000000"/>
          <w:szCs w:val="24"/>
        </w:rPr>
        <w:sym w:font="Symbol" w:char="F0B1"/>
      </w:r>
      <w:r w:rsidR="00577ABC" w:rsidRPr="00595432">
        <w:rPr>
          <w:rFonts w:ascii="Times New Roman" w:hAnsi="Times New Roman" w:cs="Times New Roman"/>
          <w:color w:val="000000"/>
          <w:szCs w:val="24"/>
        </w:rPr>
        <w:t xml:space="preserve"> </w:t>
      </w:r>
      <w:r w:rsidR="00577ABC">
        <w:rPr>
          <w:rFonts w:ascii="Times New Roman" w:hAnsi="Times New Roman" w:cs="Times New Roman"/>
          <w:color w:val="000000"/>
          <w:szCs w:val="24"/>
        </w:rPr>
        <w:t xml:space="preserve">189 kJ/mol. Thus, on average, Y188L was found to destabilize the RT-DOR complex by 82 kJ/mol with 64 kJ/mol (78%) being contributed by the van der Waals component. However, independent simulations suggested a </w:t>
      </w:r>
      <w:r w:rsidR="008E42CA">
        <w:rPr>
          <w:rFonts w:ascii="Times New Roman" w:hAnsi="Times New Roman" w:cs="Times New Roman"/>
          <w:color w:val="000000"/>
          <w:szCs w:val="24"/>
        </w:rPr>
        <w:t xml:space="preserve">large </w:t>
      </w:r>
      <w:r w:rsidR="00104796">
        <w:rPr>
          <w:rFonts w:ascii="Times New Roman" w:hAnsi="Times New Roman" w:cs="Times New Roman"/>
          <w:color w:val="000000"/>
          <w:szCs w:val="24"/>
        </w:rPr>
        <w:t>variation in these numbers, with the standard deviation for total WT-referenced energy shift being 369 kJ/mol and for the van der Waals component being 327 kJ/mol.</w:t>
      </w:r>
      <w:r w:rsidR="00577ABC">
        <w:rPr>
          <w:rFonts w:ascii="Times New Roman" w:hAnsi="Times New Roman" w:cs="Times New Roman"/>
          <w:color w:val="000000"/>
          <w:szCs w:val="24"/>
        </w:rPr>
        <w:t xml:space="preserve"> </w:t>
      </w:r>
      <w:r w:rsidR="00CB613B" w:rsidRPr="00CB613B">
        <w:rPr>
          <w:rFonts w:ascii="Times New Roman" w:hAnsi="Times New Roman" w:cs="Times New Roman"/>
          <w:color w:val="000000"/>
          <w:szCs w:val="24"/>
        </w:rPr>
        <w:t>Visual inspection</w:t>
      </w:r>
      <w:r w:rsidR="00001714">
        <w:rPr>
          <w:rFonts w:ascii="Times New Roman" w:hAnsi="Times New Roman" w:cs="Times New Roman"/>
          <w:color w:val="000000"/>
          <w:szCs w:val="24"/>
        </w:rPr>
        <w:t xml:space="preserve"> of the structures</w:t>
      </w:r>
      <w:r w:rsidR="00CB613B" w:rsidRPr="00CB613B">
        <w:rPr>
          <w:rFonts w:ascii="Times New Roman" w:hAnsi="Times New Roman" w:cs="Times New Roman"/>
          <w:color w:val="000000"/>
          <w:szCs w:val="24"/>
        </w:rPr>
        <w:t xml:space="preserve"> indicated that this variation </w:t>
      </w:r>
      <w:r w:rsidR="00CB613B">
        <w:rPr>
          <w:rFonts w:ascii="Times New Roman" w:hAnsi="Times New Roman" w:cs="Times New Roman"/>
          <w:color w:val="000000"/>
          <w:szCs w:val="24"/>
        </w:rPr>
        <w:t xml:space="preserve">may have </w:t>
      </w:r>
      <w:r w:rsidR="00CB613B" w:rsidRPr="00CB613B">
        <w:rPr>
          <w:rFonts w:ascii="Times New Roman" w:hAnsi="Times New Roman" w:cs="Times New Roman"/>
          <w:color w:val="000000"/>
          <w:szCs w:val="24"/>
        </w:rPr>
        <w:t>ar</w:t>
      </w:r>
      <w:r w:rsidR="00CB613B">
        <w:rPr>
          <w:rFonts w:ascii="Times New Roman" w:hAnsi="Times New Roman" w:cs="Times New Roman"/>
          <w:color w:val="000000"/>
          <w:szCs w:val="24"/>
        </w:rPr>
        <w:t>isen</w:t>
      </w:r>
      <w:r w:rsidR="00CB613B" w:rsidRPr="00CB613B">
        <w:rPr>
          <w:rFonts w:ascii="Times New Roman" w:hAnsi="Times New Roman" w:cs="Times New Roman"/>
          <w:color w:val="000000"/>
          <w:szCs w:val="24"/>
        </w:rPr>
        <w:t xml:space="preserve"> from alternate conformations of Leu188, which produced distinct DOR packing arrangements across replicates, some resembling </w:t>
      </w:r>
      <w:r w:rsidR="00676923">
        <w:rPr>
          <w:rFonts w:ascii="Times New Roman" w:hAnsi="Times New Roman" w:cs="Times New Roman"/>
          <w:color w:val="000000"/>
          <w:szCs w:val="24"/>
        </w:rPr>
        <w:t xml:space="preserve">Tyr188 in </w:t>
      </w:r>
      <w:r w:rsidR="00CB613B" w:rsidRPr="00CB613B">
        <w:rPr>
          <w:rFonts w:ascii="Times New Roman" w:hAnsi="Times New Roman" w:cs="Times New Roman"/>
          <w:color w:val="000000"/>
          <w:szCs w:val="24"/>
        </w:rPr>
        <w:t>WT and others deviating substantially from it.</w:t>
      </w:r>
    </w:p>
    <w:p w14:paraId="71CBC707" w14:textId="0994526D" w:rsidR="00434DCE" w:rsidRDefault="00434DCE" w:rsidP="00434DCE">
      <w:pPr>
        <w:spacing w:after="240"/>
        <w:rPr>
          <w:rFonts w:ascii="Times New Roman" w:hAnsi="Times New Roman" w:cs="Times New Roman"/>
          <w:szCs w:val="24"/>
        </w:rPr>
      </w:pPr>
      <w:r w:rsidRPr="00985CF1">
        <w:rPr>
          <w:rFonts w:ascii="Times New Roman" w:hAnsi="Times New Roman" w:cs="Times New Roman"/>
          <w:szCs w:val="24"/>
        </w:rPr>
        <w:t xml:space="preserve">From the perspective of WT-referenced electrostatic </w:t>
      </w:r>
      <w:r w:rsidR="00CB613B">
        <w:rPr>
          <w:rFonts w:ascii="Times New Roman" w:hAnsi="Times New Roman" w:cs="Times New Roman"/>
          <w:szCs w:val="24"/>
        </w:rPr>
        <w:t xml:space="preserve">energy </w:t>
      </w:r>
      <w:r w:rsidRPr="00985CF1">
        <w:rPr>
          <w:rFonts w:ascii="Times New Roman" w:hAnsi="Times New Roman" w:cs="Times New Roman"/>
          <w:szCs w:val="24"/>
        </w:rPr>
        <w:t xml:space="preserve">shifts, all </w:t>
      </w:r>
      <w:r>
        <w:rPr>
          <w:rFonts w:ascii="Times New Roman" w:hAnsi="Times New Roman" w:cs="Times New Roman"/>
          <w:szCs w:val="24"/>
        </w:rPr>
        <w:t>susceptible</w:t>
      </w:r>
      <w:r w:rsidRPr="00985CF1">
        <w:rPr>
          <w:rFonts w:ascii="Times New Roman" w:hAnsi="Times New Roman" w:cs="Times New Roman"/>
          <w:szCs w:val="24"/>
        </w:rPr>
        <w:t xml:space="preserve">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w:t>
      </w:r>
      <w:r w:rsidRPr="00434DCE">
        <w:rPr>
          <w:rFonts w:ascii="Times New Roman" w:hAnsi="Times New Roman" w:cs="Times New Roman"/>
          <w:szCs w:val="24"/>
        </w:rPr>
        <w:t xml:space="preserve">7.9 </w:t>
      </w:r>
      <w:r w:rsidRPr="009977AB">
        <w:rPr>
          <w:rFonts w:ascii="Times New Roman" w:hAnsi="Times New Roman" w:cs="Times New Roman"/>
          <w:color w:val="000000"/>
          <w:szCs w:val="24"/>
        </w:rPr>
        <w:sym w:font="Symbol" w:char="F0B1"/>
      </w:r>
      <w:r w:rsidRPr="009977AB">
        <w:rPr>
          <w:rFonts w:ascii="Times New Roman" w:hAnsi="Times New Roman" w:cs="Times New Roman"/>
          <w:color w:val="000000"/>
          <w:szCs w:val="24"/>
        </w:rPr>
        <w:t xml:space="preserve"> 3.3</w:t>
      </w:r>
      <w:r>
        <w:rPr>
          <w:rFonts w:ascii="Times New Roman" w:hAnsi="Times New Roman" w:cs="Times New Roman"/>
          <w:szCs w:val="24"/>
        </w:rPr>
        <w:t xml:space="preserve"> kJ/mol). </w:t>
      </w:r>
      <w:r w:rsidRPr="00985CF1">
        <w:rPr>
          <w:rFonts w:ascii="Times New Roman" w:hAnsi="Times New Roman" w:cs="Times New Roman"/>
          <w:szCs w:val="24"/>
        </w:rPr>
        <w:t xml:space="preserve">In contrast, four of the </w:t>
      </w:r>
      <w:r>
        <w:rPr>
          <w:rFonts w:ascii="Times New Roman" w:hAnsi="Times New Roman" w:cs="Times New Roman"/>
          <w:szCs w:val="24"/>
        </w:rPr>
        <w:t>nine</w:t>
      </w:r>
      <w:r w:rsidRPr="00985CF1">
        <w:rPr>
          <w:rFonts w:ascii="Times New Roman" w:hAnsi="Times New Roman" w:cs="Times New Roman"/>
          <w:szCs w:val="24"/>
        </w:rPr>
        <w:t xml:space="preserve"> </w:t>
      </w:r>
      <w:r>
        <w:rPr>
          <w:rFonts w:ascii="Times New Roman" w:hAnsi="Times New Roman" w:cs="Times New Roman"/>
          <w:szCs w:val="24"/>
        </w:rPr>
        <w:t>resistant</w:t>
      </w:r>
      <w:r w:rsidRPr="00985CF1">
        <w:rPr>
          <w:rFonts w:ascii="Times New Roman" w:hAnsi="Times New Roman" w:cs="Times New Roman"/>
          <w:szCs w:val="24"/>
        </w:rPr>
        <w:t xml:space="preserve">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 xml:space="preserve">values within error, consistent with reduced electrostatic stability relative to WT. Among the </w:t>
      </w:r>
      <w:r>
        <w:rPr>
          <w:rFonts w:ascii="Times New Roman" w:hAnsi="Times New Roman" w:cs="Times New Roman"/>
          <w:szCs w:val="24"/>
        </w:rPr>
        <w:t>five</w:t>
      </w:r>
      <w:r w:rsidRPr="00985CF1">
        <w:rPr>
          <w:rFonts w:ascii="Times New Roman" w:hAnsi="Times New Roman" w:cs="Times New Roman"/>
          <w:szCs w:val="24"/>
        </w:rPr>
        <w:t xml:space="preserve"> mutations with uncertain phenotype, G190S and G190E were electrostatically less stable than WT, whereas </w:t>
      </w:r>
      <w:r w:rsidR="00CB613B">
        <w:rPr>
          <w:rFonts w:ascii="Times New Roman" w:hAnsi="Times New Roman" w:cs="Times New Roman"/>
          <w:szCs w:val="24"/>
        </w:rPr>
        <w:t xml:space="preserve">V106M, </w:t>
      </w:r>
      <w:r w:rsidRPr="00985CF1">
        <w:rPr>
          <w:rFonts w:ascii="Times New Roman" w:hAnsi="Times New Roman" w:cs="Times New Roman"/>
          <w:szCs w:val="24"/>
        </w:rPr>
        <w:t>K103N+L100I</w:t>
      </w:r>
      <w:r w:rsidR="00CB613B">
        <w:rPr>
          <w:rFonts w:ascii="Times New Roman" w:hAnsi="Times New Roman" w:cs="Times New Roman"/>
          <w:szCs w:val="24"/>
        </w:rPr>
        <w:t>, and K103N+P225H</w:t>
      </w:r>
      <w:r w:rsidRPr="00985CF1">
        <w:rPr>
          <w:rFonts w:ascii="Times New Roman" w:hAnsi="Times New Roman" w:cs="Times New Roman"/>
          <w:szCs w:val="24"/>
        </w:rPr>
        <w:t xml:space="preserve"> </w:t>
      </w:r>
      <w:r>
        <w:rPr>
          <w:rFonts w:ascii="Times New Roman" w:hAnsi="Times New Roman" w:cs="Times New Roman"/>
          <w:szCs w:val="24"/>
        </w:rPr>
        <w:t>w</w:t>
      </w:r>
      <w:r w:rsidR="00CB613B">
        <w:rPr>
          <w:rFonts w:ascii="Times New Roman" w:hAnsi="Times New Roman" w:cs="Times New Roman"/>
          <w:szCs w:val="24"/>
        </w:rPr>
        <w:t>ere equally or</w:t>
      </w:r>
      <w:r w:rsidRPr="00985CF1">
        <w:rPr>
          <w:rFonts w:ascii="Times New Roman" w:hAnsi="Times New Roman" w:cs="Times New Roman"/>
          <w:szCs w:val="24"/>
        </w:rPr>
        <w:t xml:space="preserve"> more stable </w:t>
      </w:r>
      <w:r w:rsidR="00CB613B">
        <w:rPr>
          <w:rFonts w:ascii="Times New Roman" w:hAnsi="Times New Roman" w:cs="Times New Roman"/>
          <w:szCs w:val="24"/>
        </w:rPr>
        <w:t>than</w:t>
      </w:r>
      <w:r w:rsidRPr="00985CF1">
        <w:rPr>
          <w:rFonts w:ascii="Times New Roman" w:hAnsi="Times New Roman" w:cs="Times New Roman"/>
          <w:szCs w:val="24"/>
        </w:rPr>
        <w:t xml:space="preserve"> WT.</w:t>
      </w:r>
    </w:p>
    <w:p w14:paraId="497965FF" w14:textId="79910AD6" w:rsidR="00434DCE" w:rsidRPr="009E1D62" w:rsidRDefault="00434DCE" w:rsidP="009977AB">
      <w:pPr>
        <w:pStyle w:val="NormalWeb"/>
      </w:pPr>
      <w:r w:rsidRPr="00985CF1">
        <w:t xml:space="preserve">Overall, neither the total WT-referenced energetic shifts nor most individual energy components correlated with </w:t>
      </w:r>
      <w:r w:rsidR="00D37DEE">
        <w:t>published</w:t>
      </w:r>
      <w:r w:rsidRPr="00985CF1">
        <w:t xml:space="preserve"> phenotypic fold-change data (</w:t>
      </w:r>
      <w:r w:rsidR="00CB613B">
        <w:t>Table 2 and Supplementary Table 3</w:t>
      </w:r>
      <w:r w:rsidRPr="00985CF1">
        <w:t xml:space="preserve">). </w:t>
      </w:r>
      <w:r w:rsidRPr="00985CF1">
        <w:lastRenderedPageBreak/>
        <w:t xml:space="preserve">The main exception was the electrostatic component, which showed a weak but statistically </w:t>
      </w:r>
      <w:r w:rsidR="00D37DEE">
        <w:t>non-</w:t>
      </w:r>
      <w:r w:rsidRPr="00985CF1">
        <w:t xml:space="preserve">significant correlation with fold-change values among the </w:t>
      </w:r>
      <w:r w:rsidR="00CB613B">
        <w:t>susceptible</w:t>
      </w:r>
      <w:r w:rsidRPr="00985CF1">
        <w:t xml:space="preserve"> and </w:t>
      </w:r>
      <w:r w:rsidR="00CB613B">
        <w:t>resistant</w:t>
      </w:r>
      <w:r w:rsidRPr="00985CF1">
        <w:t xml:space="preserve"> mutations (Figure </w:t>
      </w:r>
      <w:r>
        <w:t>2</w:t>
      </w:r>
      <w:r w:rsidRPr="00985CF1">
        <w:t xml:space="preserve">). </w:t>
      </w:r>
      <w:r w:rsidR="00A667B3">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may be better captured by localized structural rearrangements than by aggregate binding energy shifts with respect to the WT complex.</w:t>
      </w:r>
    </w:p>
    <w:p w14:paraId="3BE4B21C" w14:textId="2AF1EDCB" w:rsidR="0061294B" w:rsidRPr="00A77EE2" w:rsidRDefault="00B421CB" w:rsidP="00165F8F">
      <w:pPr>
        <w:spacing w:after="240"/>
        <w:rPr>
          <w:rFonts w:ascii="Times New Roman" w:hAnsi="Times New Roman" w:cs="Times New Roman"/>
          <w:sz w:val="21"/>
        </w:rPr>
      </w:pPr>
      <w:r>
        <w:rPr>
          <w:rFonts w:ascii="Times New Roman" w:hAnsi="Times New Roman" w:cs="Times New Roman"/>
          <w:noProof/>
          <w:szCs w:val="24"/>
        </w:rPr>
        <w:drawing>
          <wp:anchor distT="0" distB="0" distL="114300" distR="114300" simplePos="0" relativeHeight="251675648" behindDoc="0" locked="0" layoutInCell="1" allowOverlap="1" wp14:anchorId="7F9D71CB" wp14:editId="16154DC7">
            <wp:simplePos x="0" y="0"/>
            <wp:positionH relativeFrom="column">
              <wp:posOffset>0</wp:posOffset>
            </wp:positionH>
            <wp:positionV relativeFrom="paragraph">
              <wp:posOffset>2540</wp:posOffset>
            </wp:positionV>
            <wp:extent cx="5837357" cy="3791164"/>
            <wp:effectExtent l="0" t="0" r="5080" b="0"/>
            <wp:wrapTopAndBottom/>
            <wp:docPr id="1515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6442" name="Picture 1515526442"/>
                    <pic:cNvPicPr/>
                  </pic:nvPicPr>
                  <pic:blipFill>
                    <a:blip r:embed="rId10" cstate="print">
                      <a:extLst>
                        <a:ext uri="{28A0092B-C50C-407E-A947-70E740481C1C}">
                          <a14:useLocalDpi xmlns:a14="http://schemas.microsoft.com/office/drawing/2010/main"/>
                        </a:ext>
                      </a:extLst>
                    </a:blip>
                    <a:stretch>
                      <a:fillRect/>
                    </a:stretch>
                  </pic:blipFill>
                  <pic:spPr>
                    <a:xfrm>
                      <a:off x="0" y="0"/>
                      <a:ext cx="5837357" cy="3791164"/>
                    </a:xfrm>
                    <a:prstGeom prst="rect">
                      <a:avLst/>
                    </a:prstGeom>
                  </pic:spPr>
                </pic:pic>
              </a:graphicData>
            </a:graphic>
            <wp14:sizeRelH relativeFrom="page">
              <wp14:pctWidth>0</wp14:pctWidth>
            </wp14:sizeRelH>
            <wp14:sizeRelV relativeFrom="page">
              <wp14:pctHeight>0</wp14:pctHeight>
            </wp14:sizeRelV>
          </wp:anchor>
        </w:drawing>
      </w:r>
      <w:r w:rsidR="0061294B" w:rsidRPr="00A77EE2">
        <w:rPr>
          <w:rFonts w:ascii="Times New Roman" w:hAnsi="Times New Roman" w:cs="Times New Roman"/>
          <w:b/>
          <w:bCs/>
          <w:sz w:val="21"/>
        </w:rPr>
        <w:t xml:space="preserve">Figure </w:t>
      </w:r>
      <w:r w:rsidR="00321E53" w:rsidRPr="00A77EE2">
        <w:rPr>
          <w:rFonts w:ascii="Times New Roman" w:hAnsi="Times New Roman" w:cs="Times New Roman"/>
          <w:b/>
          <w:bCs/>
          <w:sz w:val="21"/>
        </w:rPr>
        <w:t>2</w:t>
      </w:r>
      <w:r w:rsidR="0061294B" w:rsidRPr="00A77EE2">
        <w:rPr>
          <w:rFonts w:ascii="Times New Roman" w:hAnsi="Times New Roman" w:cs="Times New Roman"/>
          <w:b/>
          <w:bCs/>
          <w:sz w:val="21"/>
        </w:rPr>
        <w:t xml:space="preserve">: Changes in electrostatic component of the RT-DOR binding energy vs WT weakly correlates with phenotypic DOR susceptibility data of the </w:t>
      </w:r>
      <w:r w:rsidR="00CB613B">
        <w:rPr>
          <w:rFonts w:ascii="Times New Roman" w:hAnsi="Times New Roman" w:cs="Times New Roman"/>
          <w:b/>
          <w:bCs/>
          <w:sz w:val="21"/>
        </w:rPr>
        <w:t>susceptible</w:t>
      </w:r>
      <w:r w:rsidR="00CB613B" w:rsidRPr="00A77EE2">
        <w:rPr>
          <w:rFonts w:ascii="Times New Roman" w:hAnsi="Times New Roman" w:cs="Times New Roman"/>
          <w:b/>
          <w:bCs/>
          <w:sz w:val="21"/>
        </w:rPr>
        <w:t xml:space="preserve"> </w:t>
      </w:r>
      <w:r w:rsidRPr="00A77EE2">
        <w:rPr>
          <w:rFonts w:ascii="Times New Roman" w:hAnsi="Times New Roman" w:cs="Times New Roman"/>
          <w:b/>
          <w:bCs/>
          <w:sz w:val="21"/>
        </w:rPr>
        <w:t xml:space="preserve">and </w:t>
      </w:r>
      <w:r w:rsidR="00CB613B">
        <w:rPr>
          <w:rFonts w:ascii="Times New Roman" w:hAnsi="Times New Roman" w:cs="Times New Roman"/>
          <w:b/>
          <w:bCs/>
          <w:sz w:val="21"/>
        </w:rPr>
        <w:t>resistant</w:t>
      </w:r>
      <w:r w:rsidR="0061294B" w:rsidRPr="00A77EE2">
        <w:rPr>
          <w:rFonts w:ascii="Times New Roman" w:hAnsi="Times New Roman" w:cs="Times New Roman"/>
          <w:b/>
          <w:bCs/>
          <w:sz w:val="21"/>
        </w:rPr>
        <w:t xml:space="preserve"> mutations</w:t>
      </w:r>
      <w:r w:rsidR="0061294B" w:rsidRPr="00A77EE2">
        <w:rPr>
          <w:rFonts w:ascii="Times New Roman" w:hAnsi="Times New Roman" w:cs="Times New Roman"/>
          <w:sz w:val="21"/>
        </w:rPr>
        <w:t xml:space="preserve">. Data correspond to the average MM/GBSA electrostatic components over the last 20 frames (~10ns) sampled from 100ns all-atom MD simulations of each system. Error bars represent the standard error of the mean over </w:t>
      </w:r>
      <w:r w:rsidR="0061294B" w:rsidRPr="00A77EE2">
        <w:rPr>
          <w:rFonts w:ascii="Times New Roman" w:hAnsi="Times New Roman" w:cs="Times New Roman"/>
          <w:i/>
          <w:iCs/>
          <w:sz w:val="21"/>
        </w:rPr>
        <w:t>N</w:t>
      </w:r>
      <w:r w:rsidR="0061294B" w:rsidRPr="00A77EE2">
        <w:rPr>
          <w:rFonts w:ascii="Times New Roman" w:hAnsi="Times New Roman" w:cs="Times New Roman"/>
          <w:sz w:val="21"/>
        </w:rPr>
        <w:t xml:space="preserve"> = 3 replicates. Dashed trend line shows an ordinary least-squares linear regression between electrostatic energy shift and resistance fold-change on a log scale. R</w:t>
      </w:r>
      <w:r w:rsidR="0061294B" w:rsidRPr="00A77EE2">
        <w:rPr>
          <w:rFonts w:ascii="Times New Roman" w:hAnsi="Times New Roman" w:cs="Times New Roman"/>
          <w:sz w:val="21"/>
          <w:vertAlign w:val="superscript"/>
        </w:rPr>
        <w:t>2</w:t>
      </w:r>
      <w:r w:rsidR="0061294B" w:rsidRPr="00A77EE2">
        <w:rPr>
          <w:rFonts w:ascii="Times New Roman" w:hAnsi="Times New Roman" w:cs="Times New Roman"/>
          <w:sz w:val="21"/>
        </w:rPr>
        <w:t xml:space="preserve"> is the coefficient of determination for this fit and the p-value tests whether the regression slope differs from zero using the standard two-tailed t-test.</w:t>
      </w:r>
    </w:p>
    <w:p w14:paraId="4EC9C74B" w14:textId="21E14FB6"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7ABF0B23" w14:textId="6C10256C" w:rsidR="00985CF1" w:rsidRDefault="00985CF1" w:rsidP="002B5128">
      <w:pPr>
        <w:rPr>
          <w:rFonts w:ascii="Times New Roman" w:hAnsi="Times New Roman" w:cs="Times New Roman"/>
          <w:szCs w:val="24"/>
        </w:rPr>
      </w:pPr>
      <w:r w:rsidRPr="00985CF1">
        <w:rPr>
          <w:rFonts w:ascii="Times New Roman" w:hAnsi="Times New Roman" w:cs="Times New Roman"/>
          <w:szCs w:val="24"/>
        </w:rPr>
        <w:t xml:space="preserve">We next asked whether DOR resistance might instead be </w:t>
      </w:r>
      <w:r w:rsidR="00713B36">
        <w:rPr>
          <w:rFonts w:ascii="Times New Roman" w:hAnsi="Times New Roman" w:cs="Times New Roman"/>
          <w:szCs w:val="24"/>
        </w:rPr>
        <w:t>encoded</w:t>
      </w:r>
      <w:r w:rsidRPr="00985CF1">
        <w:rPr>
          <w:rFonts w:ascii="Times New Roman" w:hAnsi="Times New Roman" w:cs="Times New Roman"/>
          <w:szCs w:val="24"/>
        </w:rPr>
        <w:t xml:space="preserve">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{"citationID":"cdbL7NMl","properties":{"unsorted":false,"formattedCitation":"\\super 9,27,28\\nosupersub{}","plainCitation":"9,27,28","noteIndex":0},"citationItems":[{"id":92,"uris":["http://zotero.org/users/19404620/items/W528QLF7"],"itemData":{"id":92,"type":"article-journal","abstract":"Inhibitors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9,27,28</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w:t>
      </w:r>
      <w:r w:rsidRPr="00985CF1">
        <w:rPr>
          <w:rFonts w:ascii="Times New Roman" w:hAnsi="Times New Roman" w:cs="Times New Roman"/>
          <w:szCs w:val="24"/>
        </w:rPr>
        <w:t>to systematic residue-level characterization of DOR contacts within the NNIBP.</w:t>
      </w:r>
    </w:p>
    <w:p w14:paraId="0DC74B72" w14:textId="77777777" w:rsidR="004D758D" w:rsidRDefault="004D758D" w:rsidP="004D758D">
      <w:pPr>
        <w:pStyle w:val="NormalWeb"/>
      </w:pPr>
      <w:r>
        <w:lastRenderedPageBreak/>
        <w:t>To define the WT local interaction landscape, we quantified residue-level DOR contacts across WT RT-DOR simulations. A residue was classified as contacting DOR in a given frame if the minimum heavy-atom distance between that residue and DOR was less than 4.0 Å (Figure 1). For each residue, we then calculated mean contact occupancy as the fraction of analyzed simulation frames in which this contact criterion was satisfied. This analysis was performed for all residues that contacted DOR at any point in any WT RT-DOR trajectory, yielding a residue-level mean contact occupancy profile for the WT complex (Figure 3).</w:t>
      </w:r>
    </w:p>
    <w:p w14:paraId="4DAA3D68" w14:textId="5A18958A" w:rsidR="00920AD4" w:rsidRPr="004E3CAD" w:rsidRDefault="00A132BA" w:rsidP="001D0F7D">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7C2DB482" wp14:editId="56FB00F8">
            <wp:extent cx="5943600" cy="3837305"/>
            <wp:effectExtent l="0" t="0" r="0" b="0"/>
            <wp:docPr id="7370219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21976" name="Picture 7370219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r w:rsidR="00FA7F90" w:rsidRPr="00920AD4">
        <w:rPr>
          <w:rFonts w:ascii="Times New Roman" w:hAnsi="Times New Roman" w:cs="Times New Roman"/>
          <w:b/>
          <w:bCs/>
          <w:sz w:val="22"/>
          <w:szCs w:val="22"/>
        </w:rPr>
        <w:t xml:space="preserve">Figure </w:t>
      </w:r>
      <w:r w:rsidR="00920AD4" w:rsidRPr="00920AD4">
        <w:rPr>
          <w:rFonts w:ascii="Times New Roman" w:hAnsi="Times New Roman" w:cs="Times New Roman"/>
          <w:b/>
          <w:bCs/>
          <w:sz w:val="22"/>
          <w:szCs w:val="22"/>
        </w:rPr>
        <w:t>3</w:t>
      </w:r>
      <w:r w:rsidR="00FA7F90" w:rsidRPr="00920AD4">
        <w:rPr>
          <w:rFonts w:ascii="Times New Roman" w:hAnsi="Times New Roman" w:cs="Times New Roman"/>
          <w:b/>
          <w:bCs/>
          <w:sz w:val="22"/>
          <w:szCs w:val="22"/>
        </w:rPr>
        <w:t>: Local trajectory-level contact analysis between DOR and NNIBP residues in WT RT-DOR simulations.</w:t>
      </w:r>
      <w:r w:rsidR="00FA7F90" w:rsidRPr="00920AD4">
        <w:rPr>
          <w:rFonts w:ascii="Times New Roman" w:hAnsi="Times New Roman" w:cs="Times New Roman"/>
          <w:sz w:val="22"/>
          <w:szCs w:val="22"/>
        </w:rPr>
        <w:t xml:space="preserve"> </w:t>
      </w:r>
      <w:r w:rsidR="00FA7F90" w:rsidRPr="00920AD4">
        <w:rPr>
          <w:rFonts w:ascii="Times New Roman" w:hAnsi="Times New Roman" w:cs="Times New Roman"/>
          <w:i/>
          <w:iCs/>
          <w:sz w:val="22"/>
          <w:szCs w:val="22"/>
        </w:rPr>
        <w:t xml:space="preserve">Top panel: </w:t>
      </w:r>
      <w:r w:rsidR="00FA7F90" w:rsidRPr="00920AD4">
        <w:rPr>
          <w:rFonts w:ascii="Times New Roman" w:hAnsi="Times New Roman" w:cs="Times New Roman"/>
          <w:sz w:val="22"/>
          <w:szCs w:val="22"/>
        </w:rPr>
        <w:t xml:space="preserve">Trajectories of minimum heavy atom distances between DOR and two exemplary NNIBP residues, </w:t>
      </w:r>
      <w:r w:rsidR="004D758D">
        <w:rPr>
          <w:rFonts w:ascii="Times New Roman" w:hAnsi="Times New Roman" w:cs="Times New Roman"/>
          <w:sz w:val="22"/>
          <w:szCs w:val="22"/>
        </w:rPr>
        <w:t>Ser105</w:t>
      </w:r>
      <w:r w:rsidR="004D758D" w:rsidRPr="00920AD4">
        <w:rPr>
          <w:rFonts w:ascii="Times New Roman" w:hAnsi="Times New Roman" w:cs="Times New Roman"/>
          <w:sz w:val="22"/>
          <w:szCs w:val="22"/>
        </w:rPr>
        <w:t xml:space="preserve"> </w:t>
      </w:r>
      <w:r w:rsidR="00FA7F90" w:rsidRPr="00920AD4">
        <w:rPr>
          <w:rFonts w:ascii="Times New Roman" w:hAnsi="Times New Roman" w:cs="Times New Roman"/>
          <w:sz w:val="22"/>
          <w:szCs w:val="22"/>
        </w:rPr>
        <w:t xml:space="preserve">and </w:t>
      </w:r>
      <w:r w:rsidR="004D758D">
        <w:rPr>
          <w:rFonts w:ascii="Times New Roman" w:hAnsi="Times New Roman" w:cs="Times New Roman"/>
          <w:sz w:val="22"/>
          <w:szCs w:val="22"/>
        </w:rPr>
        <w:t>Val179</w:t>
      </w:r>
      <w:r w:rsidR="00FA7F90" w:rsidRPr="00920AD4">
        <w:rPr>
          <w:rFonts w:ascii="Times New Roman" w:hAnsi="Times New Roman" w:cs="Times New Roman"/>
          <w:sz w:val="22"/>
          <w:szCs w:val="22"/>
        </w:rPr>
        <w:t>, observed in 100ns MD simulations of the WT DOR-RT complex performed in triplicates.</w:t>
      </w:r>
      <w:r w:rsidR="00FA7F90" w:rsidRPr="00920AD4">
        <w:rPr>
          <w:sz w:val="32"/>
          <w:szCs w:val="24"/>
        </w:rPr>
        <w:t xml:space="preserve"> </w:t>
      </w:r>
      <w:r w:rsidR="00FA7F90" w:rsidRPr="00920AD4">
        <w:rPr>
          <w:rFonts w:ascii="Times New Roman" w:hAnsi="Times New Roman" w:cs="Times New Roman"/>
          <w:sz w:val="22"/>
          <w:szCs w:val="22"/>
        </w:rPr>
        <w:t xml:space="preserve">Solid lines indicate the mean trajectory and lighter color bands show the standard error of the mean across </w:t>
      </w:r>
      <w:r w:rsidR="00FA7F90" w:rsidRPr="00920AD4">
        <w:rPr>
          <w:rFonts w:ascii="Times New Roman" w:hAnsi="Times New Roman" w:cs="Times New Roman"/>
          <w:i/>
          <w:iCs/>
          <w:sz w:val="22"/>
          <w:szCs w:val="22"/>
        </w:rPr>
        <w:t>N</w:t>
      </w:r>
      <w:r w:rsidR="00FA7F90" w:rsidRPr="00920AD4">
        <w:rPr>
          <w:rFonts w:ascii="Times New Roman" w:hAnsi="Times New Roman" w:cs="Times New Roman"/>
          <w:sz w:val="22"/>
          <w:szCs w:val="22"/>
        </w:rPr>
        <w:t xml:space="preserve"> = 3 replicates in this as well as other trajectory visualizations in this study. The dotted line represents the 4.0 Å cutoff used to define each contact. </w:t>
      </w:r>
      <w:r w:rsidR="00FA7F90" w:rsidRPr="00920AD4">
        <w:rPr>
          <w:rFonts w:ascii="Times New Roman" w:hAnsi="Times New Roman" w:cs="Times New Roman"/>
          <w:i/>
          <w:iCs/>
          <w:sz w:val="22"/>
          <w:szCs w:val="22"/>
        </w:rPr>
        <w:t xml:space="preserve">Bottom panel: </w:t>
      </w:r>
      <w:r w:rsidR="00FA7F90" w:rsidRPr="00920AD4">
        <w:rPr>
          <w:rFonts w:ascii="Times New Roman" w:hAnsi="Times New Roman" w:cs="Times New Roman"/>
          <w:sz w:val="22"/>
          <w:szCs w:val="22"/>
        </w:rPr>
        <w:t xml:space="preserve">Mean </w:t>
      </w:r>
      <w:r w:rsidR="0046483F">
        <w:rPr>
          <w:rFonts w:ascii="Times New Roman" w:hAnsi="Times New Roman" w:cs="Times New Roman"/>
          <w:sz w:val="22"/>
          <w:szCs w:val="22"/>
        </w:rPr>
        <w:t xml:space="preserve">contact </w:t>
      </w:r>
      <w:r w:rsidR="00FA7F90" w:rsidRPr="00920AD4">
        <w:rPr>
          <w:rFonts w:ascii="Times New Roman" w:hAnsi="Times New Roman" w:cs="Times New Roman"/>
          <w:sz w:val="22"/>
          <w:szCs w:val="22"/>
        </w:rPr>
        <w:t xml:space="preserve">occupancy computed for all RT residues that came in contact with DOR at any point during the simulations, segregated by NNIBP regions (cf. Figure </w:t>
      </w:r>
      <w:r w:rsidR="00920AD4" w:rsidRPr="00920AD4">
        <w:rPr>
          <w:rFonts w:ascii="Times New Roman" w:hAnsi="Times New Roman" w:cs="Times New Roman"/>
          <w:sz w:val="22"/>
          <w:szCs w:val="22"/>
        </w:rPr>
        <w:t>1</w:t>
      </w:r>
      <w:r w:rsidR="00FA7F90" w:rsidRPr="00920AD4">
        <w:rPr>
          <w:rFonts w:ascii="Times New Roman" w:hAnsi="Times New Roman" w:cs="Times New Roman"/>
          <w:sz w:val="22"/>
          <w:szCs w:val="22"/>
        </w:rPr>
        <w:t xml:space="preserve">).   </w:t>
      </w:r>
    </w:p>
    <w:p w14:paraId="5D7BC382" w14:textId="1C62DD64" w:rsidR="004E3CAD" w:rsidRPr="004E3CAD" w:rsidRDefault="004E3CAD" w:rsidP="004E3CAD">
      <w:pPr>
        <w:pStyle w:val="NormalWeb"/>
      </w:pPr>
      <w:r>
        <w:t xml:space="preserve">The WT contact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wall (1 residue), each with an average mean occupancy across residues within the region exceeding 0.9. Third, contact behavior was highly residue-specific, as neighboring positions could display markedly different mean occupancies, exemplified by positions 105 versus 106 </w:t>
      </w:r>
      <w:r>
        <w:lastRenderedPageBreak/>
        <w:t>and 180 versus 181. Together, these results establish a WT reference map of stable and heterogeneous DOR-pocket interactions against which mutation-associated local rearrangements can be evaluated.</w:t>
      </w:r>
    </w:p>
    <w:p w14:paraId="4452ABA2" w14:textId="441DFE1B"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50B2E348" w:rsidR="002C427F" w:rsidRPr="00361EA7" w:rsidRDefault="002C427F" w:rsidP="00361EA7">
      <w:pPr>
        <w:spacing w:after="240"/>
        <w:rPr>
          <w:rFonts w:ascii="Times New Roman" w:hAnsi="Times New Roman" w:cs="Times New Roman"/>
          <w:szCs w:val="24"/>
        </w:rPr>
      </w:pPr>
      <w:r w:rsidRPr="002C427F">
        <w:rPr>
          <w:rFonts w:ascii="Times New Roman" w:hAnsi="Times New Roman" w:cs="Times New Roman"/>
          <w:szCs w:val="24"/>
        </w:rPr>
        <w:t xml:space="preserve">We then extended the contact analysis across all trajectories in the genotype panel to identify </w:t>
      </w:r>
      <w:r w:rsidRPr="00361EA7">
        <w:rPr>
          <w:rFonts w:ascii="Times New Roman" w:hAnsi="Times New Roman" w:cs="Times New Roman"/>
          <w:szCs w:val="24"/>
        </w:rPr>
        <w:t>residues whose DOR-contact behavior changed in specific mutation backgrounds. For each mutant genotype, we compared residue-level mean occupancy against the WT reference profile, thereby generating a mutation-associated occupancy shift map across the NNIBP</w:t>
      </w:r>
      <w:r w:rsidR="004D758D">
        <w:rPr>
          <w:rFonts w:ascii="Times New Roman" w:hAnsi="Times New Roman" w:cs="Times New Roman"/>
          <w:szCs w:val="24"/>
        </w:rPr>
        <w:t xml:space="preserve"> </w:t>
      </w:r>
      <w:r w:rsidR="004D758D" w:rsidRPr="00361EA7">
        <w:rPr>
          <w:rFonts w:ascii="Times New Roman" w:hAnsi="Times New Roman" w:cs="Times New Roman"/>
          <w:szCs w:val="24"/>
        </w:rPr>
        <w:t>(Figure 4)</w:t>
      </w:r>
      <w:r w:rsidRPr="00361EA7">
        <w:rPr>
          <w:rFonts w:ascii="Times New Roman" w:hAnsi="Times New Roman" w:cs="Times New Roman"/>
          <w:szCs w:val="24"/>
        </w:rPr>
        <w:t>.</w:t>
      </w:r>
    </w:p>
    <w:p w14:paraId="240AA8B1" w14:textId="77777777" w:rsidR="00361EA7" w:rsidRPr="00361EA7" w:rsidRDefault="00361EA7" w:rsidP="00361EA7">
      <w:pPr>
        <w:spacing w:after="240"/>
        <w:rPr>
          <w:rFonts w:ascii="Times New Roman" w:hAnsi="Times New Roman" w:cs="Times New Roman"/>
          <w:szCs w:val="24"/>
        </w:rPr>
      </w:pPr>
      <w:r w:rsidRPr="00361EA7">
        <w:rPr>
          <w:rFonts w:ascii="Times New Roman" w:hAnsi="Times New Roman" w:cs="Times New Roman"/>
          <w:szCs w:val="24"/>
        </w:rPr>
        <w:t>This systematic screen revealed two broad patterns. First, residues at the mutated positions themselves generally showed only modest changes in DOR contact occupancy, with few shifts exceeding 0.1, relative to WT. The main exceptions were V106I+F227C, which reduced occupancy at the mutated position Phe227 by 0.28, and K103N+P225H, which reduced occupancy at the mutated position Pro225 by 0.12 relative to WT.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47F6460C" w14:textId="01F85F15" w:rsidR="00361EA7" w:rsidRPr="00361EA7" w:rsidRDefault="00361EA7" w:rsidP="00361EA7">
      <w:pPr>
        <w:rPr>
          <w:rFonts w:ascii="Times New Roman" w:hAnsi="Times New Roman" w:cs="Times New Roman"/>
          <w:szCs w:val="24"/>
        </w:rPr>
      </w:pPr>
      <w:r w:rsidRPr="00361EA7">
        <w:rPr>
          <w:rFonts w:ascii="Times New Roman" w:hAnsi="Times New Roman" w:cs="Times New Roman"/>
          <w:szCs w:val="24"/>
        </w:rPr>
        <w:t xml:space="preserve">Comparing occupancy-shift patterns between </w:t>
      </w:r>
      <w:r w:rsidR="001E4DE8">
        <w:rPr>
          <w:rFonts w:ascii="Times New Roman" w:hAnsi="Times New Roman" w:cs="Times New Roman"/>
          <w:szCs w:val="24"/>
        </w:rPr>
        <w:t xml:space="preserve">DOR </w:t>
      </w:r>
      <w:r w:rsidR="004D758D">
        <w:rPr>
          <w:rFonts w:ascii="Times New Roman" w:hAnsi="Times New Roman" w:cs="Times New Roman"/>
          <w:szCs w:val="24"/>
        </w:rPr>
        <w:t>resistant</w:t>
      </w:r>
      <w:r w:rsidR="004D758D" w:rsidRPr="00361EA7">
        <w:rPr>
          <w:rFonts w:ascii="Times New Roman" w:hAnsi="Times New Roman" w:cs="Times New Roman"/>
          <w:szCs w:val="24"/>
        </w:rPr>
        <w:t xml:space="preserve"> </w:t>
      </w:r>
      <w:r w:rsidRPr="00361EA7">
        <w:rPr>
          <w:rFonts w:ascii="Times New Roman" w:hAnsi="Times New Roman" w:cs="Times New Roman"/>
          <w:szCs w:val="24"/>
        </w:rPr>
        <w:t xml:space="preserve">and </w:t>
      </w:r>
      <w:r w:rsidR="004D758D">
        <w:rPr>
          <w:rFonts w:ascii="Times New Roman" w:hAnsi="Times New Roman" w:cs="Times New Roman"/>
          <w:szCs w:val="24"/>
        </w:rPr>
        <w:t xml:space="preserve">susceptible </w:t>
      </w:r>
      <w:r w:rsidRPr="00361EA7">
        <w:rPr>
          <w:rFonts w:ascii="Times New Roman" w:hAnsi="Times New Roman" w:cs="Times New Roman"/>
          <w:szCs w:val="24"/>
        </w:rPr>
        <w:t xml:space="preserve">mutations further suggested that specific residue-level contacts may function as </w:t>
      </w:r>
      <w:r w:rsidRPr="00361EA7">
        <w:rPr>
          <w:rFonts w:ascii="Times New Roman" w:hAnsi="Times New Roman" w:cs="Times New Roman"/>
          <w:b/>
          <w:bCs/>
          <w:szCs w:val="24"/>
        </w:rPr>
        <w:t>reporter coordinates</w:t>
      </w:r>
      <w:r w:rsidRPr="00361EA7">
        <w:rPr>
          <w:rFonts w:ascii="Times New Roman" w:hAnsi="Times New Roman" w:cs="Times New Roman"/>
          <w:szCs w:val="24"/>
        </w:rPr>
        <w:t xml:space="preserve"> for resistance-associated structural rearrangements. Such reporter residues or reporter groups as local readouts of protein conformational dynamics are commonly used </w:t>
      </w:r>
      <w:r w:rsidR="004D758D">
        <w:rPr>
          <w:rFonts w:ascii="Times New Roman" w:hAnsi="Times New Roman" w:cs="Times New Roman"/>
          <w:szCs w:val="24"/>
        </w:rPr>
        <w:t xml:space="preserve">in the biophysics literature </w:t>
      </w:r>
      <w:r w:rsidRPr="00361EA7">
        <w:rPr>
          <w:rFonts w:ascii="Times New Roman" w:hAnsi="Times New Roman" w:cs="Times New Roman"/>
          <w:szCs w:val="24"/>
        </w:rPr>
        <w:t>to describe complex high-dimensional conformational changes through low-dimensional structural descriptors, otherwise called order parameters, collective variables, or reaction coordinates.</w:t>
      </w:r>
      <w:r w:rsidRPr="00361EA7">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{"citationID":"YpwHDAJ1","properties":{"unsorted":false,"formattedCitation":"\\super 29\\uc0\\u8211{}31\\nosupersub{}","plainCitation":"29–31","noteIndex":0},"citationItems":[{"id":103,"uris":["http://zotero.org/users/19404620/items/5YHD9Q4I"],"itemData":{"id":103,"type":"article-journal","abstract":"EXPERIMENTAL1–6 and simulation7 studies show that small mono-meric proteins fold in one kinetic step, which entails overcoming the free-energy barrier between the unfolded and the native protein through a transition state8,9. Two models of transition state formation have been proposed: a 'nonspecific' one in which it depends on the formation of a sufficient number of native-like contacts regardless of what amino acids are involved10–12, and a 'specific' one, in which it depends on formation of a specific subset of the native structure (a folding nucleus)8,13,14. The latter requires that some amino acids form most of their contacts in the transition state, whereas others only do so on reaching the native conformation. If so, mutations affecting the stability of the transition state nucleus should have a greater effect on the folding kinetics than mutations elsewhere, and the residues involved should be evolutionarily conserved. Lattice-model simulations and experiments8,13–16 suggest that such mutations exist. Here we present a method for determining the folding nucleus of a protein with known structure with two-state folding kinetics. This method is based on the alignment of many sequences designed to fold into the native conformation of a protein to identify the positions where amino acids are most conserved in designed sequences. The method is applied to chymotrypsin inhibitor 2 (CI2), a protein whose transition state has been previously studied by protein engineering14–16. The involvement of residues in folding nucleus of CI2 is clearly correlated with their conservation in design, and the residues forming the nucleus are highly conserved in 23 natural sequences homologous to CI2.","container-title":"Nature","DOI":"10.1038/379096a0","ISSN":"1476-4687","issue":"6560","language":"en","license":"1996 Springer Nature Limited","page":"96-98","publisher":"Nature Publishing Group","source":"www-nature-com.stanford.idm.oclc.org","title":"Conserved residues and the mechanism of protein folding","volume":"379","author":[{"family":"Shakhnovich","given":"E."},{"family":"Abkevich","given":"V."},{"family":"Ptitsyn","given":"O."}],"issued":{"date-parts":[["1996",1]]}}},{"id":99,"uris":["http://zotero.org/users/19404620/items/JK3G393G"],"itemData":{"id":99,"type":"article-journal","abstract":"The motions involved in barrier crossing for protein folding are investigated in terms of the chain dynamics of the polymer backbone, completing the microscopic","container-title":"The Journal of Chemical Physics","DOI":"10.1063/1.1334663","ISSN":"0021-9606","issue":"11","journalAbbreviation":"J. Chem. Phys.","language":"en","page":"5082-5096","publisher":"AIP Publishing","source":"pubs.aip.org","title":"Microscopic theory of protein folding rates. II. Local reaction coordinates and chain dynamics","volume":"114","author":[{"family":"Portman","given":"John J."},{"family":"Takada","given":"Shoji"},{"family":"Wolynes","given":"Peter G."}],"issued":{"date-parts":[["2001",3,15]]}}},{"id":101,"uris":["http://zotero.org/users/19404620/items/6DWAKPT6"],"itemData":{"id":101,"type":"article-journal","abstract":"The recent availability of long equilibrium simulations of protein folding in atomistic detail for more than 10 proteins allows us to identify the key interactions driving folding. We find that the collective fraction of native amino acid contacts, Q, captures remarkably well the transition states for all the proteins with a folding free energy barrier. Going beyond this global picture, we devise two different measures to quantify the importance of individual interresidue contacts in the folding mechanism: (i) the log-ratio of lifetimes of contacts during folding transition paths and in the unfolded state and (ii) a Bayesian measure of how predictive the formation of each contact is for being on a transition path. Both of these measures indicate that native, or near-native, contacts are important for determining mechanism, as might be expected. More remarkably, however, we found that for almost all the proteins, with the designed protein α3D being a notable exception, nonnative contacts play no significant part in determining folding mechanisms.","container-title":"Proceedings of the National Academy of Sciences","DOI":"10.1073/pnas.1311599110","issue":"44","page":"17874-17879","publisher":"Proceedings of the National Academy of Sciences","source":"pnas.org (Atypon)","title":"Native contacts determine protein folding mechanisms in atomistic simulations","volume":"110","author":[{"family":"Best","given":"Robert B."},{"family":"Hummer","given":"Gerhard"},{"family":"Eaton","given":"William A."}],"issued":{"date-parts":[["2013",10,29]]}}}],"schema":"https://github.com/citation-style-language/schema/raw/master/csl-citation.json"} </w:instrText>
      </w:r>
      <w:r w:rsidRPr="00361EA7">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29–31</w:t>
      </w:r>
      <w:r w:rsidRPr="00361EA7">
        <w:rPr>
          <w:rFonts w:ascii="Times New Roman" w:hAnsi="Times New Roman" w:cs="Times New Roman"/>
          <w:szCs w:val="24"/>
        </w:rPr>
        <w:fldChar w:fldCharType="end"/>
      </w:r>
      <w:r w:rsidRPr="00361EA7">
        <w:rPr>
          <w:rFonts w:ascii="Times New Roman" w:hAnsi="Times New Roman" w:cs="Times New Roman"/>
          <w:szCs w:val="24"/>
        </w:rPr>
        <w:t xml:space="preserve"> In our </w:t>
      </w:r>
      <w:r w:rsidR="004D758D">
        <w:rPr>
          <w:rFonts w:ascii="Times New Roman" w:hAnsi="Times New Roman" w:cs="Times New Roman"/>
          <w:szCs w:val="24"/>
        </w:rPr>
        <w:t>case</w:t>
      </w:r>
      <w:r w:rsidRPr="00361EA7">
        <w:rPr>
          <w:rFonts w:ascii="Times New Roman" w:hAnsi="Times New Roman" w:cs="Times New Roman"/>
          <w:szCs w:val="24"/>
        </w:rPr>
        <w:t>, reporter coordinates are residue-level DOR-contact features whose occupancy changes reflect mutation-associated remodeling in the NNIBP or DOR pose fluctuations.</w:t>
      </w:r>
    </w:p>
    <w:p w14:paraId="6B9452B7" w14:textId="15CF423E" w:rsidR="00361EA7" w:rsidRDefault="00361EA7" w:rsidP="009977AB">
      <w:pPr>
        <w:spacing w:before="240" w:after="240"/>
        <w:rPr>
          <w:rFonts w:ascii="Times New Roman" w:hAnsi="Times New Roman" w:cs="Times New Roman"/>
          <w:b/>
          <w:bCs/>
          <w:sz w:val="20"/>
          <w:szCs w:val="20"/>
        </w:rPr>
      </w:pPr>
      <w:r w:rsidRPr="00361EA7">
        <w:rPr>
          <w:rFonts w:ascii="Times New Roman" w:hAnsi="Times New Roman" w:cs="Times New Roman"/>
          <w:szCs w:val="24"/>
        </w:rPr>
        <w:t xml:space="preserve">For example, Y188L, a canonical DOR resistance-associated mutation, increased DOR contact occupancy at Lys102 by 0.23 and decreased occupancy at Pro225 by 0.16 relative to WT. In contrast, Y181C, a </w:t>
      </w:r>
      <w:r w:rsidR="001E4DE8">
        <w:rPr>
          <w:rFonts w:ascii="Times New Roman" w:hAnsi="Times New Roman" w:cs="Times New Roman"/>
          <w:szCs w:val="24"/>
        </w:rPr>
        <w:t>known DOR susceptible mutation</w:t>
      </w:r>
      <w:r w:rsidRPr="00361EA7">
        <w:rPr>
          <w:rFonts w:ascii="Times New Roman" w:hAnsi="Times New Roman" w:cs="Times New Roman"/>
          <w:szCs w:val="24"/>
        </w:rPr>
        <w:t>,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these residues themselves are not necessarily the primary sites of mutational perturbation.</w:t>
      </w:r>
    </w:p>
    <w:p w14:paraId="382BE84C" w14:textId="66646E17" w:rsidR="00592D46" w:rsidRDefault="00592D46" w:rsidP="00592D46">
      <w:pPr>
        <w:spacing w:after="240"/>
        <w:rPr>
          <w:rFonts w:ascii="Times New Roman" w:hAnsi="Times New Roman" w:cs="Times New Roman"/>
          <w:szCs w:val="24"/>
        </w:rPr>
      </w:pPr>
      <w:r w:rsidRPr="001823FD">
        <w:rPr>
          <w:rFonts w:ascii="Times New Roman" w:hAnsi="Times New Roman" w:cs="Times New Roman"/>
          <w:szCs w:val="24"/>
        </w:rPr>
        <w:t xml:space="preserve">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w:t>
      </w:r>
      <w:r>
        <w:rPr>
          <w:rFonts w:ascii="Times New Roman" w:hAnsi="Times New Roman" w:cs="Times New Roman"/>
          <w:szCs w:val="24"/>
        </w:rPr>
        <w:t>compared</w:t>
      </w:r>
      <w:r w:rsidRPr="001823FD">
        <w:rPr>
          <w:rFonts w:ascii="Times New Roman" w:hAnsi="Times New Roman" w:cs="Times New Roman"/>
          <w:szCs w:val="24"/>
        </w:rPr>
        <w:t xml:space="preserve"> observed occupancy shifts against an empirical null distribution generated by trajectory-level resampling. Specifically, mutation labels were permuted </w:t>
      </w:r>
      <w:r w:rsidR="0093179D">
        <w:rPr>
          <w:rFonts w:ascii="Times New Roman" w:hAnsi="Times New Roman" w:cs="Times New Roman"/>
          <w:szCs w:val="24"/>
        </w:rPr>
        <w:t xml:space="preserve">10,000 times </w:t>
      </w:r>
      <w:r w:rsidRPr="001823FD">
        <w:rPr>
          <w:rFonts w:ascii="Times New Roman" w:hAnsi="Times New Roman" w:cs="Times New Roman"/>
          <w:szCs w:val="24"/>
        </w:rPr>
        <w:t xml:space="preserve">across replicate trajectories, and the largest absolute occupancy shift observed across </w:t>
      </w:r>
      <w:r>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Pr="000C068E">
        <w:rPr>
          <w:rFonts w:ascii="Times New Roman" w:hAnsi="Times New Roman" w:cs="Times New Roman"/>
          <w:szCs w:val="24"/>
        </w:rPr>
        <w:t xml:space="preserve">This global maximum statistic estimates the magnitude of occupancy shift expected by chance when </w:t>
      </w:r>
      <w:r w:rsidRPr="000C068E">
        <w:rPr>
          <w:rFonts w:ascii="Times New Roman" w:hAnsi="Times New Roman" w:cs="Times New Roman"/>
          <w:szCs w:val="24"/>
        </w:rPr>
        <w:lastRenderedPageBreak/>
        <w:t xml:space="preserve">applying the same residue-screening procedure to the same trajectory set. </w:t>
      </w:r>
      <w:r>
        <w:rPr>
          <w:rFonts w:ascii="Times New Roman" w:hAnsi="Times New Roman" w:cs="Times New Roman"/>
          <w:szCs w:val="24"/>
        </w:rPr>
        <w:t>Only two</w:t>
      </w:r>
      <w:r w:rsidRPr="000C068E">
        <w:rPr>
          <w:rFonts w:ascii="Times New Roman" w:hAnsi="Times New Roman" w:cs="Times New Roman"/>
          <w:szCs w:val="24"/>
        </w:rPr>
        <w:t xml:space="preserve"> reporter coordinates were observed </w:t>
      </w:r>
      <w:r>
        <w:rPr>
          <w:rFonts w:ascii="Times New Roman" w:hAnsi="Times New Roman" w:cs="Times New Roman"/>
          <w:szCs w:val="24"/>
        </w:rPr>
        <w:t xml:space="preserve">to have </w:t>
      </w:r>
      <w:r w:rsidRPr="000C068E">
        <w:rPr>
          <w:rFonts w:ascii="Times New Roman" w:hAnsi="Times New Roman" w:cs="Times New Roman"/>
          <w:szCs w:val="24"/>
        </w:rPr>
        <w:t>absolute WT-referenced occupancy shifts exceed</w:t>
      </w:r>
      <w:r>
        <w:rPr>
          <w:rFonts w:ascii="Times New Roman" w:hAnsi="Times New Roman" w:cs="Times New Roman"/>
          <w:szCs w:val="24"/>
        </w:rPr>
        <w:t>ing</w:t>
      </w:r>
      <w:r w:rsidRPr="000C068E">
        <w:rPr>
          <w:rFonts w:ascii="Times New Roman" w:hAnsi="Times New Roman" w:cs="Times New Roman"/>
          <w:szCs w:val="24"/>
        </w:rPr>
        <w:t xml:space="preserve"> the 90th percentile of this null distribution (Supplementary Figure 1)</w:t>
      </w:r>
      <w:r>
        <w:rPr>
          <w:rFonts w:ascii="Times New Roman" w:hAnsi="Times New Roman" w:cs="Times New Roman"/>
          <w:szCs w:val="24"/>
        </w:rPr>
        <w:t xml:space="preserve"> – Ser105 for V106A containing genotypes (V106A, V106A+P225H, V106A+F227L, V106A+L234I) and Val179 for G190E.</w:t>
      </w:r>
    </w:p>
    <w:p w14:paraId="53BA3DC7" w14:textId="77777777" w:rsidR="00592D46" w:rsidRDefault="00592D46" w:rsidP="001D0F7D">
      <w:pPr>
        <w:rPr>
          <w:rFonts w:ascii="Times New Roman" w:hAnsi="Times New Roman" w:cs="Times New Roman"/>
          <w:b/>
          <w:bCs/>
          <w:sz w:val="20"/>
          <w:szCs w:val="20"/>
        </w:rPr>
        <w:sectPr w:rsidR="00592D46" w:rsidSect="00006884">
          <w:footerReference w:type="even" r:id="rId12"/>
          <w:footerReference w:type="default" r:id="rId13"/>
          <w:type w:val="continuous"/>
          <w:pgSz w:w="12240" w:h="15840"/>
          <w:pgMar w:top="1440" w:right="1440" w:bottom="1440" w:left="1440" w:header="720" w:footer="720" w:gutter="0"/>
          <w:lnNumType w:countBy="1" w:restart="continuous"/>
          <w:cols w:space="720"/>
          <w:docGrid w:linePitch="360"/>
        </w:sectPr>
      </w:pPr>
    </w:p>
    <w:p w14:paraId="11E037EE" w14:textId="63D179DA" w:rsidR="00BE6784" w:rsidRPr="0046483F" w:rsidRDefault="00F4099F" w:rsidP="001D0F7D">
      <w:pPr>
        <w:rPr>
          <w:rFonts w:ascii="Times New Roman" w:hAnsi="Times New Roman" w:cs="Times New Roman"/>
          <w:sz w:val="22"/>
          <w:szCs w:val="22"/>
        </w:rPr>
      </w:pPr>
      <w:r>
        <w:rPr>
          <w:rFonts w:ascii="Times New Roman" w:hAnsi="Times New Roman" w:cs="Times New Roman"/>
          <w:b/>
          <w:bCs/>
          <w:noProof/>
          <w:sz w:val="20"/>
          <w:szCs w:val="20"/>
        </w:rPr>
        <w:lastRenderedPageBreak/>
        <w:drawing>
          <wp:anchor distT="0" distB="0" distL="114300" distR="114300" simplePos="0" relativeHeight="251677696" behindDoc="0" locked="0" layoutInCell="1" allowOverlap="1" wp14:anchorId="24304E7D" wp14:editId="2F03FE6A">
            <wp:simplePos x="0" y="0"/>
            <wp:positionH relativeFrom="column">
              <wp:posOffset>0</wp:posOffset>
            </wp:positionH>
            <wp:positionV relativeFrom="paragraph">
              <wp:posOffset>0</wp:posOffset>
            </wp:positionV>
            <wp:extent cx="9144000" cy="5090160"/>
            <wp:effectExtent l="0" t="0" r="0" b="2540"/>
            <wp:wrapTopAndBottom/>
            <wp:docPr id="702069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9467" name="Picture 702069467"/>
                    <pic:cNvPicPr/>
                  </pic:nvPicPr>
                  <pic:blipFill>
                    <a:blip r:embed="rId14" cstate="print">
                      <a:extLst>
                        <a:ext uri="{28A0092B-C50C-407E-A947-70E740481C1C}">
                          <a14:useLocalDpi xmlns:a14="http://schemas.microsoft.com/office/drawing/2010/main"/>
                        </a:ext>
                      </a:extLst>
                    </a:blip>
                    <a:stretch>
                      <a:fillRect/>
                    </a:stretch>
                  </pic:blipFill>
                  <pic:spPr>
                    <a:xfrm>
                      <a:off x="0" y="0"/>
                      <a:ext cx="9144000" cy="5090160"/>
                    </a:xfrm>
                    <a:prstGeom prst="rect">
                      <a:avLst/>
                    </a:prstGeom>
                  </pic:spPr>
                </pic:pic>
              </a:graphicData>
            </a:graphic>
            <wp14:sizeRelH relativeFrom="page">
              <wp14:pctWidth>0</wp14:pctWidth>
            </wp14:sizeRelH>
            <wp14:sizeRelV relativeFrom="page">
              <wp14:pctHeight>0</wp14:pctHeight>
            </wp14:sizeRelV>
          </wp:anchor>
        </w:drawing>
      </w:r>
      <w:r w:rsidR="003919B1" w:rsidRPr="0046483F">
        <w:rPr>
          <w:rFonts w:ascii="Times New Roman" w:hAnsi="Times New Roman" w:cs="Times New Roman"/>
          <w:b/>
          <w:bCs/>
          <w:sz w:val="22"/>
          <w:szCs w:val="22"/>
        </w:rPr>
        <w:t xml:space="preserve">Figure </w:t>
      </w:r>
      <w:r w:rsidR="004E3CAD">
        <w:rPr>
          <w:rFonts w:ascii="Times New Roman" w:hAnsi="Times New Roman" w:cs="Times New Roman"/>
          <w:b/>
          <w:bCs/>
          <w:sz w:val="22"/>
          <w:szCs w:val="22"/>
        </w:rPr>
        <w:t>4</w:t>
      </w:r>
      <w:r w:rsidR="003919B1" w:rsidRPr="0046483F">
        <w:rPr>
          <w:rFonts w:ascii="Times New Roman" w:hAnsi="Times New Roman" w:cs="Times New Roman"/>
          <w:b/>
          <w:bCs/>
          <w:sz w:val="22"/>
          <w:szCs w:val="22"/>
        </w:rPr>
        <w:t xml:space="preserve">: Mutation-associated changes in mean </w:t>
      </w:r>
      <w:r>
        <w:rPr>
          <w:rFonts w:ascii="Times New Roman" w:hAnsi="Times New Roman" w:cs="Times New Roman"/>
          <w:b/>
          <w:bCs/>
          <w:sz w:val="22"/>
          <w:szCs w:val="22"/>
        </w:rPr>
        <w:t xml:space="preserve">contact </w:t>
      </w:r>
      <w:r w:rsidR="003919B1" w:rsidRPr="0046483F">
        <w:rPr>
          <w:rFonts w:ascii="Times New Roman" w:hAnsi="Times New Roman" w:cs="Times New Roman"/>
          <w:b/>
          <w:bCs/>
          <w:sz w:val="22"/>
          <w:szCs w:val="22"/>
        </w:rPr>
        <w:t>occupancy.</w:t>
      </w:r>
      <w:r w:rsidR="003919B1" w:rsidRPr="0046483F">
        <w:rPr>
          <w:rFonts w:ascii="Times New Roman" w:hAnsi="Times New Roman" w:cs="Times New Roman"/>
          <w:sz w:val="22"/>
          <w:szCs w:val="22"/>
        </w:rPr>
        <w:t xml:space="preserve"> X-axis lists all residues that were ever in contact with DOR in WT RT-DOR simulations</w:t>
      </w:r>
      <w:r>
        <w:rPr>
          <w:rFonts w:ascii="Times New Roman" w:hAnsi="Times New Roman" w:cs="Times New Roman"/>
          <w:sz w:val="22"/>
          <w:szCs w:val="22"/>
        </w:rPr>
        <w:t xml:space="preserve"> and had mean contact occupancy </w:t>
      </w:r>
      <w:r>
        <w:rPr>
          <w:rFonts w:ascii="Times New Roman" w:hAnsi="Times New Roman" w:cs="Times New Roman"/>
          <w:sz w:val="22"/>
          <w:szCs w:val="22"/>
        </w:rPr>
        <w:sym w:font="Symbol" w:char="F0B3"/>
      </w:r>
      <w:r>
        <w:rPr>
          <w:rFonts w:ascii="Times New Roman" w:hAnsi="Times New Roman" w:cs="Times New Roman"/>
          <w:sz w:val="22"/>
          <w:szCs w:val="22"/>
        </w:rPr>
        <w:t xml:space="preserve"> |0.1| for at least one genotype</w:t>
      </w:r>
      <w:r w:rsidR="003919B1" w:rsidRPr="0046483F">
        <w:rPr>
          <w:rFonts w:ascii="Times New Roman" w:hAnsi="Times New Roman" w:cs="Times New Roman"/>
          <w:sz w:val="22"/>
          <w:szCs w:val="22"/>
        </w:rPr>
        <w:t xml:space="preserve">. Y-axis lists the 18 genotypes including </w:t>
      </w:r>
      <w:r>
        <w:rPr>
          <w:rFonts w:ascii="Times New Roman" w:hAnsi="Times New Roman" w:cs="Times New Roman"/>
          <w:sz w:val="22"/>
          <w:szCs w:val="22"/>
        </w:rPr>
        <w:t>DOR susceptible</w:t>
      </w:r>
      <w:r w:rsidR="003919B1" w:rsidRPr="0046483F">
        <w:rPr>
          <w:rFonts w:ascii="Times New Roman" w:hAnsi="Times New Roman" w:cs="Times New Roman"/>
          <w:sz w:val="22"/>
          <w:szCs w:val="22"/>
        </w:rPr>
        <w:t xml:space="preserve">, </w:t>
      </w:r>
      <w:r>
        <w:rPr>
          <w:rFonts w:ascii="Times New Roman" w:hAnsi="Times New Roman" w:cs="Times New Roman"/>
          <w:sz w:val="22"/>
          <w:szCs w:val="22"/>
        </w:rPr>
        <w:t>DOR resistant</w:t>
      </w:r>
      <w:r w:rsidR="003919B1" w:rsidRPr="0046483F">
        <w:rPr>
          <w:rFonts w:ascii="Times New Roman" w:hAnsi="Times New Roman" w:cs="Times New Roman"/>
          <w:sz w:val="22"/>
          <w:szCs w:val="22"/>
        </w:rPr>
        <w:t xml:space="preserve">, and the </w:t>
      </w:r>
      <w:r w:rsidR="00862498" w:rsidRPr="0046483F">
        <w:rPr>
          <w:rFonts w:ascii="Times New Roman" w:hAnsi="Times New Roman" w:cs="Times New Roman"/>
          <w:sz w:val="22"/>
          <w:szCs w:val="22"/>
        </w:rPr>
        <w:t>uncertain phenotype</w:t>
      </w:r>
      <w:r w:rsidR="003E13C8" w:rsidRPr="0046483F">
        <w:rPr>
          <w:rFonts w:ascii="Times New Roman" w:hAnsi="Times New Roman" w:cs="Times New Roman"/>
          <w:sz w:val="22"/>
          <w:szCs w:val="22"/>
        </w:rPr>
        <w:t xml:space="preserve"> </w:t>
      </w:r>
      <w:r w:rsidR="003919B1" w:rsidRPr="0046483F">
        <w:rPr>
          <w:rFonts w:ascii="Times New Roman" w:hAnsi="Times New Roman" w:cs="Times New Roman"/>
          <w:sz w:val="22"/>
          <w:szCs w:val="22"/>
        </w:rPr>
        <w:t>set</w:t>
      </w:r>
      <w:r>
        <w:rPr>
          <w:rFonts w:ascii="Times New Roman" w:hAnsi="Times New Roman" w:cs="Times New Roman"/>
          <w:sz w:val="22"/>
          <w:szCs w:val="22"/>
        </w:rPr>
        <w:t xml:space="preserve"> defined in this work</w:t>
      </w:r>
      <w:r w:rsidR="003919B1" w:rsidRPr="0046483F">
        <w:rPr>
          <w:rFonts w:ascii="Times New Roman" w:hAnsi="Times New Roman" w:cs="Times New Roman"/>
          <w:sz w:val="22"/>
          <w:szCs w:val="22"/>
        </w:rPr>
        <w:t xml:space="preserve">. </w:t>
      </w:r>
      <w:r>
        <w:rPr>
          <w:rFonts w:ascii="Times New Roman" w:hAnsi="Times New Roman" w:cs="Times New Roman"/>
          <w:sz w:val="22"/>
          <w:szCs w:val="22"/>
        </w:rPr>
        <w:t xml:space="preserve">Ticks show shifts with |∆occupancy vs WT| </w:t>
      </w:r>
      <w:r>
        <w:rPr>
          <w:rFonts w:ascii="Times New Roman" w:hAnsi="Times New Roman" w:cs="Times New Roman"/>
          <w:sz w:val="22"/>
          <w:szCs w:val="22"/>
        </w:rPr>
        <w:sym w:font="Symbol" w:char="F0B3"/>
      </w:r>
      <w:r>
        <w:rPr>
          <w:rFonts w:ascii="Times New Roman" w:hAnsi="Times New Roman" w:cs="Times New Roman"/>
          <w:sz w:val="22"/>
          <w:szCs w:val="22"/>
        </w:rPr>
        <w:t xml:space="preserve"> 0.1; smaller values are shown as 0</w:t>
      </w:r>
      <w:r w:rsidR="003919B1" w:rsidRPr="0046483F">
        <w:rPr>
          <w:rFonts w:ascii="Times New Roman" w:hAnsi="Times New Roman" w:cs="Times New Roman"/>
          <w:sz w:val="22"/>
          <w:szCs w:val="22"/>
        </w:rPr>
        <w:t>.</w:t>
      </w:r>
    </w:p>
    <w:p w14:paraId="2AE0E804" w14:textId="77777777" w:rsidR="0061294B" w:rsidRDefault="0061294B" w:rsidP="001D0F7D">
      <w:pPr>
        <w:rPr>
          <w:rFonts w:ascii="Times New Roman" w:hAnsi="Times New Roman" w:cs="Times New Roman"/>
          <w:szCs w:val="24"/>
        </w:rPr>
        <w:sectPr w:rsidR="0061294B" w:rsidSect="00006884">
          <w:type w:val="continuous"/>
          <w:pgSz w:w="15840" w:h="12226" w:orient="landscape"/>
          <w:pgMar w:top="720" w:right="720" w:bottom="720" w:left="720" w:header="720" w:footer="720" w:gutter="0"/>
          <w:lnNumType w:countBy="1" w:restart="continuous"/>
          <w:cols w:space="720"/>
          <w:docGrid w:linePitch="360"/>
        </w:sectPr>
      </w:pPr>
    </w:p>
    <w:p w14:paraId="3035A909" w14:textId="08371F95" w:rsidR="00592D46" w:rsidRPr="009055AB" w:rsidRDefault="00AF005F" w:rsidP="00592D46">
      <w:pPr>
        <w:rPr>
          <w:rFonts w:ascii="Arial" w:hAnsi="Arial" w:cs="Arial"/>
          <w:szCs w:val="24"/>
        </w:rPr>
      </w:pPr>
      <w:r w:rsidRPr="005C2299">
        <w:rPr>
          <w:rFonts w:ascii="Times New Roman" w:hAnsi="Times New Roman" w:cs="Times New Roman"/>
          <w:i/>
          <w:iCs/>
          <w:szCs w:val="24"/>
          <w:u w:val="single"/>
        </w:rPr>
        <w:lastRenderedPageBreak/>
        <w:t xml:space="preserve">V106A-containing genotypes shift DOR toward the </w:t>
      </w:r>
      <w:r>
        <w:rPr>
          <w:rFonts w:ascii="Times New Roman" w:hAnsi="Times New Roman" w:cs="Times New Roman"/>
          <w:i/>
          <w:iCs/>
          <w:szCs w:val="24"/>
          <w:u w:val="single"/>
        </w:rPr>
        <w:t>103-108 loop</w:t>
      </w:r>
    </w:p>
    <w:p w14:paraId="581ECAB3" w14:textId="3D16CDE6" w:rsidR="00592D46" w:rsidRPr="00AF005F" w:rsidRDefault="00F11FC3" w:rsidP="009977AB">
      <w:pPr>
        <w:spacing w:after="240"/>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2EE5D329" wp14:editId="4940661A">
            <wp:extent cx="5943600" cy="4323715"/>
            <wp:effectExtent l="0" t="0" r="0" b="0"/>
            <wp:docPr id="5450405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40553" name="Picture 5450405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323715"/>
                    </a:xfrm>
                    <a:prstGeom prst="rect">
                      <a:avLst/>
                    </a:prstGeom>
                  </pic:spPr>
                </pic:pic>
              </a:graphicData>
            </a:graphic>
          </wp:inline>
        </w:drawing>
      </w:r>
      <w:r w:rsidR="00592D46" w:rsidRPr="00EE3E24">
        <w:rPr>
          <w:rFonts w:ascii="Times New Roman" w:hAnsi="Times New Roman" w:cs="Times New Roman"/>
          <w:b/>
          <w:bCs/>
          <w:sz w:val="22"/>
          <w:szCs w:val="22"/>
        </w:rPr>
        <w:t xml:space="preserve">Figure 5: V106A preferentially alters DOR pose, causing Ser105 to shift closer to DOR. </w:t>
      </w:r>
      <w:r w:rsidR="00592D46" w:rsidRPr="00EE3E24">
        <w:rPr>
          <w:rFonts w:ascii="Times New Roman" w:hAnsi="Times New Roman" w:cs="Times New Roman"/>
          <w:sz w:val="22"/>
          <w:szCs w:val="22"/>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0267DF14" w14:textId="2E23A52F"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The V106 region is a major determinant of DOR susceptibility because V106 directly contacts the central pyridone</w:t>
      </w:r>
      <w:r>
        <w:rPr>
          <w:rFonts w:ascii="Times New Roman" w:hAnsi="Times New Roman" w:cs="Times New Roman"/>
          <w:szCs w:val="24"/>
        </w:rPr>
        <w:t xml:space="preserve"> core of DOR</w:t>
      </w:r>
      <w:r w:rsidRPr="004B23D9">
        <w:rPr>
          <w:rFonts w:ascii="Times New Roman" w:hAnsi="Times New Roman" w:cs="Times New Roman"/>
          <w:szCs w:val="24"/>
        </w:rPr>
        <w:t xml:space="preserve">. However, </w:t>
      </w:r>
      <w:r>
        <w:rPr>
          <w:rFonts w:ascii="Times New Roman" w:hAnsi="Times New Roman" w:cs="Times New Roman"/>
          <w:i/>
          <w:iCs/>
          <w:szCs w:val="24"/>
        </w:rPr>
        <w:t xml:space="preserve">in vitro </w:t>
      </w:r>
      <w:r>
        <w:rPr>
          <w:rFonts w:ascii="Times New Roman" w:hAnsi="Times New Roman" w:cs="Times New Roman"/>
          <w:szCs w:val="24"/>
        </w:rPr>
        <w:t xml:space="preserve">susceptibility assays and clinical prevalence data </w:t>
      </w:r>
      <w:r w:rsidRPr="004B23D9">
        <w:rPr>
          <w:rFonts w:ascii="Times New Roman" w:hAnsi="Times New Roman" w:cs="Times New Roman"/>
          <w:szCs w:val="24"/>
        </w:rPr>
        <w:t xml:space="preserve">indicate that not all </w:t>
      </w:r>
      <w:r>
        <w:rPr>
          <w:rFonts w:ascii="Times New Roman" w:hAnsi="Times New Roman" w:cs="Times New Roman"/>
          <w:szCs w:val="24"/>
        </w:rPr>
        <w:t>V</w:t>
      </w:r>
      <w:r w:rsidRPr="004B23D9">
        <w:rPr>
          <w:rFonts w:ascii="Times New Roman" w:hAnsi="Times New Roman" w:cs="Times New Roman"/>
          <w:szCs w:val="24"/>
        </w:rPr>
        <w:t xml:space="preserve">106 </w:t>
      </w:r>
      <w:r>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a polymorphic substitution observed to some extent in the general population,</w:t>
      </w:r>
      <w:r w:rsidRPr="004B23D9">
        <w:rPr>
          <w:rFonts w:ascii="Times New Roman" w:hAnsi="Times New Roman" w:cs="Times New Roman"/>
          <w:szCs w:val="24"/>
        </w:rPr>
        <w:t xml:space="preserve"> </w:t>
      </w:r>
      <w:r w:rsidR="0099089A">
        <w:rPr>
          <w:rFonts w:ascii="Times New Roman" w:hAnsi="Times New Roman" w:cs="Times New Roman"/>
          <w:szCs w:val="24"/>
        </w:rPr>
        <w:t xml:space="preserve">does not reduce </w:t>
      </w:r>
      <w:r w:rsidRPr="004B23D9">
        <w:rPr>
          <w:rFonts w:ascii="Times New Roman" w:hAnsi="Times New Roman" w:cs="Times New Roman"/>
          <w:szCs w:val="24"/>
        </w:rPr>
        <w:t>susceptibility when present alone, whereas V106A is a canonical DOR resistance mutation and serves as the first step in several high-resistance combination pathways.</w:t>
      </w:r>
      <w:r>
        <w:rPr>
          <w:rFonts w:ascii="Times New Roman" w:hAnsi="Times New Roman" w:cs="Times New Roman"/>
          <w:szCs w:val="24"/>
        </w:rPr>
        <w:t xml:space="preserve"> While V106M is not a canonical DOR mutation, limited data suggest it could cause low-level resistance to DOR.</w:t>
      </w:r>
    </w:p>
    <w:p w14:paraId="54A998F1" w14:textId="2884BFE3"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contact </w:t>
      </w:r>
      <w:r>
        <w:rPr>
          <w:rFonts w:ascii="Times New Roman" w:hAnsi="Times New Roman" w:cs="Times New Roman"/>
          <w:szCs w:val="24"/>
        </w:rPr>
        <w:t xml:space="preserve">occupancy </w:t>
      </w:r>
      <w:r w:rsidRPr="004B23D9">
        <w:rPr>
          <w:rFonts w:ascii="Times New Roman" w:hAnsi="Times New Roman" w:cs="Times New Roman"/>
          <w:szCs w:val="24"/>
        </w:rPr>
        <w:t>analysis</w:t>
      </w:r>
      <w:r>
        <w:rPr>
          <w:rFonts w:ascii="Times New Roman" w:hAnsi="Times New Roman" w:cs="Times New Roman"/>
          <w:szCs w:val="24"/>
        </w:rPr>
        <w:t xml:space="preserve"> (Figure 4)</w:t>
      </w:r>
      <w:r w:rsidRPr="004B23D9">
        <w:rPr>
          <w:rFonts w:ascii="Times New Roman" w:hAnsi="Times New Roman" w:cs="Times New Roman"/>
          <w:szCs w:val="24"/>
        </w:rPr>
        <w:t xml:space="preserve">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shifts in DOR proximity in V106A-containing trajectories. In direct comparisons among </w:t>
      </w:r>
      <w:r>
        <w:rPr>
          <w:rFonts w:ascii="Times New Roman" w:hAnsi="Times New Roman" w:cs="Times New Roman"/>
          <w:szCs w:val="24"/>
        </w:rPr>
        <w:t xml:space="preserve">WT, </w:t>
      </w:r>
      <w:r w:rsidRPr="004B23D9">
        <w:rPr>
          <w:rFonts w:ascii="Times New Roman" w:hAnsi="Times New Roman" w:cs="Times New Roman"/>
          <w:szCs w:val="24"/>
        </w:rPr>
        <w:t>V106I</w:t>
      </w:r>
      <w:r>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Pr>
          <w:rFonts w:ascii="Times New Roman" w:hAnsi="Times New Roman" w:cs="Times New Roman"/>
          <w:szCs w:val="24"/>
        </w:rPr>
        <w:t xml:space="preserve"> (Figure 5)</w:t>
      </w:r>
      <w:r w:rsidRPr="004B23D9">
        <w:rPr>
          <w:rFonts w:ascii="Times New Roman" w:hAnsi="Times New Roman" w:cs="Times New Roman"/>
          <w:szCs w:val="24"/>
        </w:rPr>
        <w:t>.</w:t>
      </w:r>
    </w:p>
    <w:p w14:paraId="5E832D58" w14:textId="77777777"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most plausible interpretation is that replacement of valine with alanine removes hydrophobic bulk from a direct DOR-contact site and allows the bound ligand to redistribute toward a slightly </w:t>
      </w:r>
      <w:r w:rsidRPr="004B23D9">
        <w:rPr>
          <w:rFonts w:ascii="Times New Roman" w:hAnsi="Times New Roman" w:cs="Times New Roman"/>
          <w:szCs w:val="24"/>
        </w:rPr>
        <w:lastRenderedPageBreak/>
        <w:t xml:space="preserve">more </w:t>
      </w:r>
      <w:r>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Pr>
          <w:rFonts w:ascii="Times New Roman" w:hAnsi="Times New Roman" w:cs="Times New Roman"/>
          <w:szCs w:val="24"/>
        </w:rPr>
        <w:t>, which mitigates</w:t>
      </w:r>
      <w:r w:rsidRPr="004B23D9">
        <w:rPr>
          <w:rFonts w:ascii="Times New Roman" w:hAnsi="Times New Roman" w:cs="Times New Roman"/>
          <w:szCs w:val="24"/>
        </w:rPr>
        <w:t xml:space="preserve"> </w:t>
      </w:r>
      <w:r>
        <w:rPr>
          <w:rFonts w:ascii="Times New Roman" w:hAnsi="Times New Roman" w:cs="Times New Roman"/>
          <w:szCs w:val="24"/>
        </w:rPr>
        <w:t>l</w:t>
      </w:r>
      <w:r w:rsidRPr="004B23D9">
        <w:rPr>
          <w:rFonts w:ascii="Times New Roman" w:hAnsi="Times New Roman" w:cs="Times New Roman"/>
          <w:szCs w:val="24"/>
        </w:rPr>
        <w:t xml:space="preserve">ocal geometry </w:t>
      </w:r>
      <w:r>
        <w:rPr>
          <w:rFonts w:ascii="Times New Roman" w:hAnsi="Times New Roman" w:cs="Times New Roman"/>
          <w:szCs w:val="24"/>
        </w:rPr>
        <w:t>perturbation</w:t>
      </w:r>
      <w:r w:rsidRPr="004B23D9">
        <w:rPr>
          <w:rFonts w:ascii="Times New Roman" w:hAnsi="Times New Roman" w:cs="Times New Roman"/>
          <w:szCs w:val="24"/>
        </w:rPr>
        <w:t>.</w:t>
      </w:r>
    </w:p>
    <w:p w14:paraId="7FD709A3" w14:textId="15D83CE2" w:rsidR="00AF005F" w:rsidRDefault="00AF005F" w:rsidP="00AF005F">
      <w:pPr>
        <w:spacing w:after="240"/>
        <w:rPr>
          <w:rFonts w:ascii="Times New Roman" w:hAnsi="Times New Roman" w:cs="Times New Roman"/>
          <w:szCs w:val="24"/>
        </w:rPr>
      </w:pPr>
      <w:r>
        <w:rPr>
          <w:rFonts w:ascii="Times New Roman" w:hAnsi="Times New Roman" w:cs="Times New Roman"/>
          <w:szCs w:val="24"/>
        </w:rPr>
        <w:t xml:space="preserve">According to this analysis, the mutation V106M, despite exhibiting ~3x-fold reduction in DOR susceptibility, is predicted to be closer to V106I than V106A in terms of the DOR interaction network within the NNIBP (Figure 4). Specifically, V106M does not display a shift toward Lys104 and Ser105 (mean </w:t>
      </w:r>
      <w:r w:rsidR="00FB6672">
        <w:rPr>
          <w:rFonts w:ascii="Times New Roman" w:hAnsi="Times New Roman" w:cs="Times New Roman"/>
          <w:szCs w:val="24"/>
        </w:rPr>
        <w:t xml:space="preserve">contact </w:t>
      </w:r>
      <w:r>
        <w:rPr>
          <w:rFonts w:ascii="Times New Roman" w:hAnsi="Times New Roman" w:cs="Times New Roman"/>
          <w:szCs w:val="24"/>
        </w:rPr>
        <w:t xml:space="preserve">occupancy </w:t>
      </w:r>
      <w:r w:rsidR="00FB6672">
        <w:rPr>
          <w:rFonts w:ascii="Times New Roman" w:hAnsi="Times New Roman" w:cs="Times New Roman"/>
          <w:szCs w:val="24"/>
        </w:rPr>
        <w:t>&lt; |0.1|</w:t>
      </w:r>
      <w:r>
        <w:rPr>
          <w:rFonts w:ascii="Times New Roman" w:hAnsi="Times New Roman" w:cs="Times New Roman"/>
          <w:szCs w:val="24"/>
        </w:rPr>
        <w:t xml:space="preserve"> vs WT). On the other hand, i</w:t>
      </w:r>
      <w:r w:rsidRPr="004B23D9">
        <w:rPr>
          <w:rFonts w:ascii="Times New Roman" w:hAnsi="Times New Roman" w:cs="Times New Roman"/>
          <w:szCs w:val="24"/>
        </w:rPr>
        <w:t xml:space="preserve">f V106A first redistributes the DOR pose toward the </w:t>
      </w:r>
      <w:r>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r>
        <w:rPr>
          <w:rFonts w:ascii="Times New Roman" w:hAnsi="Times New Roman" w:cs="Times New Roman"/>
          <w:szCs w:val="24"/>
        </w:rPr>
        <w:t xml:space="preserve"> Accordingly, all three combinations display mean contact occupancy &gt; 0.5 </w:t>
      </w:r>
      <w:r w:rsidR="006720BB">
        <w:rPr>
          <w:rFonts w:ascii="Times New Roman" w:hAnsi="Times New Roman" w:cs="Times New Roman"/>
          <w:szCs w:val="24"/>
        </w:rPr>
        <w:t xml:space="preserve">compared with </w:t>
      </w:r>
      <w:r>
        <w:rPr>
          <w:rFonts w:ascii="Times New Roman" w:hAnsi="Times New Roman" w:cs="Times New Roman"/>
          <w:szCs w:val="24"/>
        </w:rPr>
        <w:t xml:space="preserve">WT toward both Lys104 and Ser105. </w:t>
      </w:r>
      <w:r w:rsidRPr="004B23D9">
        <w:rPr>
          <w:rFonts w:ascii="Times New Roman" w:hAnsi="Times New Roman" w:cs="Times New Roman"/>
          <w:szCs w:val="24"/>
        </w:rPr>
        <w:t xml:space="preserve">This model </w:t>
      </w:r>
      <w:r>
        <w:rPr>
          <w:rFonts w:ascii="Times New Roman" w:hAnsi="Times New Roman" w:cs="Times New Roman"/>
          <w:szCs w:val="24"/>
        </w:rPr>
        <w:t>is consistent with the observation that</w:t>
      </w:r>
      <w:r w:rsidRPr="004B23D9">
        <w:rPr>
          <w:rFonts w:ascii="Times New Roman" w:hAnsi="Times New Roman" w:cs="Times New Roman"/>
          <w:szCs w:val="24"/>
        </w:rPr>
        <w:t xml:space="preserve"> V106A </w:t>
      </w:r>
      <w:r>
        <w:rPr>
          <w:rFonts w:ascii="Times New Roman" w:hAnsi="Times New Roman" w:cs="Times New Roman"/>
          <w:szCs w:val="24"/>
        </w:rPr>
        <w:t>leads to high-level DOR resistance</w:t>
      </w:r>
      <w:r w:rsidRPr="004B23D9">
        <w:rPr>
          <w:rFonts w:ascii="Times New Roman" w:hAnsi="Times New Roman" w:cs="Times New Roman"/>
          <w:szCs w:val="24"/>
        </w:rPr>
        <w:t xml:space="preserve"> in combination with secondary </w:t>
      </w:r>
      <w:r>
        <w:rPr>
          <w:rFonts w:ascii="Times New Roman" w:hAnsi="Times New Roman" w:cs="Times New Roman"/>
          <w:szCs w:val="24"/>
        </w:rPr>
        <w:t>hydrophobic tunnel and primer grip mutations</w:t>
      </w:r>
      <w:r w:rsidRPr="004B23D9">
        <w:rPr>
          <w:rFonts w:ascii="Times New Roman" w:hAnsi="Times New Roman" w:cs="Times New Roman"/>
          <w:szCs w:val="24"/>
        </w:rPr>
        <w:t xml:space="preserve">. </w:t>
      </w:r>
    </w:p>
    <w:p w14:paraId="517CE7A8" w14:textId="08536269" w:rsidR="00592D46" w:rsidRDefault="00AF005F" w:rsidP="00592D46">
      <w:pPr>
        <w:rPr>
          <w:rFonts w:ascii="Arial" w:hAnsi="Arial" w:cs="Arial"/>
          <w:szCs w:val="24"/>
        </w:rPr>
      </w:pPr>
      <w:r w:rsidRPr="009D1AB3">
        <w:rPr>
          <w:rFonts w:ascii="Times New Roman" w:hAnsi="Times New Roman" w:cs="Times New Roman"/>
          <w:i/>
          <w:iCs/>
          <w:szCs w:val="24"/>
          <w:u w:val="single"/>
        </w:rPr>
        <w:t>V106I+F227C reaches high resistance through a different local route than V106A+F227L</w:t>
      </w:r>
    </w:p>
    <w:p w14:paraId="3FCFF29F" w14:textId="24944F1D" w:rsidR="00592D46" w:rsidRPr="00EE3E24" w:rsidRDefault="001B0C11" w:rsidP="00592D46">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68ABBEEF" wp14:editId="4D8EA3C8">
            <wp:extent cx="5943600" cy="3815715"/>
            <wp:effectExtent l="0" t="0" r="0" b="0"/>
            <wp:docPr id="16848514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1494" name="Picture 16848514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15715"/>
                    </a:xfrm>
                    <a:prstGeom prst="rect">
                      <a:avLst/>
                    </a:prstGeom>
                  </pic:spPr>
                </pic:pic>
              </a:graphicData>
            </a:graphic>
          </wp:inline>
        </w:drawing>
      </w:r>
      <w:r w:rsidR="00592D46" w:rsidRPr="00EE3E24">
        <w:rPr>
          <w:rFonts w:ascii="Times New Roman" w:hAnsi="Times New Roman" w:cs="Times New Roman"/>
          <w:b/>
          <w:bCs/>
          <w:sz w:val="22"/>
          <w:szCs w:val="22"/>
        </w:rPr>
        <w:t xml:space="preserve">Figure 6: V106I+F227C exhibits alternative dynamics than V106A+F227L. </w:t>
      </w:r>
      <w:r w:rsidR="00592D46" w:rsidRPr="00EE3E24">
        <w:rPr>
          <w:rFonts w:ascii="Times New Roman" w:hAnsi="Times New Roman" w:cs="Times New Roman"/>
          <w:sz w:val="22"/>
          <w:szCs w:val="22"/>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260EAA79" w14:textId="77777777" w:rsidR="00AF005F" w:rsidRDefault="00AF005F" w:rsidP="00AF005F">
      <w:pPr>
        <w:pStyle w:val="NormalWeb"/>
      </w:pPr>
      <w:r>
        <w:t xml:space="preserve">V106I+F227C and V106A+F227L are both highly DOR-resistant genotypes, but the contact occupancy analysis suggests that they achieve resistance through distinct structural mechanisms </w:t>
      </w:r>
      <w:r>
        <w:lastRenderedPageBreak/>
        <w:t>(Figure 4). V106A+F227L falls within the broader V106A genotype family and, accordingly, retains the characteristic 103–108 loop-shifted signature observed in other V106A-containing backgrounds. Specifically, it shows a local shift toward Ser105 and Lys104.</w:t>
      </w:r>
    </w:p>
    <w:p w14:paraId="11A203D4" w14:textId="7E53FAB6" w:rsidR="00D82DE8" w:rsidRDefault="00D82DE8" w:rsidP="00D82DE8">
      <w:pPr>
        <w:pStyle w:val="NormalWeb"/>
      </w:pPr>
      <w:r>
        <w:t xml:space="preserve">By contrast, V106I+F227C does not display this pattern. Instead, it combines a relatively modest V106 substitution with a hydrophobic tunnel substitution at position 227, producing alternative local conformations centered around the 227 region. In these simulations, DOR becomes transiently more separated from residue 227 than in either WT or V106A+F227L (Figure </w:t>
      </w:r>
      <w:r w:rsidR="00C13DE2">
        <w:t>6</w:t>
      </w:r>
      <w:r>
        <w:t>).</w:t>
      </w:r>
    </w:p>
    <w:p w14:paraId="21D0258C" w14:textId="62D127EF" w:rsidR="00FB6672" w:rsidRDefault="00D82DE8" w:rsidP="009977AB">
      <w:pPr>
        <w:pStyle w:val="NormalWeb"/>
      </w:pPr>
      <w:r>
        <w:t xml:space="preserve">This comparison is important because the two genotypes have </w:t>
      </w:r>
      <w:r w:rsidR="004F5313">
        <w:t>similar</w:t>
      </w:r>
      <w:r>
        <w:t xml:space="preserve"> median DOR fold-change values in the available phenotype data, yet </w:t>
      </w:r>
      <w:r w:rsidR="00FB6672">
        <w:t>our simulations indicate that they</w:t>
      </w:r>
      <w:r>
        <w:t xml:space="preserve"> reach </w:t>
      </w:r>
      <w:r w:rsidR="00FB6672">
        <w:t xml:space="preserve">the </w:t>
      </w:r>
      <w:r>
        <w:t xml:space="preserve">shared resistance phenotype through different structural routes. </w:t>
      </w:r>
      <w:r w:rsidR="00FB6672">
        <w:t>T</w:t>
      </w:r>
      <w:r>
        <w:t>hese results suggest that structurally distinct genotype classes can converge on comparable susceptibility outcomes through different local reorganizations of the binding pocket.</w:t>
      </w:r>
    </w:p>
    <w:p w14:paraId="34E22E9E" w14:textId="7BF918D4" w:rsidR="00C82BF8" w:rsidRPr="00E953BF" w:rsidRDefault="001B0C11" w:rsidP="009D1AB3">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1E3A8324" wp14:editId="408BC844">
            <wp:extent cx="5943600" cy="4878070"/>
            <wp:effectExtent l="0" t="0" r="0" b="0"/>
            <wp:docPr id="177032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470" name="Picture 1770324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878070"/>
                    </a:xfrm>
                    <a:prstGeom prst="rect">
                      <a:avLst/>
                    </a:prstGeom>
                  </pic:spPr>
                </pic:pic>
              </a:graphicData>
            </a:graphic>
          </wp:inline>
        </w:drawing>
      </w:r>
      <w:r w:rsidR="00FB6672" w:rsidRPr="00C13DE2">
        <w:rPr>
          <w:rFonts w:ascii="Times New Roman" w:hAnsi="Times New Roman" w:cs="Times New Roman"/>
          <w:b/>
          <w:bCs/>
          <w:sz w:val="22"/>
          <w:szCs w:val="22"/>
        </w:rPr>
        <w:t xml:space="preserve">Figure 7: G190E preferentially disrupts β9-β10 hairpin, causing Val179 to lose contact with DOR. </w:t>
      </w:r>
      <w:r w:rsidR="00FB6672" w:rsidRPr="00C13DE2">
        <w:rPr>
          <w:rFonts w:ascii="Times New Roman" w:hAnsi="Times New Roman" w:cs="Times New Roman"/>
          <w:sz w:val="22"/>
          <w:szCs w:val="22"/>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4AAEEB9E" w14:textId="1278E72B" w:rsidR="00E953BF" w:rsidRDefault="00E953BF" w:rsidP="00E953BF">
      <w:pPr>
        <w:pStyle w:val="NormalWeb"/>
      </w:pPr>
      <w:r w:rsidRPr="00C82BF8">
        <w:rPr>
          <w:i/>
          <w:iCs/>
          <w:u w:val="single"/>
        </w:rPr>
        <w:lastRenderedPageBreak/>
        <w:t xml:space="preserve">G190E perturbs the </w:t>
      </w:r>
      <w:r>
        <w:rPr>
          <w:i/>
          <w:iCs/>
          <w:u w:val="single"/>
        </w:rPr>
        <w:t>pocket entrance</w:t>
      </w:r>
      <w:r w:rsidRPr="00C82BF8">
        <w:rPr>
          <w:i/>
          <w:iCs/>
          <w:u w:val="single"/>
        </w:rPr>
        <w:t xml:space="preserve"> and weakens Val179 contact</w:t>
      </w:r>
    </w:p>
    <w:p w14:paraId="6F6A18F7" w14:textId="5443DE2B" w:rsidR="00AF005F" w:rsidRDefault="00AF005F" w:rsidP="00AF005F">
      <w:pPr>
        <w:spacing w:before="240" w:after="240"/>
        <w:rPr>
          <w:rFonts w:ascii="Times New Roman" w:hAnsi="Times New Roman" w:cs="Times New Roman"/>
          <w:szCs w:val="24"/>
        </w:rPr>
      </w:pPr>
      <w:r>
        <w:rPr>
          <w:rFonts w:ascii="Times New Roman" w:hAnsi="Times New Roman" w:cs="Times New Roman"/>
          <w:szCs w:val="24"/>
        </w:rPr>
        <w:t>Publicly available</w:t>
      </w:r>
      <w:r w:rsidRPr="009E3D06">
        <w:rPr>
          <w:rFonts w:ascii="Times New Roman" w:hAnsi="Times New Roman" w:cs="Times New Roman"/>
          <w:szCs w:val="24"/>
        </w:rPr>
        <w:t xml:space="preserve"> phenotype </w:t>
      </w:r>
      <w:r>
        <w:rPr>
          <w:rFonts w:ascii="Times New Roman" w:hAnsi="Times New Roman" w:cs="Times New Roman"/>
          <w:szCs w:val="24"/>
        </w:rPr>
        <w:t>data</w:t>
      </w:r>
      <w:r w:rsidRPr="009E3D06">
        <w:rPr>
          <w:rFonts w:ascii="Times New Roman" w:hAnsi="Times New Roman" w:cs="Times New Roman"/>
          <w:szCs w:val="24"/>
        </w:rPr>
        <w:t xml:space="preserve"> suggest that G190E may reduce DOR susceptibility. We therefore compared WT, G190A, and G190E to ask whether introduction of a negatively charged glutamate at position 190 produces local structural effects distinct from the more common G190A substitution</w:t>
      </w:r>
      <w:r>
        <w:rPr>
          <w:rFonts w:ascii="Times New Roman" w:hAnsi="Times New Roman" w:cs="Times New Roman"/>
          <w:szCs w:val="24"/>
        </w:rPr>
        <w:t xml:space="preserve"> that is known to have little to no impact on DOR susceptibility</w:t>
      </w:r>
      <w:r w:rsidRPr="009E3D06">
        <w:rPr>
          <w:rFonts w:ascii="Times New Roman" w:hAnsi="Times New Roman" w:cs="Times New Roman"/>
          <w:szCs w:val="24"/>
        </w:rPr>
        <w:t>.</w:t>
      </w:r>
    </w:p>
    <w:p w14:paraId="468ED4F2" w14:textId="77777777" w:rsidR="00FB6672" w:rsidRPr="009E3D06" w:rsidRDefault="00FB6672" w:rsidP="00FB6672">
      <w:pPr>
        <w:spacing w:before="240"/>
        <w:rPr>
          <w:rFonts w:ascii="Times New Roman" w:hAnsi="Times New Roman" w:cs="Times New Roman"/>
          <w:szCs w:val="24"/>
        </w:rPr>
      </w:pPr>
      <w:r w:rsidRPr="009E3D06">
        <w:rPr>
          <w:rFonts w:ascii="Times New Roman" w:hAnsi="Times New Roman" w:cs="Times New Roman"/>
          <w:szCs w:val="24"/>
        </w:rPr>
        <w:t xml:space="preserve">The panel-wide contact </w:t>
      </w:r>
      <w:r>
        <w:rPr>
          <w:rFonts w:ascii="Times New Roman" w:hAnsi="Times New Roman" w:cs="Times New Roman"/>
          <w:szCs w:val="24"/>
        </w:rPr>
        <w:t xml:space="preserve">occupancy </w:t>
      </w:r>
      <w:r w:rsidRPr="009E3D06">
        <w:rPr>
          <w:rFonts w:ascii="Times New Roman" w:hAnsi="Times New Roman" w:cs="Times New Roman"/>
          <w:szCs w:val="24"/>
        </w:rPr>
        <w:t>analysis identified Val179 as the clearest reporter residue for this comparison</w:t>
      </w:r>
      <w:r>
        <w:rPr>
          <w:rFonts w:ascii="Times New Roman" w:hAnsi="Times New Roman" w:cs="Times New Roman"/>
          <w:szCs w:val="24"/>
        </w:rPr>
        <w:t xml:space="preserve"> (Figure 4)</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7)</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708C280B" w14:textId="77777777" w:rsidR="00FB6672" w:rsidRDefault="00FB6672" w:rsidP="00FB6672">
      <w:pPr>
        <w:spacing w:before="240" w:after="240"/>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2FDC30CA" w14:textId="77777777" w:rsidR="00FB6672" w:rsidRDefault="00FB6672" w:rsidP="00FB6672">
      <w:pPr>
        <w:spacing w:before="240" w:after="240"/>
        <w:rPr>
          <w:rFonts w:ascii="Times New Roman" w:hAnsi="Times New Roman" w:cs="Times New Roman"/>
          <w:szCs w:val="24"/>
        </w:rPr>
      </w:pPr>
      <w:r>
        <w:rPr>
          <w:rFonts w:ascii="Times New Roman" w:hAnsi="Times New Roman" w:cs="Times New Roman"/>
          <w:szCs w:val="24"/>
        </w:rPr>
        <w:t>Interestingly, G190S appears to have a less pronounced impact on the DOR interaction network than G190E, but more so than G190A (Figure 4). Specifically, G190S displays a mean occupancy shift of -0.17 vs WT, while G190A displays a mean occupancy shift of only -0.05 vs WT for Val179. Furthermore, G190S and G190E might share a structural mechanism with the V106A family mutations as they both exhibit a mean occupancy shift &gt; 0.25 vs WT for Lys104 and Ser105 (Figure 4). This observation suggests that multiple structural mechanisms may overlap to contribute to DOR resistance.</w:t>
      </w:r>
    </w:p>
    <w:p w14:paraId="0268C05F" w14:textId="05B5E1BD" w:rsidR="00FB6672" w:rsidRDefault="00FB6672" w:rsidP="009977AB">
      <w:pPr>
        <w:spacing w:before="240"/>
        <w:rPr>
          <w:rFonts w:ascii="Times New Roman" w:hAnsi="Times New Roman" w:cs="Times New Roman"/>
          <w:b/>
          <w:bCs/>
          <w:szCs w:val="24"/>
          <w:u w:val="single"/>
        </w:rPr>
      </w:pPr>
      <w:r w:rsidRPr="00D27076">
        <w:rPr>
          <w:rFonts w:ascii="Times New Roman" w:hAnsi="Times New Roman" w:cs="Times New Roman"/>
          <w:b/>
          <w:bCs/>
          <w:szCs w:val="24"/>
          <w:u w:val="single"/>
        </w:rPr>
        <w:t xml:space="preserve">A </w:t>
      </w:r>
      <w:r>
        <w:rPr>
          <w:rFonts w:ascii="Times New Roman" w:hAnsi="Times New Roman" w:cs="Times New Roman"/>
          <w:b/>
          <w:bCs/>
          <w:szCs w:val="24"/>
          <w:u w:val="single"/>
        </w:rPr>
        <w:t>simple</w:t>
      </w:r>
      <w:r w:rsidRPr="00D27076">
        <w:rPr>
          <w:rFonts w:ascii="Times New Roman" w:hAnsi="Times New Roman" w:cs="Times New Roman"/>
          <w:b/>
          <w:bCs/>
          <w:szCs w:val="24"/>
          <w:u w:val="single"/>
        </w:rPr>
        <w:t xml:space="preserve"> </w:t>
      </w:r>
      <w:r>
        <w:rPr>
          <w:rFonts w:ascii="Times New Roman" w:hAnsi="Times New Roman" w:cs="Times New Roman"/>
          <w:b/>
          <w:bCs/>
          <w:szCs w:val="24"/>
          <w:u w:val="single"/>
        </w:rPr>
        <w:t xml:space="preserve">linear regression </w:t>
      </w:r>
      <w:r w:rsidRPr="00D27076">
        <w:rPr>
          <w:rFonts w:ascii="Times New Roman" w:hAnsi="Times New Roman" w:cs="Times New Roman"/>
          <w:b/>
          <w:bCs/>
          <w:szCs w:val="24"/>
          <w:u w:val="single"/>
        </w:rPr>
        <w:t xml:space="preserve">model </w:t>
      </w:r>
      <w:r>
        <w:rPr>
          <w:rFonts w:ascii="Times New Roman" w:hAnsi="Times New Roman" w:cs="Times New Roman"/>
          <w:b/>
          <w:bCs/>
          <w:szCs w:val="24"/>
          <w:u w:val="single"/>
        </w:rPr>
        <w:t>trained on MD-derived structural features correlates well with DOR phenotypic landscape</w:t>
      </w:r>
    </w:p>
    <w:p w14:paraId="1C96B900" w14:textId="77777777" w:rsidR="00FB6672" w:rsidRDefault="00FB6672" w:rsidP="009977AB">
      <w:pPr>
        <w:spacing w:after="240"/>
        <w:rPr>
          <w:rFonts w:ascii="Times New Roman" w:hAnsi="Times New Roman" w:cs="Times New Roman"/>
          <w:szCs w:val="24"/>
        </w:rPr>
      </w:pPr>
      <w:r w:rsidRPr="00906992">
        <w:rPr>
          <w:rFonts w:ascii="Times New Roman" w:hAnsi="Times New Roman" w:cs="Times New Roman"/>
          <w:szCs w:val="24"/>
        </w:rPr>
        <w:t xml:space="preserve">After identifying local structural signatures across the genotype panel, we asked whether a small number of MD-derived variables could summarize </w:t>
      </w:r>
      <w:r>
        <w:rPr>
          <w:rFonts w:ascii="Times New Roman" w:hAnsi="Times New Roman" w:cs="Times New Roman"/>
          <w:szCs w:val="24"/>
        </w:rPr>
        <w:t>the available data for genotype-phenotype relationships</w:t>
      </w:r>
      <w:r w:rsidRPr="00906992">
        <w:rPr>
          <w:rFonts w:ascii="Times New Roman" w:hAnsi="Times New Roman" w:cs="Times New Roman"/>
          <w:szCs w:val="24"/>
        </w:rPr>
        <w:t xml:space="preserve">. We </w:t>
      </w:r>
      <w:r>
        <w:rPr>
          <w:rFonts w:ascii="Times New Roman" w:hAnsi="Times New Roman" w:cs="Times New Roman"/>
          <w:szCs w:val="24"/>
        </w:rPr>
        <w:t>thus</w:t>
      </w:r>
      <w:r w:rsidRPr="00906992">
        <w:rPr>
          <w:rFonts w:ascii="Times New Roman" w:hAnsi="Times New Roman" w:cs="Times New Roman"/>
          <w:szCs w:val="24"/>
        </w:rPr>
        <w:t xml:space="preserve"> fit a </w:t>
      </w:r>
      <w:r>
        <w:rPr>
          <w:rFonts w:ascii="Times New Roman" w:hAnsi="Times New Roman" w:cs="Times New Roman"/>
          <w:szCs w:val="24"/>
        </w:rPr>
        <w:t>linear</w:t>
      </w:r>
      <w:r w:rsidRPr="00906992">
        <w:rPr>
          <w:rFonts w:ascii="Times New Roman" w:hAnsi="Times New Roman" w:cs="Times New Roman"/>
          <w:szCs w:val="24"/>
        </w:rPr>
        <w:t xml:space="preserve"> regression model using </w:t>
      </w:r>
      <w:r>
        <w:rPr>
          <w:rFonts w:ascii="Times New Roman" w:hAnsi="Times New Roman" w:cs="Times New Roman"/>
          <w:szCs w:val="24"/>
        </w:rPr>
        <w:t>two</w:t>
      </w:r>
      <w:r w:rsidRPr="00906992">
        <w:rPr>
          <w:rFonts w:ascii="Times New Roman" w:hAnsi="Times New Roman" w:cs="Times New Roman"/>
          <w:szCs w:val="24"/>
        </w:rPr>
        <w:t xml:space="preserve"> mechanistically motivated features</w:t>
      </w:r>
      <w:r>
        <w:rPr>
          <w:rFonts w:ascii="Times New Roman" w:hAnsi="Times New Roman" w:cs="Times New Roman"/>
          <w:szCs w:val="24"/>
        </w:rPr>
        <w:t xml:space="preserve"> </w:t>
      </w:r>
      <w:r w:rsidRPr="00486B05">
        <w:rPr>
          <w:rFonts w:ascii="Times New Roman" w:hAnsi="Times New Roman" w:cs="Times New Roman"/>
          <w:szCs w:val="24"/>
        </w:rPr>
        <w:t xml:space="preserve">(Figure </w:t>
      </w:r>
      <w:r>
        <w:rPr>
          <w:rFonts w:ascii="Times New Roman" w:hAnsi="Times New Roman" w:cs="Times New Roman"/>
          <w:szCs w:val="24"/>
        </w:rPr>
        <w:t>8</w:t>
      </w:r>
      <w:r w:rsidRPr="00486B05">
        <w:rPr>
          <w:rFonts w:ascii="Times New Roman" w:hAnsi="Times New Roman" w:cs="Times New Roman"/>
          <w:szCs w:val="24"/>
        </w:rPr>
        <w:t>)</w:t>
      </w:r>
      <w:r w:rsidRPr="00906992">
        <w:rPr>
          <w:rFonts w:ascii="Times New Roman" w:hAnsi="Times New Roman" w:cs="Times New Roman"/>
          <w:szCs w:val="24"/>
        </w:rPr>
        <w:t xml:space="preserve">: </w:t>
      </w:r>
    </w:p>
    <w:p w14:paraId="5D440612" w14:textId="77777777" w:rsidR="00FB6672" w:rsidRPr="00486B05" w:rsidRDefault="00FB6672" w:rsidP="00FB6672">
      <w:pPr>
        <w:pStyle w:val="ListParagraph"/>
        <w:numPr>
          <w:ilvl w:val="0"/>
          <w:numId w:val="2"/>
        </w:numPr>
        <w:spacing w:after="240"/>
        <w:rPr>
          <w:rFonts w:ascii="Times New Roman" w:hAnsi="Times New Roman" w:cs="Times New Roman"/>
          <w:szCs w:val="24"/>
        </w:rPr>
      </w:pPr>
      <w:r w:rsidRPr="00486B05">
        <w:rPr>
          <w:rFonts w:ascii="Times New Roman" w:hAnsi="Times New Roman" w:cs="Times New Roman"/>
          <w:szCs w:val="24"/>
        </w:rPr>
        <w:t>Ser105-DOR minimum distance that captures the 103-108 loop-proximal shift observed in V106A-containing genotypes</w:t>
      </w:r>
      <w:r>
        <w:rPr>
          <w:rFonts w:ascii="Times New Roman" w:hAnsi="Times New Roman" w:cs="Times New Roman"/>
          <w:szCs w:val="24"/>
        </w:rPr>
        <w:t>.</w:t>
      </w:r>
    </w:p>
    <w:p w14:paraId="15A9CEE9" w14:textId="683C7C93" w:rsidR="00FB6672" w:rsidRPr="00486B05" w:rsidRDefault="00FB6672" w:rsidP="00FB6672">
      <w:pPr>
        <w:pStyle w:val="ListParagraph"/>
        <w:numPr>
          <w:ilvl w:val="0"/>
          <w:numId w:val="2"/>
        </w:numPr>
        <w:spacing w:after="240"/>
        <w:rPr>
          <w:rFonts w:ascii="Times New Roman" w:hAnsi="Times New Roman" w:cs="Times New Roman"/>
          <w:szCs w:val="24"/>
        </w:rPr>
      </w:pPr>
      <w:r>
        <w:rPr>
          <w:rFonts w:ascii="Times New Roman" w:hAnsi="Times New Roman" w:cs="Times New Roman"/>
          <w:szCs w:val="24"/>
        </w:rPr>
        <w:t>R</w:t>
      </w:r>
      <w:r w:rsidRPr="00486B05">
        <w:rPr>
          <w:rFonts w:ascii="Times New Roman" w:hAnsi="Times New Roman" w:cs="Times New Roman"/>
          <w:szCs w:val="24"/>
        </w:rPr>
        <w:t>oot mean squared deviation (RMSD) of DOR backbone atoms from the crystal structure</w:t>
      </w:r>
      <w:r>
        <w:rPr>
          <w:rFonts w:ascii="Times New Roman" w:hAnsi="Times New Roman" w:cs="Times New Roman"/>
          <w:szCs w:val="24"/>
        </w:rPr>
        <w:t xml:space="preserve"> that </w:t>
      </w:r>
      <w:r w:rsidRPr="00906992">
        <w:rPr>
          <w:rFonts w:ascii="Times New Roman" w:hAnsi="Times New Roman" w:cs="Times New Roman"/>
          <w:szCs w:val="24"/>
        </w:rPr>
        <w:t xml:space="preserve">summarizes </w:t>
      </w:r>
      <w:r>
        <w:rPr>
          <w:rFonts w:ascii="Times New Roman" w:hAnsi="Times New Roman" w:cs="Times New Roman"/>
          <w:szCs w:val="24"/>
        </w:rPr>
        <w:t>general</w:t>
      </w:r>
      <w:r w:rsidRPr="00906992">
        <w:rPr>
          <w:rFonts w:ascii="Times New Roman" w:hAnsi="Times New Roman" w:cs="Times New Roman"/>
          <w:szCs w:val="24"/>
        </w:rPr>
        <w:t xml:space="preserve"> </w:t>
      </w:r>
      <w:r>
        <w:rPr>
          <w:rFonts w:ascii="Times New Roman" w:hAnsi="Times New Roman" w:cs="Times New Roman"/>
          <w:szCs w:val="24"/>
        </w:rPr>
        <w:t>atomic</w:t>
      </w:r>
      <w:r w:rsidRPr="00906992">
        <w:rPr>
          <w:rFonts w:ascii="Times New Roman" w:hAnsi="Times New Roman" w:cs="Times New Roman"/>
          <w:szCs w:val="24"/>
        </w:rPr>
        <w:t xml:space="preserve"> rearrangement</w:t>
      </w:r>
      <w:r>
        <w:rPr>
          <w:rFonts w:ascii="Times New Roman" w:hAnsi="Times New Roman" w:cs="Times New Roman"/>
          <w:szCs w:val="24"/>
        </w:rPr>
        <w:t xml:space="preserve"> of the drug</w:t>
      </w:r>
      <w:r w:rsidRPr="00906992">
        <w:rPr>
          <w:rFonts w:ascii="Times New Roman" w:hAnsi="Times New Roman" w:cs="Times New Roman"/>
          <w:szCs w:val="24"/>
        </w:rPr>
        <w:t>.</w:t>
      </w:r>
    </w:p>
    <w:p w14:paraId="07FF9F1C" w14:textId="14D18D62" w:rsidR="00FB6672" w:rsidRDefault="00FB6672" w:rsidP="00FB6672">
      <w:pPr>
        <w:spacing w:after="240"/>
        <w:rPr>
          <w:rFonts w:ascii="Times New Roman" w:hAnsi="Times New Roman" w:cs="Times New Roman"/>
          <w:szCs w:val="24"/>
        </w:rPr>
      </w:pPr>
      <w:r>
        <w:rPr>
          <w:rFonts w:ascii="Times New Roman" w:hAnsi="Times New Roman" w:cs="Times New Roman"/>
          <w:szCs w:val="24"/>
        </w:rPr>
        <w:t xml:space="preserve">These two features were determined using a multi-step feature ablation approach: starting with a large set of MD-derived features, we </w:t>
      </w:r>
      <w:r w:rsidR="005219C3">
        <w:rPr>
          <w:rFonts w:ascii="Times New Roman" w:hAnsi="Times New Roman" w:cs="Times New Roman"/>
          <w:szCs w:val="24"/>
        </w:rPr>
        <w:t xml:space="preserve">recursively </w:t>
      </w:r>
      <w:r>
        <w:rPr>
          <w:rFonts w:ascii="Times New Roman" w:hAnsi="Times New Roman" w:cs="Times New Roman"/>
          <w:szCs w:val="24"/>
        </w:rPr>
        <w:t xml:space="preserve">trained regularized logistic regression models on the </w:t>
      </w:r>
      <w:r w:rsidR="005219C3">
        <w:rPr>
          <w:rFonts w:ascii="Times New Roman" w:hAnsi="Times New Roman" w:cs="Times New Roman"/>
          <w:szCs w:val="24"/>
        </w:rPr>
        <w:t>DOR susceptible and resistant</w:t>
      </w:r>
      <w:r>
        <w:rPr>
          <w:rFonts w:ascii="Times New Roman" w:hAnsi="Times New Roman" w:cs="Times New Roman"/>
          <w:szCs w:val="24"/>
        </w:rPr>
        <w:t xml:space="preserve"> mutations (including WT) using one less</w:t>
      </w:r>
      <w:r>
        <w:rPr>
          <w:rFonts w:ascii="Times New Roman" w:hAnsi="Times New Roman" w:cs="Times New Roman"/>
          <w:i/>
          <w:iCs/>
          <w:szCs w:val="24"/>
        </w:rPr>
        <w:t xml:space="preserve"> </w:t>
      </w:r>
      <w:r>
        <w:rPr>
          <w:rFonts w:ascii="Times New Roman" w:hAnsi="Times New Roman" w:cs="Times New Roman"/>
          <w:szCs w:val="24"/>
        </w:rPr>
        <w:t xml:space="preserve">feature and picked the model with the best accuracy in each step. Selected features were standardized and used to train an ordinary least squares (OLS) model on WT, </w:t>
      </w:r>
      <w:r w:rsidR="00742FFD">
        <w:rPr>
          <w:rFonts w:ascii="Times New Roman" w:hAnsi="Times New Roman" w:cs="Times New Roman"/>
          <w:szCs w:val="24"/>
        </w:rPr>
        <w:t xml:space="preserve">DOR susceptible and resistant </w:t>
      </w:r>
      <w:r>
        <w:rPr>
          <w:rFonts w:ascii="Times New Roman" w:hAnsi="Times New Roman" w:cs="Times New Roman"/>
          <w:szCs w:val="24"/>
        </w:rPr>
        <w:t>genotypes from scratch. The final model had the equation:</w:t>
      </w:r>
    </w:p>
    <w:p w14:paraId="74879996" w14:textId="77777777" w:rsidR="00FB6672" w:rsidRPr="00D105F5" w:rsidRDefault="00FB6672" w:rsidP="00FB6672">
      <w:pPr>
        <w:spacing w:after="240"/>
        <w:rPr>
          <w:rFonts w:ascii="Times New Roman" w:hAnsi="Times New Roman" w:cs="Times New Roman"/>
          <w:noProof/>
          <w:kern w:val="2"/>
          <w14:ligatures w14:val="standardContextual"/>
        </w:rPr>
      </w:pPr>
      <m:oMathPara>
        <m:oMath>
          <m:r>
            <w:rPr>
              <w:rFonts w:ascii="Cambria Math" w:hAnsi="Cambria Math" w:cs="Times New Roman"/>
              <w:noProof/>
              <w:kern w:val="2"/>
              <w14:ligatures w14:val="standardContextual"/>
            </w:rPr>
            <w:lastRenderedPageBreak/>
            <m:t>y=</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e>
          </m:d>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*z(</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m:t>
          </m:r>
        </m:oMath>
      </m:oMathPara>
    </w:p>
    <w:p w14:paraId="6F758334" w14:textId="151B42A7" w:rsidR="00FB6672" w:rsidRPr="009977AB" w:rsidRDefault="00FB6672" w:rsidP="009977AB">
      <w:pPr>
        <w:spacing w:after="240"/>
        <w:rPr>
          <w:rFonts w:ascii="Times New Roman" w:hAnsi="Times New Roman" w:cs="Times New Roman"/>
          <w:noProof/>
          <w:kern w:val="2"/>
          <w14:ligatures w14:val="standardContextual"/>
        </w:rPr>
      </w:pPr>
      <w:r w:rsidRPr="00D105F5">
        <w:rPr>
          <w:rFonts w:ascii="Times New Roman" w:hAnsi="Times New Roman" w:cs="Times New Roman"/>
          <w:noProof/>
          <w:kern w:val="2"/>
          <w14:ligatures w14:val="standardContextual"/>
        </w:rPr>
        <w:t xml:space="preserve">Where </w:t>
      </w:r>
      <m:oMath>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r>
          <w:rPr>
            <w:rFonts w:ascii="Cambria Math" w:hAnsi="Cambria Math" w:cs="Times New Roman"/>
            <w:noProof/>
            <w:kern w:val="2"/>
            <w14:ligatures w14:val="standardContextual"/>
          </w:rPr>
          <m:t>=</m:t>
        </m:r>
        <m:f>
          <m:fPr>
            <m:ctrlPr>
              <w:rPr>
                <w:rFonts w:ascii="Cambria Math" w:hAnsi="Cambria Math" w:cs="Times New Roman"/>
                <w:i/>
                <w:noProof/>
                <w:kern w:val="2"/>
                <w14:ligatures w14:val="standardContextual"/>
              </w:rPr>
            </m:ctrlPr>
          </m:fPr>
          <m:num>
            <m:r>
              <w:rPr>
                <w:rFonts w:ascii="Cambria Math" w:hAnsi="Cambria Math" w:cs="Times New Roman"/>
                <w:noProof/>
                <w:kern w:val="2"/>
                <w14:ligatures w14:val="standardContextual"/>
              </w:rPr>
              <m:t>x-</m:t>
            </m:r>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num>
          <m:den>
            <m:rad>
              <m:radPr>
                <m:degHide m:val="1"/>
                <m:ctrlPr>
                  <w:rPr>
                    <w:rFonts w:ascii="Cambria Math" w:hAnsi="Cambria Math" w:cs="Times New Roman"/>
                    <w:i/>
                    <w:noProof/>
                    <w:kern w:val="2"/>
                    <w14:ligatures w14:val="standardContextual"/>
                  </w:rPr>
                </m:ctrlPr>
              </m:radPr>
              <m:deg/>
              <m:e>
                <m:d>
                  <m:dPr>
                    <m:begChr m:val="〈"/>
                    <m:endChr m:val="〉"/>
                    <m:ctrlPr>
                      <w:rPr>
                        <w:rFonts w:ascii="Cambria Math" w:hAnsi="Cambria Math" w:cs="Times New Roman"/>
                        <w:i/>
                        <w:noProof/>
                        <w:kern w:val="2"/>
                        <w14:ligatures w14:val="standardContextual"/>
                      </w:rPr>
                    </m:ctrlPr>
                  </m:dPr>
                  <m:e>
                    <m:sSup>
                      <m:sSupPr>
                        <m:ctrlPr>
                          <w:rPr>
                            <w:rFonts w:ascii="Cambria Math" w:hAnsi="Cambria Math" w:cs="Times New Roman"/>
                            <w:i/>
                            <w:noProof/>
                            <w:kern w:val="2"/>
                            <w14:ligatures w14:val="standardContextual"/>
                          </w:rPr>
                        </m:ctrlPr>
                      </m:sSupPr>
                      <m:e>
                        <m:r>
                          <w:rPr>
                            <w:rFonts w:ascii="Cambria Math" w:hAnsi="Cambria Math" w:cs="Times New Roman"/>
                            <w:noProof/>
                            <w:kern w:val="2"/>
                            <w14:ligatures w14:val="standardContextual"/>
                          </w:rPr>
                          <m:t>x</m:t>
                        </m:r>
                      </m:e>
                      <m:sup>
                        <m:r>
                          <w:rPr>
                            <w:rFonts w:ascii="Cambria Math" w:hAnsi="Cambria Math" w:cs="Times New Roman"/>
                            <w:noProof/>
                            <w:kern w:val="2"/>
                            <w14:ligatures w14:val="standardContextual"/>
                          </w:rPr>
                          <m:t>2</m:t>
                        </m:r>
                      </m:sup>
                    </m:sSup>
                  </m:e>
                </m:d>
                <m:r>
                  <w:rPr>
                    <w:rFonts w:ascii="Cambria Math" w:hAnsi="Cambria Math" w:cs="Times New Roman"/>
                    <w:noProof/>
                    <w:kern w:val="2"/>
                    <w14:ligatures w14:val="standardContextual"/>
                  </w:rPr>
                  <m:t>-</m:t>
                </m:r>
                <m:sSup>
                  <m:sSupPr>
                    <m:ctrlPr>
                      <w:rPr>
                        <w:rFonts w:ascii="Cambria Math" w:hAnsi="Cambria Math" w:cs="Times New Roman"/>
                        <w:i/>
                        <w:noProof/>
                        <w:kern w:val="2"/>
                        <w14:ligatures w14:val="standardContextual"/>
                      </w:rPr>
                    </m:ctrlPr>
                  </m:sSupPr>
                  <m:e>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e>
                  <m:sup>
                    <m:r>
                      <w:rPr>
                        <w:rFonts w:ascii="Cambria Math" w:hAnsi="Cambria Math" w:cs="Times New Roman"/>
                        <w:noProof/>
                        <w:kern w:val="2"/>
                        <w14:ligatures w14:val="standardContextual"/>
                      </w:rPr>
                      <m:t>2</m:t>
                    </m:r>
                  </m:sup>
                </m:sSup>
              </m:e>
            </m:rad>
          </m:den>
        </m:f>
      </m:oMath>
      <w:r w:rsidRPr="00D105F5">
        <w:rPr>
          <w:rFonts w:ascii="Times New Roman" w:hAnsi="Times New Roman" w:cs="Times New Roman"/>
          <w:noProof/>
          <w:kern w:val="2"/>
          <w14:ligatures w14:val="standardContextual"/>
        </w:rPr>
        <w:t xml:space="preserve"> represents the standardized version of </w:t>
      </w:r>
      <w:r>
        <w:rPr>
          <w:rFonts w:ascii="Times New Roman" w:hAnsi="Times New Roman" w:cs="Times New Roman"/>
          <w:noProof/>
          <w:kern w:val="2"/>
          <w14:ligatures w14:val="standardContextual"/>
        </w:rPr>
        <w:t>each</w:t>
      </w:r>
      <w:r w:rsidRPr="00D105F5">
        <w:rPr>
          <w:rFonts w:ascii="Times New Roman" w:hAnsi="Times New Roman" w:cs="Times New Roman"/>
          <w:noProof/>
          <w:kern w:val="2"/>
          <w14:ligatures w14:val="standardContextual"/>
        </w:rPr>
        <w:t xml:space="preserve"> feature </w:t>
      </w:r>
      <m:oMath>
        <m:r>
          <w:rPr>
            <w:rFonts w:ascii="Cambria Math" w:hAnsi="Cambria Math" w:cs="Times New Roman"/>
            <w:noProof/>
            <w:kern w:val="2"/>
            <w14:ligatures w14:val="standardContextual"/>
          </w:rPr>
          <m:t>x</m:t>
        </m:r>
      </m:oMath>
      <w:r w:rsidR="00F54887">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oMath>
      <w:r w:rsidR="00F54887">
        <w:rPr>
          <w:rFonts w:ascii="Times New Roman" w:hAnsi="Times New Roman" w:cs="Times New Roman"/>
          <w:noProof/>
          <w:kern w:val="2"/>
          <w14:ligatures w14:val="standardContextual"/>
        </w:rPr>
        <w:t xml:space="preserve">: DOR pose RMSD;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oMath>
      <w:r w:rsidR="00F54887">
        <w:rPr>
          <w:rFonts w:ascii="Times New Roman" w:hAnsi="Times New Roman" w:cs="Times New Roman"/>
          <w:noProof/>
          <w:kern w:val="2"/>
          <w14:ligatures w14:val="standardContextual"/>
        </w:rPr>
        <w:t>: Ser105-DOR distance)</w:t>
      </w:r>
      <w:r>
        <w:rPr>
          <w:rFonts w:ascii="Times New Roman" w:hAnsi="Times New Roman" w:cs="Times New Roman"/>
          <w:noProof/>
          <w:kern w:val="2"/>
          <w14:ligatures w14:val="standardContextual"/>
        </w:rPr>
        <w:t xml:space="preserve">; </w:t>
      </w:r>
      <m:oMath>
        <m:r>
          <w:rPr>
            <w:rFonts w:ascii="Cambria Math" w:hAnsi="Cambria Math" w:cs="Times New Roman"/>
            <w:noProof/>
            <w:kern w:val="2"/>
            <w14:ligatures w14:val="standardContextual"/>
          </w:rPr>
          <m:t>y</m:t>
        </m:r>
      </m:oMath>
      <w:r>
        <w:rPr>
          <w:rFonts w:ascii="Times New Roman" w:hAnsi="Times New Roman" w:cs="Times New Roman"/>
          <w:noProof/>
          <w:kern w:val="2"/>
          <w14:ligatures w14:val="standardContextual"/>
        </w:rPr>
        <w:t xml:space="preserve"> is the log</w:t>
      </w:r>
      <w:r>
        <w:rPr>
          <w:rFonts w:ascii="Times New Roman" w:hAnsi="Times New Roman" w:cs="Times New Roman"/>
          <w:noProof/>
          <w:kern w:val="2"/>
          <w:vertAlign w:val="subscript"/>
          <w14:ligatures w14:val="standardContextual"/>
        </w:rPr>
        <w:t>10</w:t>
      </w:r>
      <w:r>
        <w:rPr>
          <w:rFonts w:ascii="Times New Roman" w:hAnsi="Times New Roman" w:cs="Times New Roman"/>
          <w:noProof/>
          <w:kern w:val="2"/>
          <w14:ligatures w14:val="standardContextual"/>
        </w:rPr>
        <w:t>(predicted fold-change) and the coefficients of the model are</w:t>
      </w:r>
      <w:r w:rsidR="00267344">
        <w:rPr>
          <w:rFonts w:ascii="Times New Roman" w:hAnsi="Times New Roman" w:cs="Times New Roman"/>
          <w:noProof/>
          <w:kern w:val="2"/>
          <w14:ligatures w14:val="standardContextual"/>
        </w:rPr>
        <w:t xml:space="preserve"> approximately</w:t>
      </w:r>
      <w:r>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=1.204</m:t>
        </m:r>
      </m:oMath>
      <w:r w:rsidR="00267344">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=0.505</m:t>
        </m:r>
      </m:oMath>
      <w:r w:rsidR="00267344">
        <w:rPr>
          <w:rFonts w:ascii="Times New Roman" w:hAnsi="Times New Roman" w:cs="Times New Roman"/>
          <w:noProof/>
          <w:kern w:val="2"/>
          <w14:ligatures w14:val="standardContextual"/>
        </w:rPr>
        <w:t xml:space="preserve">, and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=-0.492</m:t>
        </m:r>
      </m:oMath>
      <w:r>
        <w:rPr>
          <w:rFonts w:ascii="Times New Roman" w:hAnsi="Times New Roman" w:cs="Times New Roman"/>
          <w:noProof/>
          <w:kern w:val="2"/>
          <w14:ligatures w14:val="standardContextual"/>
        </w:rPr>
        <w:t xml:space="preserve">. </w:t>
      </w:r>
    </w:p>
    <w:p w14:paraId="7D2F3EBF" w14:textId="771CAB13" w:rsidR="00FF7F1A" w:rsidRPr="00281AB1" w:rsidRDefault="001B0C11" w:rsidP="009977AB">
      <w:pPr>
        <w:spacing w:after="240"/>
        <w:rPr>
          <w:rFonts w:ascii="Arial" w:hAnsi="Arial" w:cs="Arial"/>
          <w:b/>
          <w:bCs/>
          <w:sz w:val="22"/>
          <w:szCs w:val="22"/>
        </w:rPr>
      </w:pPr>
      <w:r>
        <w:rPr>
          <w:rFonts w:ascii="Times New Roman" w:hAnsi="Times New Roman" w:cs="Times New Roman"/>
          <w:b/>
          <w:bCs/>
          <w:noProof/>
          <w:sz w:val="22"/>
          <w:szCs w:val="22"/>
        </w:rPr>
        <w:drawing>
          <wp:inline distT="0" distB="0" distL="0" distR="0" wp14:anchorId="21DBE2D4" wp14:editId="44B0752B">
            <wp:extent cx="5943600" cy="3245485"/>
            <wp:effectExtent l="0" t="0" r="0" b="5715"/>
            <wp:docPr id="624221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2137" name="Picture 624221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r w:rsidR="00FF7F1A" w:rsidRPr="00465185">
        <w:rPr>
          <w:rFonts w:ascii="Times New Roman" w:hAnsi="Times New Roman" w:cs="Times New Roman"/>
          <w:b/>
          <w:bCs/>
          <w:sz w:val="22"/>
          <w:szCs w:val="22"/>
        </w:rPr>
        <w:t xml:space="preserve">Figure 8: Performance of </w:t>
      </w:r>
      <w:r w:rsidR="00FE7E3C">
        <w:rPr>
          <w:rFonts w:ascii="Times New Roman" w:hAnsi="Times New Roman" w:cs="Times New Roman"/>
          <w:b/>
          <w:bCs/>
          <w:sz w:val="22"/>
          <w:szCs w:val="22"/>
        </w:rPr>
        <w:t xml:space="preserve">a </w:t>
      </w:r>
      <w:r w:rsidR="007B73F8">
        <w:rPr>
          <w:rFonts w:ascii="Times New Roman" w:hAnsi="Times New Roman" w:cs="Times New Roman"/>
          <w:b/>
          <w:bCs/>
          <w:sz w:val="22"/>
          <w:szCs w:val="22"/>
        </w:rPr>
        <w:t>Linear</w:t>
      </w:r>
      <w:r w:rsidR="00FF7F1A" w:rsidRPr="00465185">
        <w:rPr>
          <w:rFonts w:ascii="Times New Roman" w:hAnsi="Times New Roman" w:cs="Times New Roman"/>
          <w:b/>
          <w:bCs/>
          <w:sz w:val="22"/>
          <w:szCs w:val="22"/>
        </w:rPr>
        <w:t xml:space="preserve"> Regression model </w:t>
      </w:r>
      <w:r w:rsidR="007B73F8">
        <w:rPr>
          <w:rFonts w:ascii="Times New Roman" w:hAnsi="Times New Roman" w:cs="Times New Roman"/>
          <w:b/>
          <w:bCs/>
          <w:sz w:val="22"/>
          <w:szCs w:val="22"/>
        </w:rPr>
        <w:t>correlating</w:t>
      </w:r>
      <w:r w:rsidR="00FF7F1A" w:rsidRPr="00465185">
        <w:rPr>
          <w:rFonts w:ascii="Times New Roman" w:hAnsi="Times New Roman" w:cs="Times New Roman"/>
          <w:b/>
          <w:bCs/>
          <w:sz w:val="22"/>
          <w:szCs w:val="22"/>
        </w:rPr>
        <w:t xml:space="preserve"> MD simulation features to DOR susceptibility. </w:t>
      </w:r>
      <w:r w:rsidR="00FF7F1A" w:rsidRPr="00465185">
        <w:rPr>
          <w:rFonts w:ascii="Times New Roman" w:hAnsi="Times New Roman" w:cs="Times New Roman"/>
          <w:sz w:val="22"/>
          <w:szCs w:val="22"/>
        </w:rPr>
        <w:t xml:space="preserve">(A) Output of the </w:t>
      </w:r>
      <w:r w:rsidR="007B73F8">
        <w:rPr>
          <w:rFonts w:ascii="Times New Roman" w:hAnsi="Times New Roman" w:cs="Times New Roman"/>
          <w:sz w:val="22"/>
          <w:szCs w:val="22"/>
        </w:rPr>
        <w:t>linear</w:t>
      </w:r>
      <w:r w:rsidR="00FF7F1A" w:rsidRPr="00465185">
        <w:rPr>
          <w:rFonts w:ascii="Times New Roman" w:hAnsi="Times New Roman" w:cs="Times New Roman"/>
          <w:sz w:val="22"/>
          <w:szCs w:val="22"/>
        </w:rPr>
        <w:t xml:space="preserve"> regression model, i.e. the </w:t>
      </w:r>
      <w:r w:rsidR="007B73F8">
        <w:rPr>
          <w:rFonts w:ascii="Times New Roman" w:hAnsi="Times New Roman" w:cs="Times New Roman"/>
          <w:sz w:val="22"/>
          <w:szCs w:val="22"/>
        </w:rPr>
        <w:t>predicted</w:t>
      </w:r>
      <w:r w:rsidR="00FF7F1A" w:rsidRPr="00465185">
        <w:rPr>
          <w:rFonts w:ascii="Times New Roman" w:hAnsi="Times New Roman" w:cs="Times New Roman"/>
          <w:sz w:val="22"/>
          <w:szCs w:val="22"/>
        </w:rPr>
        <w:t xml:space="preserve"> DOR fold-change, plotted against median DOR fold-change in susceptibility on the log scale. The </w:t>
      </w:r>
      <w:r w:rsidR="007B73F8">
        <w:rPr>
          <w:rFonts w:ascii="Times New Roman" w:hAnsi="Times New Roman" w:cs="Times New Roman"/>
          <w:sz w:val="22"/>
          <w:szCs w:val="22"/>
        </w:rPr>
        <w:t xml:space="preserve">solid black line </w:t>
      </w:r>
      <w:r w:rsidR="00FF7F1A" w:rsidRPr="00465185">
        <w:rPr>
          <w:rFonts w:ascii="Times New Roman" w:hAnsi="Times New Roman" w:cs="Times New Roman"/>
          <w:sz w:val="22"/>
          <w:szCs w:val="22"/>
        </w:rPr>
        <w:t xml:space="preserve">is a </w:t>
      </w:r>
      <w:r w:rsidR="007B73F8">
        <w:rPr>
          <w:rFonts w:ascii="Times New Roman" w:hAnsi="Times New Roman" w:cs="Times New Roman"/>
          <w:sz w:val="22"/>
          <w:szCs w:val="22"/>
        </w:rPr>
        <w:t>fitted trend line</w:t>
      </w:r>
      <w:r w:rsidR="00FF7F1A" w:rsidRPr="00465185">
        <w:rPr>
          <w:rFonts w:ascii="Times New Roman" w:hAnsi="Times New Roman" w:cs="Times New Roman"/>
          <w:sz w:val="22"/>
          <w:szCs w:val="22"/>
        </w:rPr>
        <w:t>. R</w:t>
      </w:r>
      <w:r w:rsidR="00FF7F1A" w:rsidRPr="00465185">
        <w:rPr>
          <w:rFonts w:ascii="Times New Roman" w:hAnsi="Times New Roman" w:cs="Times New Roman"/>
          <w:sz w:val="22"/>
          <w:szCs w:val="22"/>
          <w:vertAlign w:val="superscript"/>
        </w:rPr>
        <w:t>2</w:t>
      </w:r>
      <w:r w:rsidR="00FF7F1A" w:rsidRPr="00465185">
        <w:rPr>
          <w:rFonts w:ascii="Times New Roman" w:hAnsi="Times New Roman" w:cs="Times New Roman"/>
          <w:sz w:val="22"/>
          <w:szCs w:val="22"/>
        </w:rPr>
        <w:t xml:space="preserve"> is the coefficient of determination for this fit and the p-value tests the null hypothesis that the true linear correlation between the two variables is zero. (B) </w:t>
      </w:r>
      <w:r w:rsidR="00FF7F1A">
        <w:rPr>
          <w:rFonts w:ascii="Times New Roman" w:hAnsi="Times New Roman" w:cs="Times New Roman"/>
          <w:sz w:val="22"/>
          <w:szCs w:val="22"/>
        </w:rPr>
        <w:t xml:space="preserve">Correlation of the raw Ser105-DOR distance with fold-change data of the </w:t>
      </w:r>
      <w:r w:rsidR="0033198F" w:rsidRPr="0033198F">
        <w:rPr>
          <w:rFonts w:ascii="Times New Roman" w:hAnsi="Times New Roman" w:cs="Times New Roman"/>
          <w:sz w:val="22"/>
          <w:szCs w:val="22"/>
        </w:rPr>
        <w:t>DOR susceptible and resistant mutations</w:t>
      </w:r>
      <w:r w:rsidR="00FF7F1A" w:rsidRPr="00465185">
        <w:rPr>
          <w:rFonts w:ascii="Times New Roman" w:hAnsi="Times New Roman" w:cs="Times New Roman"/>
          <w:sz w:val="22"/>
          <w:szCs w:val="22"/>
        </w:rPr>
        <w:t xml:space="preserve">. (C) </w:t>
      </w:r>
      <w:r w:rsidR="00FF7F1A">
        <w:rPr>
          <w:rFonts w:ascii="Times New Roman" w:hAnsi="Times New Roman" w:cs="Times New Roman"/>
          <w:sz w:val="22"/>
          <w:szCs w:val="22"/>
        </w:rPr>
        <w:t xml:space="preserve">Correlation of the raw DOR pose RMSD metric with fold-change data of the </w:t>
      </w:r>
      <w:r w:rsidR="0033198F" w:rsidRPr="0033198F">
        <w:rPr>
          <w:rFonts w:ascii="Times New Roman" w:hAnsi="Times New Roman" w:cs="Times New Roman"/>
          <w:sz w:val="22"/>
          <w:szCs w:val="22"/>
        </w:rPr>
        <w:t>DOR susceptible and resistant mutations</w:t>
      </w:r>
      <w:r w:rsidR="00FF7F1A" w:rsidRPr="00465185">
        <w:rPr>
          <w:rFonts w:ascii="Times New Roman" w:hAnsi="Times New Roman" w:cs="Times New Roman"/>
          <w:sz w:val="22"/>
          <w:szCs w:val="22"/>
        </w:rPr>
        <w:t>.</w:t>
      </w:r>
      <w:r w:rsidR="006720BB">
        <w:rPr>
          <w:rFonts w:ascii="Times New Roman" w:hAnsi="Times New Roman" w:cs="Times New Roman"/>
          <w:sz w:val="22"/>
          <w:szCs w:val="22"/>
        </w:rPr>
        <w:t xml:space="preserve"> </w:t>
      </w:r>
    </w:p>
    <w:p w14:paraId="0A24887F" w14:textId="77859DB0" w:rsidR="00906992" w:rsidRDefault="00906992" w:rsidP="00281AB1">
      <w:pPr>
        <w:spacing w:after="240"/>
        <w:rPr>
          <w:rFonts w:ascii="Times New Roman" w:hAnsi="Times New Roman" w:cs="Times New Roman"/>
          <w:szCs w:val="24"/>
        </w:rPr>
      </w:pPr>
      <w:r w:rsidRPr="00906992">
        <w:rPr>
          <w:rFonts w:ascii="Times New Roman" w:hAnsi="Times New Roman" w:cs="Times New Roman"/>
          <w:szCs w:val="24"/>
        </w:rPr>
        <w:t xml:space="preserve">This </w:t>
      </w:r>
      <w:r w:rsidR="0084703A">
        <w:rPr>
          <w:rFonts w:ascii="Times New Roman" w:hAnsi="Times New Roman" w:cs="Times New Roman"/>
          <w:szCs w:val="24"/>
        </w:rPr>
        <w:t>minimal</w:t>
      </w:r>
      <w:r w:rsidR="0084703A" w:rsidRPr="00ED2954">
        <w:rPr>
          <w:rFonts w:ascii="Times New Roman" w:hAnsi="Times New Roman" w:cs="Times New Roman"/>
          <w:b/>
          <w:bCs/>
          <w:szCs w:val="24"/>
        </w:rPr>
        <w:t xml:space="preserve"> </w:t>
      </w:r>
      <w:r w:rsidRPr="00906992">
        <w:rPr>
          <w:rFonts w:ascii="Times New Roman" w:hAnsi="Times New Roman" w:cs="Times New Roman"/>
          <w:szCs w:val="24"/>
        </w:rPr>
        <w:t>model</w:t>
      </w:r>
      <w:r w:rsidR="00FE7E3C">
        <w:rPr>
          <w:rFonts w:ascii="Times New Roman" w:hAnsi="Times New Roman" w:cs="Times New Roman"/>
          <w:szCs w:val="24"/>
        </w:rPr>
        <w:t xml:space="preserve">, when </w:t>
      </w:r>
      <w:r w:rsidR="00137D0E">
        <w:rPr>
          <w:rFonts w:ascii="Times New Roman" w:hAnsi="Times New Roman" w:cs="Times New Roman"/>
          <w:szCs w:val="24"/>
        </w:rPr>
        <w:t>applied</w:t>
      </w:r>
      <w:r w:rsidRPr="00906992">
        <w:rPr>
          <w:rFonts w:ascii="Times New Roman" w:hAnsi="Times New Roman" w:cs="Times New Roman"/>
          <w:szCs w:val="24"/>
        </w:rPr>
        <w:t xml:space="preserve"> across the full panel, result</w:t>
      </w:r>
      <w:r w:rsidR="00FE7E3C">
        <w:rPr>
          <w:rFonts w:ascii="Times New Roman" w:hAnsi="Times New Roman" w:cs="Times New Roman"/>
          <w:szCs w:val="24"/>
        </w:rPr>
        <w:t>ed</w:t>
      </w:r>
      <w:r w:rsidRPr="00906992">
        <w:rPr>
          <w:rFonts w:ascii="Times New Roman" w:hAnsi="Times New Roman" w:cs="Times New Roman"/>
          <w:szCs w:val="24"/>
        </w:rPr>
        <w:t xml:space="preserve"> </w:t>
      </w:r>
      <w:r w:rsidR="00FE7E3C">
        <w:rPr>
          <w:rFonts w:ascii="Times New Roman" w:hAnsi="Times New Roman" w:cs="Times New Roman"/>
          <w:szCs w:val="24"/>
        </w:rPr>
        <w:t>in predicted fold-change values that</w:t>
      </w:r>
      <w:r w:rsidRPr="00906992">
        <w:rPr>
          <w:rFonts w:ascii="Times New Roman" w:hAnsi="Times New Roman" w:cs="Times New Roman"/>
          <w:szCs w:val="24"/>
        </w:rPr>
        <w:t xml:space="preserve"> </w:t>
      </w:r>
      <w:r w:rsidR="001D5A97">
        <w:rPr>
          <w:rFonts w:ascii="Times New Roman" w:hAnsi="Times New Roman" w:cs="Times New Roman"/>
          <w:szCs w:val="24"/>
        </w:rPr>
        <w:t>correlated with</w:t>
      </w:r>
      <w:r w:rsidRPr="00906992">
        <w:rPr>
          <w:rFonts w:ascii="Times New Roman" w:hAnsi="Times New Roman" w:cs="Times New Roman"/>
          <w:szCs w:val="24"/>
        </w:rPr>
        <w:t xml:space="preserve"> the </w:t>
      </w:r>
      <w:r w:rsidR="00FE7E3C">
        <w:rPr>
          <w:rFonts w:ascii="Times New Roman" w:hAnsi="Times New Roman" w:cs="Times New Roman"/>
          <w:szCs w:val="24"/>
        </w:rPr>
        <w:t>observed</w:t>
      </w:r>
      <w:r w:rsidRPr="00906992">
        <w:rPr>
          <w:rFonts w:ascii="Times New Roman" w:hAnsi="Times New Roman" w:cs="Times New Roman"/>
          <w:szCs w:val="24"/>
        </w:rPr>
        <w:t xml:space="preserve"> phenotypic</w:t>
      </w:r>
      <w:r w:rsidR="00C635E8">
        <w:rPr>
          <w:rFonts w:ascii="Times New Roman" w:hAnsi="Times New Roman" w:cs="Times New Roman"/>
          <w:szCs w:val="24"/>
        </w:rPr>
        <w:t xml:space="preserve"> </w:t>
      </w:r>
      <w:r w:rsidRPr="00906992">
        <w:rPr>
          <w:rFonts w:ascii="Times New Roman" w:hAnsi="Times New Roman" w:cs="Times New Roman"/>
          <w:szCs w:val="24"/>
        </w:rPr>
        <w:t>fold-change values (R² = 0.</w:t>
      </w:r>
      <w:r w:rsidR="00FE7E3C">
        <w:rPr>
          <w:rFonts w:ascii="Times New Roman" w:hAnsi="Times New Roman" w:cs="Times New Roman"/>
          <w:szCs w:val="24"/>
        </w:rPr>
        <w:t>60</w:t>
      </w:r>
      <w:r w:rsidRPr="00906992">
        <w:rPr>
          <w:rFonts w:ascii="Times New Roman" w:hAnsi="Times New Roman" w:cs="Times New Roman"/>
          <w:szCs w:val="24"/>
        </w:rPr>
        <w:t xml:space="preserve">, p = </w:t>
      </w:r>
      <w:r w:rsidR="00742FFD">
        <w:rPr>
          <w:rFonts w:ascii="Times New Roman" w:hAnsi="Times New Roman" w:cs="Times New Roman"/>
          <w:szCs w:val="24"/>
        </w:rPr>
        <w:t>0.0001</w:t>
      </w:r>
      <w:r w:rsidRPr="00906992">
        <w:rPr>
          <w:rFonts w:ascii="Times New Roman" w:hAnsi="Times New Roman" w:cs="Times New Roman"/>
          <w:szCs w:val="24"/>
        </w:rPr>
        <w:t xml:space="preserve">). </w:t>
      </w:r>
      <w:r w:rsidR="00486B05">
        <w:rPr>
          <w:rFonts w:ascii="Times New Roman" w:hAnsi="Times New Roman" w:cs="Times New Roman"/>
          <w:szCs w:val="24"/>
        </w:rPr>
        <w:t xml:space="preserve">The only </w:t>
      </w:r>
      <w:r w:rsidR="00742FFD">
        <w:rPr>
          <w:rFonts w:ascii="Times New Roman" w:hAnsi="Times New Roman" w:cs="Times New Roman"/>
          <w:szCs w:val="24"/>
        </w:rPr>
        <w:t xml:space="preserve">DOR susceptible </w:t>
      </w:r>
      <w:r w:rsidR="00486B05">
        <w:rPr>
          <w:rFonts w:ascii="Times New Roman" w:hAnsi="Times New Roman" w:cs="Times New Roman"/>
          <w:szCs w:val="24"/>
        </w:rPr>
        <w:t xml:space="preserve">mutation that was incorrectly predicted to have </w:t>
      </w:r>
      <w:r w:rsidR="00FE7E3C">
        <w:rPr>
          <w:rFonts w:ascii="Times New Roman" w:hAnsi="Times New Roman" w:cs="Times New Roman"/>
          <w:szCs w:val="24"/>
        </w:rPr>
        <w:t xml:space="preserve">a </w:t>
      </w:r>
      <w:r w:rsidR="00486B05">
        <w:rPr>
          <w:rFonts w:ascii="Times New Roman" w:hAnsi="Times New Roman" w:cs="Times New Roman"/>
          <w:szCs w:val="24"/>
        </w:rPr>
        <w:t>high</w:t>
      </w:r>
      <w:r w:rsidR="0084703A">
        <w:rPr>
          <w:rFonts w:ascii="Times New Roman" w:hAnsi="Times New Roman" w:cs="Times New Roman"/>
          <w:szCs w:val="24"/>
        </w:rPr>
        <w:t xml:space="preserve"> (&gt;10x)</w:t>
      </w:r>
      <w:r w:rsidR="00486B05">
        <w:rPr>
          <w:rFonts w:ascii="Times New Roman" w:hAnsi="Times New Roman" w:cs="Times New Roman"/>
          <w:szCs w:val="24"/>
        </w:rPr>
        <w:t xml:space="preserve"> DOR fold-change was Y181C. </w:t>
      </w:r>
      <w:r w:rsidRPr="00906992">
        <w:rPr>
          <w:rFonts w:ascii="Times New Roman" w:hAnsi="Times New Roman" w:cs="Times New Roman"/>
          <w:szCs w:val="24"/>
        </w:rPr>
        <w:t xml:space="preserve">Among genotypes with limited or uncertain phenotype, </w:t>
      </w:r>
      <w:r w:rsidR="00FF2FFE" w:rsidRPr="00906992">
        <w:rPr>
          <w:rFonts w:ascii="Times New Roman" w:hAnsi="Times New Roman" w:cs="Times New Roman"/>
          <w:szCs w:val="24"/>
        </w:rPr>
        <w:t>K103N+P225H</w:t>
      </w:r>
      <w:r w:rsidR="00FF2FFE">
        <w:rPr>
          <w:rFonts w:ascii="Times New Roman" w:hAnsi="Times New Roman" w:cs="Times New Roman"/>
          <w:szCs w:val="24"/>
        </w:rPr>
        <w:t>,</w:t>
      </w:r>
      <w:r w:rsidR="00FF2FFE" w:rsidRPr="00906992">
        <w:rPr>
          <w:rFonts w:ascii="Times New Roman" w:hAnsi="Times New Roman" w:cs="Times New Roman"/>
          <w:szCs w:val="24"/>
        </w:rPr>
        <w:t xml:space="preserve"> </w:t>
      </w:r>
      <w:r w:rsidRPr="00906992">
        <w:rPr>
          <w:rFonts w:ascii="Times New Roman" w:hAnsi="Times New Roman" w:cs="Times New Roman"/>
          <w:szCs w:val="24"/>
        </w:rPr>
        <w:t>G190E</w:t>
      </w:r>
      <w:r w:rsidR="00FF2FFE">
        <w:rPr>
          <w:rFonts w:ascii="Times New Roman" w:hAnsi="Times New Roman" w:cs="Times New Roman"/>
          <w:szCs w:val="24"/>
        </w:rPr>
        <w:t>,</w:t>
      </w:r>
      <w:r w:rsidRPr="00906992">
        <w:rPr>
          <w:rFonts w:ascii="Times New Roman" w:hAnsi="Times New Roman" w:cs="Times New Roman"/>
          <w:szCs w:val="24"/>
        </w:rPr>
        <w:t xml:space="preserve"> </w:t>
      </w:r>
      <w:r w:rsidR="00FF2FFE">
        <w:rPr>
          <w:rFonts w:ascii="Times New Roman" w:hAnsi="Times New Roman" w:cs="Times New Roman"/>
          <w:szCs w:val="24"/>
        </w:rPr>
        <w:t xml:space="preserve">and </w:t>
      </w:r>
      <w:r w:rsidRPr="00906992">
        <w:rPr>
          <w:rFonts w:ascii="Times New Roman" w:hAnsi="Times New Roman" w:cs="Times New Roman"/>
          <w:szCs w:val="24"/>
        </w:rPr>
        <w:t xml:space="preserve">G190S </w:t>
      </w:r>
      <w:r w:rsidR="0084703A">
        <w:rPr>
          <w:rFonts w:ascii="Times New Roman" w:hAnsi="Times New Roman" w:cs="Times New Roman"/>
          <w:szCs w:val="24"/>
        </w:rPr>
        <w:t>were predicted to have high fold-change</w:t>
      </w:r>
      <w:r w:rsidRPr="00906992">
        <w:rPr>
          <w:rFonts w:ascii="Times New Roman" w:hAnsi="Times New Roman" w:cs="Times New Roman"/>
          <w:szCs w:val="24"/>
        </w:rPr>
        <w:t>, while V106M</w:t>
      </w:r>
      <w:r w:rsidR="00FF2FFE">
        <w:rPr>
          <w:rFonts w:ascii="Times New Roman" w:hAnsi="Times New Roman" w:cs="Times New Roman"/>
          <w:szCs w:val="24"/>
        </w:rPr>
        <w:t xml:space="preserve"> and</w:t>
      </w:r>
      <w:r w:rsidRPr="00906992">
        <w:rPr>
          <w:rFonts w:ascii="Times New Roman" w:hAnsi="Times New Roman" w:cs="Times New Roman"/>
          <w:szCs w:val="24"/>
        </w:rPr>
        <w:t xml:space="preserve"> L100I+K103N were </w:t>
      </w:r>
      <w:r w:rsidR="0084703A">
        <w:rPr>
          <w:rFonts w:ascii="Times New Roman" w:hAnsi="Times New Roman" w:cs="Times New Roman"/>
          <w:szCs w:val="24"/>
        </w:rPr>
        <w:t>predicted to have low fold-change in susceptibility</w:t>
      </w:r>
      <w:r w:rsidRPr="00906992">
        <w:rPr>
          <w:rFonts w:ascii="Times New Roman" w:hAnsi="Times New Roman" w:cs="Times New Roman"/>
          <w:szCs w:val="24"/>
        </w:rPr>
        <w:t>.</w:t>
      </w:r>
    </w:p>
    <w:p w14:paraId="36952244" w14:textId="05860461" w:rsidR="00906992" w:rsidRPr="00906992" w:rsidRDefault="000406F0" w:rsidP="00281AB1">
      <w:pPr>
        <w:spacing w:after="240"/>
        <w:rPr>
          <w:rFonts w:ascii="Times New Roman" w:hAnsi="Times New Roman" w:cs="Times New Roman"/>
          <w:szCs w:val="24"/>
        </w:rPr>
      </w:pPr>
      <w:r>
        <w:rPr>
          <w:rFonts w:ascii="Times New Roman" w:hAnsi="Times New Roman" w:cs="Times New Roman"/>
          <w:szCs w:val="24"/>
        </w:rPr>
        <w:t xml:space="preserve">To estimate uncertainty in model predictions, we performed bootstrap resampling of replicate-level feature values within each genotype. </w:t>
      </w:r>
      <w:r w:rsidR="0093179D">
        <w:rPr>
          <w:rFonts w:ascii="Times New Roman" w:hAnsi="Times New Roman" w:cs="Times New Roman"/>
          <w:szCs w:val="24"/>
        </w:rPr>
        <w:t xml:space="preserve">Briefly, replicate rows were sampled with replacement within each genotype, averaged to genotype-level features, and used to refit the two-feature linear regression model. This process was repeated 1,000 times. 95% confidence intervals were then calculated from the bootstrapped predicted fold-change values </w:t>
      </w:r>
      <w:r w:rsidR="00262F5D">
        <w:rPr>
          <w:rFonts w:ascii="Times New Roman" w:hAnsi="Times New Roman" w:cs="Times New Roman"/>
          <w:szCs w:val="24"/>
        </w:rPr>
        <w:t>(</w:t>
      </w:r>
      <w:r w:rsidR="00542AD3">
        <w:rPr>
          <w:rFonts w:ascii="Times New Roman" w:hAnsi="Times New Roman" w:cs="Times New Roman"/>
          <w:szCs w:val="24"/>
        </w:rPr>
        <w:t>Supplementary</w:t>
      </w:r>
      <w:r w:rsidR="00262F5D">
        <w:rPr>
          <w:rFonts w:ascii="Times New Roman" w:hAnsi="Times New Roman" w:cs="Times New Roman"/>
          <w:szCs w:val="24"/>
        </w:rPr>
        <w:t xml:space="preserve"> Table 4)</w:t>
      </w:r>
      <w:r w:rsidR="00906992" w:rsidRPr="00906992">
        <w:rPr>
          <w:rFonts w:ascii="Times New Roman" w:hAnsi="Times New Roman" w:cs="Times New Roman"/>
          <w:szCs w:val="24"/>
        </w:rPr>
        <w:t xml:space="preserve">. Nevertheless, the ability of </w:t>
      </w:r>
      <w:r w:rsidR="00FE7E3C">
        <w:rPr>
          <w:rFonts w:ascii="Times New Roman" w:hAnsi="Times New Roman" w:cs="Times New Roman"/>
          <w:szCs w:val="24"/>
        </w:rPr>
        <w:t>two</w:t>
      </w:r>
      <w:r w:rsidR="00906992" w:rsidRPr="00906992">
        <w:rPr>
          <w:rFonts w:ascii="Times New Roman" w:hAnsi="Times New Roman" w:cs="Times New Roman"/>
          <w:szCs w:val="24"/>
        </w:rPr>
        <w:t xml:space="preserve"> local MD-derived features to summarize much of the </w:t>
      </w:r>
      <w:r w:rsidR="00FE7E3C">
        <w:rPr>
          <w:rFonts w:ascii="Times New Roman" w:hAnsi="Times New Roman" w:cs="Times New Roman"/>
          <w:szCs w:val="24"/>
        </w:rPr>
        <w:t>observed phenotypic susceptibility landscape</w:t>
      </w:r>
      <w:r w:rsidR="00906992" w:rsidRPr="00906992">
        <w:rPr>
          <w:rFonts w:ascii="Times New Roman" w:hAnsi="Times New Roman" w:cs="Times New Roman"/>
          <w:szCs w:val="24"/>
        </w:rPr>
        <w:t xml:space="preserve"> supports the broader </w:t>
      </w:r>
      <w:r w:rsidR="00FE7E3C">
        <w:rPr>
          <w:rFonts w:ascii="Times New Roman" w:hAnsi="Times New Roman" w:cs="Times New Roman"/>
          <w:szCs w:val="24"/>
        </w:rPr>
        <w:t>hypothesis</w:t>
      </w:r>
      <w:r w:rsidR="00906992" w:rsidRPr="00906992">
        <w:rPr>
          <w:rFonts w:ascii="Times New Roman" w:hAnsi="Times New Roman" w:cs="Times New Roman"/>
          <w:szCs w:val="24"/>
        </w:rPr>
        <w:t xml:space="preserve"> that </w:t>
      </w:r>
      <w:r w:rsidR="00FE7E3C">
        <w:rPr>
          <w:rFonts w:ascii="Times New Roman" w:hAnsi="Times New Roman" w:cs="Times New Roman"/>
          <w:szCs w:val="24"/>
        </w:rPr>
        <w:t>much of the mutation-</w:t>
      </w:r>
      <w:r w:rsidR="00FE7E3C">
        <w:rPr>
          <w:rFonts w:ascii="Times New Roman" w:hAnsi="Times New Roman" w:cs="Times New Roman"/>
          <w:szCs w:val="24"/>
        </w:rPr>
        <w:lastRenderedPageBreak/>
        <w:t xml:space="preserve">induced fold-changes in </w:t>
      </w:r>
      <w:r w:rsidR="00906992" w:rsidRPr="00906992">
        <w:rPr>
          <w:rFonts w:ascii="Times New Roman" w:hAnsi="Times New Roman" w:cs="Times New Roman"/>
          <w:szCs w:val="24"/>
        </w:rPr>
        <w:t xml:space="preserve">DOR </w:t>
      </w:r>
      <w:r w:rsidR="00F727B6">
        <w:rPr>
          <w:rFonts w:ascii="Times New Roman" w:hAnsi="Times New Roman" w:cs="Times New Roman"/>
          <w:szCs w:val="24"/>
        </w:rPr>
        <w:t xml:space="preserve">susceptibility </w:t>
      </w:r>
      <w:r w:rsidR="00FE7E3C">
        <w:rPr>
          <w:rFonts w:ascii="Times New Roman" w:hAnsi="Times New Roman" w:cs="Times New Roman"/>
          <w:szCs w:val="24"/>
        </w:rPr>
        <w:t>could</w:t>
      </w:r>
      <w:r w:rsidR="00584482">
        <w:rPr>
          <w:rFonts w:ascii="Times New Roman" w:hAnsi="Times New Roman" w:cs="Times New Roman"/>
          <w:szCs w:val="24"/>
        </w:rPr>
        <w:t xml:space="preserve"> be</w:t>
      </w:r>
      <w:r w:rsidR="00906992" w:rsidRPr="00906992">
        <w:rPr>
          <w:rFonts w:ascii="Times New Roman" w:hAnsi="Times New Roman" w:cs="Times New Roman"/>
          <w:szCs w:val="24"/>
        </w:rPr>
        <w:t xml:space="preserve"> explained by coordinated local rearrangements in the </w:t>
      </w:r>
      <w:r w:rsidR="00FE7E3C">
        <w:rPr>
          <w:rFonts w:ascii="Times New Roman" w:hAnsi="Times New Roman" w:cs="Times New Roman"/>
          <w:szCs w:val="24"/>
        </w:rPr>
        <w:t>NNIBP</w:t>
      </w:r>
      <w:r w:rsidR="00906992" w:rsidRPr="00906992">
        <w:rPr>
          <w:rFonts w:ascii="Times New Roman" w:hAnsi="Times New Roman" w:cs="Times New Roman"/>
          <w:szCs w:val="24"/>
        </w:rPr>
        <w:t>.</w:t>
      </w: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F012FD4" w:rsidR="005F52FE" w:rsidRDefault="007B0373" w:rsidP="00281AB1">
      <w:pPr>
        <w:spacing w:after="240"/>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w:t>
      </w:r>
      <w:r w:rsidRPr="00382137">
        <w:rPr>
          <w:rFonts w:ascii="Times New Roman" w:hAnsi="Times New Roman" w:cs="Times New Roman"/>
          <w:i/>
          <w:iCs/>
          <w:szCs w:val="24"/>
        </w:rPr>
        <w:t>in vitro</w:t>
      </w:r>
      <w:r w:rsidRPr="007B0373">
        <w:rPr>
          <w:rFonts w:ascii="Times New Roman" w:hAnsi="Times New Roman" w:cs="Times New Roman"/>
          <w:szCs w:val="24"/>
        </w:rPr>
        <w:t xml:space="preserve">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w:t>
      </w:r>
      <w:r w:rsidR="00461E7C">
        <w:rPr>
          <w:rFonts w:ascii="Times New Roman" w:hAnsi="Times New Roman" w:cs="Times New Roman"/>
          <w:szCs w:val="24"/>
        </w:rPr>
        <w:t xml:space="preserve"> the</w:t>
      </w:r>
      <w:r w:rsidRPr="007B0373">
        <w:rPr>
          <w:rFonts w:ascii="Times New Roman" w:hAnsi="Times New Roman" w:cs="Times New Roman"/>
          <w:szCs w:val="24"/>
        </w:rPr>
        <w:t xml:space="preserve"> PhenoSense</w:t>
      </w:r>
      <w:r w:rsidR="00461E7C">
        <w:rPr>
          <w:rFonts w:ascii="Times New Roman" w:hAnsi="Times New Roman" w:cs="Times New Roman"/>
          <w:szCs w:val="24"/>
        </w:rPr>
        <w:t xml:space="preserve"> assay</w:t>
      </w:r>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p>
    <w:p w14:paraId="069D46EA" w14:textId="0162AF85" w:rsidR="00430A42" w:rsidRDefault="00461E7C" w:rsidP="005F52FE">
      <w:pPr>
        <w:rPr>
          <w:rFonts w:ascii="Times New Roman" w:hAnsi="Times New Roman" w:cs="Times New Roman"/>
          <w:szCs w:val="24"/>
        </w:rPr>
      </w:pPr>
      <w:r w:rsidRPr="005F52FE">
        <w:rPr>
          <w:rFonts w:ascii="Times New Roman" w:hAnsi="Times New Roman" w:cs="Times New Roman"/>
          <w:szCs w:val="24"/>
        </w:rPr>
        <w:t>We asked whether short explicit-solvent MD simulations could provide a coherent structural framework for understanding known and limited-data DOR resistance genotypes.</w:t>
      </w:r>
      <w:r>
        <w:rPr>
          <w:rFonts w:ascii="Times New Roman" w:hAnsi="Times New Roman" w:cs="Times New Roman"/>
          <w:szCs w:val="24"/>
        </w:rPr>
        <w:t xml:space="preserve"> This choice was motivated by prior studies that successfully used such energy calculations from MD simulations to interrogate HIV resistance mutations in RT</w:t>
      </w:r>
      <w:r w:rsidR="001D7155">
        <w:rPr>
          <w:rFonts w:ascii="Times New Roman" w:hAnsi="Times New Roman" w:cs="Times New Roman"/>
          <w:szCs w:val="24"/>
        </w:rPr>
        <w:t>,</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{"citationID":"bYsieQ0x","properties":{"unsorted":false,"formattedCitation":"\\super 32\\nosupersub{}","plainCitation":"32","noteIndex":0},"citationItems":[{"id":220,"uris":["http://zotero.org/users/19404620/items/X3Z7A2W7"],"itemData":{"id":220,"type":"article-journal","abstract":"We propose a systematic approach for a better understanding of how HIV viruses employ various combinations of mutations to resist drug treatments, which is critical to developing new drugs and optimizing the use of existing drugs. By probabilistically modeling mutations in the HIV-1 protease or reverse transcriptase (RT) isolated from drug-treated patients, we present a statistical procedure that first detects mutation combinations associated with drug resistance and then infers detailed interaction structures of these mutations. The molecular basis of our statistical predictions is further studied by using molecular dynamics simulations and free energy calculations. We have demonstrated the usefulness of this systematic procedure on three HIV drugs, (Indinavir, Zidovudine, and Nevirapine), discovered unique interaction features between viral mutations induced by these drugs, and revealed the structural basis of such interactions.","container-title":"Proceedings of the National Academy of Sciences","DOI":"10.1073/pnas.0907304107","issue":"4","page":"1321-1326","publisher":"Proceedings of the National Academy of Sciences","source":"www-pnas-org.stanford.idm.oclc.org (Atypon)","title":"Detecting and understanding combinatorial mutation patterns responsible for HIV drug resistance","volume":"107","author":[{"family":"Zhang","given":"Jing"},{"family":"Hou","given":"Tingjun"},{"family":"Wang","given":"Wei"},{"family":"Liu","given":"Jun S."}],"issued":{"date-parts":[["2010",1,26]]}}}],"schema":"https://github.com/citation-style-language/schema/raw/master/csl-citation.json"}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32</w:t>
      </w:r>
      <w:r w:rsidR="0024748A">
        <w:rPr>
          <w:rFonts w:ascii="Times New Roman" w:hAnsi="Times New Roman" w:cs="Times New Roman"/>
          <w:szCs w:val="24"/>
        </w:rPr>
        <w:fldChar w:fldCharType="end"/>
      </w:r>
      <w:r w:rsidR="001D7155">
        <w:rPr>
          <w:rFonts w:ascii="Times New Roman" w:hAnsi="Times New Roman" w:cs="Times New Roman"/>
          <w:szCs w:val="24"/>
        </w:rPr>
        <w:t xml:space="preserve"> Integrase,</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{"citationID":"VPLVa0Uq","properties":{"unsorted":false,"formattedCitation":"\\super 33\\nosupersub{}","plainCitation":"33","noteIndex":0},"citationItems":[{"id":218,"uris":["http://zotero.org/users/19404620/items/BAZYAZG3"],"itemData":{"id":218,"type":"article-journal","abstract":"The Antiretroviral Therapy (ART) has been providing better treatment for the Human Immunodeficiency Virus 1 (HIV) infection, by reducing its viral load to undetectable levels and recovering the immune system. However, new HIV mutations could induce drug resistance to ART, increasing the viral load and disruption of immune system. One of these drugs is Dolutegravir (DTG), which inhibits HIV integrase (INT) activity. Our objective was to predict novel HIV mutations related to DTG resistance using in silico approaches in order to stablish a framework of searching for new HIV drug-resistant mutations. To this end, we modelled the INT structure and produced a mutational profile to investigate hotspots that may affect INT. Being the Y226K mutation the most frequent (0.3) and with a higher ΔΔG (+2.07), we selected to test the framework. To ratify the impact of Y226K, we docked the mutant INT with the DTG and compared the results with the Wild Type (WT) with known drug-resistant mutations. Moreover, we performed molecular dynamics simulations and calculated the binding energy along the time-course. When we compared the energies of the systems, the Y226K complex showed less binding affinity (ΔΔG = 104.88) than the other mutated complexes compared with the WT, the Y226K complex showed even less binding affinity (ΔΔG = 104.88). This variant somehow impedes the attachment of DTG to INT, indicating this mutant as possible resistance mutation.","container-title":"Infection, Genetics and Evolution","DOI":"10.1016/j.meegid.2018.11.014","ISSN":"1567-1348","journalAbbreviation":"Infection, Genetics and Evolution","page":"10-15","source":"ScienceDirect","title":"Prediction of HIV integrase resistance mutation using &lt;i&gt;in silico&lt;/i&gt; approaches","volume":"68","author":[{"family":"Silva","given":"Heitor Horlando Sampaio Araujo","non-dropping-particle":"da"},{"family":"Pereira","given":"Natalia"},{"family":"Brandão","given":"Lucas"},{"family":"Crovella","given":"Sergio"},{"family":"Moura","given":"Ronald"}],"issued":{"date-parts":[["2019",3,1]]}}}],"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33</w:t>
      </w:r>
      <w:r w:rsidR="0024748A">
        <w:rPr>
          <w:rFonts w:ascii="Times New Roman" w:hAnsi="Times New Roman" w:cs="Times New Roman"/>
          <w:szCs w:val="24"/>
        </w:rPr>
        <w:fldChar w:fldCharType="end"/>
      </w:r>
      <w:r>
        <w:rPr>
          <w:rFonts w:ascii="Times New Roman" w:hAnsi="Times New Roman" w:cs="Times New Roman"/>
          <w:szCs w:val="24"/>
        </w:rPr>
        <w:t xml:space="preserve"> and Protease.</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{"citationID":"BgGzn193","properties":{"unsorted":false,"formattedCitation":"\\super 34\\nosupersub{}","plainCitation":"34","noteIndex":0},"citationItems":[{"id":216,"uris":["http://zotero.org/users/19404620/items/676X6Z7Q"],"itemData":{"id":216,"type":"article-journal","abstract":"The development of mutations in HIV-1 protease (PR) hinders the activity of antiretroviral drugs, forcing changes in drug prescription. Most resistance assessments used to date rely on expert-based rules on predefined sets of stereotypical mutations; such an information-driven approach cannot capture new polymorphisms or be applied for new drugs. Computational modeling could provide a more general assessment of drug resistance and could be made available to clinicians through the Internet. We have created a protocol involving sequence comparison and all-atom protein–ligand induced fit simulations to predict resistance at the molecular level. We first compared our predictions with the experimentally determined IC50 values of darunavir, amprenavir, ritonavir, and indinavir from reference PR mutants displaying different resistance levels. We then performed analyses on a large set of variants harboring more than 10 mutations. Finally, several sequences from real patients were analyzed for amprenavir and darunavir. Our computational approach detected all of the genotype changes triggering high-level resistance, even those involving a large number of mutations.","container-title":"Journal of Chemical Information and Modeling","DOI":"10.1021/acs.jcim.5b00667","ISSN":"1549-9596","issue":"5","journalAbbreviation":"J. Chem. Inf. Model.","page":"915-923","publisher":"American Chemical Society","source":"ACS Publications","title":"Computational Prediction of HIV-1 Resistance to Protease Inhibitors","volume":"56","author":[{"family":"Hosseini","given":"Ali"},{"family":"Alibés","given":"Andreu"},{"family":"Noguera-Julian","given":"Marc"},{"family":"Gil","given":"Victor"},{"family":"Paredes","given":"Roger"},{"family":"Soliva","given":"Robert"},{"family":"Orozco","given":"Modesto"},{"family":"Guallar","given":"Victor"}],"issued":{"date-parts":[["2016",5,23]]}}}],"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34</w:t>
      </w:r>
      <w:r w:rsidR="0024748A">
        <w:rPr>
          <w:rFonts w:ascii="Times New Roman" w:hAnsi="Times New Roman" w:cs="Times New Roman"/>
          <w:szCs w:val="24"/>
        </w:rPr>
        <w:fldChar w:fldCharType="end"/>
      </w:r>
      <w:r>
        <w:rPr>
          <w:rFonts w:ascii="Times New Roman" w:hAnsi="Times New Roman" w:cs="Times New Roman"/>
          <w:szCs w:val="24"/>
        </w:rPr>
        <w:t xml:space="preserve"> </w:t>
      </w:r>
      <w:r w:rsidR="00146F81">
        <w:rPr>
          <w:rFonts w:ascii="Times New Roman" w:hAnsi="Times New Roman" w:cs="Times New Roman"/>
          <w:szCs w:val="24"/>
        </w:rPr>
        <w:t>However, w</w:t>
      </w:r>
      <w:r w:rsidR="005F52FE">
        <w:rPr>
          <w:rFonts w:ascii="Times New Roman" w:hAnsi="Times New Roman" w:cs="Times New Roman"/>
          <w:szCs w:val="24"/>
        </w:rPr>
        <w:t>e observed</w:t>
      </w:r>
      <w:r w:rsidR="005F52FE" w:rsidRPr="005F52FE">
        <w:rPr>
          <w:rFonts w:ascii="Times New Roman" w:hAnsi="Times New Roman" w:cs="Times New Roman"/>
          <w:szCs w:val="24"/>
        </w:rPr>
        <w:t xml:space="preserve"> </w:t>
      </w:r>
      <w:r w:rsidR="005F52FE">
        <w:rPr>
          <w:rFonts w:ascii="Times New Roman" w:hAnsi="Times New Roman" w:cs="Times New Roman"/>
          <w:szCs w:val="24"/>
        </w:rPr>
        <w:t>that</w:t>
      </w:r>
      <w:r w:rsidR="005F52FE" w:rsidRPr="005F52FE">
        <w:rPr>
          <w:rFonts w:ascii="Times New Roman" w:hAnsi="Times New Roman" w:cs="Times New Roman"/>
          <w:szCs w:val="24"/>
        </w:rPr>
        <w:t xml:space="preserve"> </w:t>
      </w:r>
      <w:r w:rsidR="00146F81">
        <w:rPr>
          <w:rFonts w:ascii="Times New Roman" w:hAnsi="Times New Roman" w:cs="Times New Roman"/>
          <w:szCs w:val="24"/>
        </w:rPr>
        <w:t xml:space="preserve">the average ∆∆G values of total </w:t>
      </w:r>
      <w:r w:rsidR="006919AA">
        <w:rPr>
          <w:rFonts w:ascii="Times New Roman" w:hAnsi="Times New Roman" w:cs="Times New Roman"/>
          <w:szCs w:val="24"/>
        </w:rPr>
        <w:t xml:space="preserve">MM/GBSA </w:t>
      </w:r>
      <w:r w:rsidR="00146F81">
        <w:rPr>
          <w:rFonts w:ascii="Times New Roman" w:hAnsi="Times New Roman" w:cs="Times New Roman"/>
          <w:szCs w:val="24"/>
        </w:rPr>
        <w:t xml:space="preserve">energy </w:t>
      </w:r>
      <w:r w:rsidR="001352C3">
        <w:rPr>
          <w:rFonts w:ascii="Times New Roman" w:hAnsi="Times New Roman" w:cs="Times New Roman"/>
          <w:szCs w:val="24"/>
        </w:rPr>
        <w:t>across</w:t>
      </w:r>
      <w:r w:rsidR="00146F81">
        <w:rPr>
          <w:rFonts w:ascii="Times New Roman" w:hAnsi="Times New Roman" w:cs="Times New Roman"/>
          <w:szCs w:val="24"/>
        </w:rPr>
        <w:t xml:space="preserve"> independent replicates </w:t>
      </w:r>
      <w:r w:rsidR="006919AA">
        <w:rPr>
          <w:rFonts w:ascii="Times New Roman" w:hAnsi="Times New Roman" w:cs="Times New Roman"/>
          <w:szCs w:val="24"/>
        </w:rPr>
        <w:t xml:space="preserve">had no statistically significant association with the DOR phenotypic susceptibility values in our panel. </w:t>
      </w:r>
      <w:r w:rsidR="00385FCC">
        <w:rPr>
          <w:rFonts w:ascii="Times New Roman" w:hAnsi="Times New Roman" w:cs="Times New Roman"/>
          <w:szCs w:val="24"/>
        </w:rPr>
        <w:t xml:space="preserve">There may be 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values do not represent equilibrium binding free energies because the simulations do not sample the full bound and unbound state populations needed for a</w:t>
      </w:r>
      <w:r w:rsidR="0093179D">
        <w:rPr>
          <w:rFonts w:ascii="Times New Roman" w:hAnsi="Times New Roman" w:cs="Times New Roman"/>
          <w:szCs w:val="24"/>
        </w:rPr>
        <w:t>n accurate</w:t>
      </w:r>
      <w:r w:rsidR="00385FCC" w:rsidRPr="00085D4C">
        <w:rPr>
          <w:rFonts w:ascii="Times New Roman" w:hAnsi="Times New Roman" w:cs="Times New Roman"/>
          <w:szCs w:val="24"/>
        </w:rPr>
        <w:t xml:space="preserv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 xml:space="preserve">Second, </w:t>
      </w:r>
      <w:r w:rsidR="0093179D">
        <w:rPr>
          <w:rFonts w:ascii="Times New Roman" w:hAnsi="Times New Roman" w:cs="Times New Roman"/>
          <w:szCs w:val="24"/>
        </w:rPr>
        <w:t xml:space="preserve">although the simulations were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w:t>
      </w:r>
      <w:r w:rsidR="0093179D">
        <w:rPr>
          <w:rFonts w:ascii="Times New Roman" w:hAnsi="Times New Roman" w:cs="Times New Roman"/>
          <w:szCs w:val="24"/>
        </w:rPr>
        <w:t>any explicit</w:t>
      </w:r>
      <w:r w:rsidR="00385FCC" w:rsidRPr="00085D4C">
        <w:rPr>
          <w:rFonts w:ascii="Times New Roman" w:hAnsi="Times New Roman" w:cs="Times New Roman"/>
          <w:szCs w:val="24"/>
        </w:rPr>
        <w:t xml:space="preserve">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the simulations </w:t>
      </w:r>
      <w:r w:rsidR="006919AA">
        <w:rPr>
          <w:rFonts w:ascii="Times New Roman" w:hAnsi="Times New Roman" w:cs="Times New Roman"/>
          <w:szCs w:val="24"/>
        </w:rPr>
        <w:t>sample</w:t>
      </w:r>
      <w:r w:rsidR="00385FCC">
        <w:rPr>
          <w:rFonts w:ascii="Times New Roman" w:hAnsi="Times New Roman" w:cs="Times New Roman"/>
          <w:szCs w:val="24"/>
        </w:rPr>
        <w:t xml:space="preserve">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t>
      </w:r>
    </w:p>
    <w:p w14:paraId="17AD8690" w14:textId="57006F77" w:rsidR="005F52FE" w:rsidRDefault="0024748A" w:rsidP="009977AB">
      <w:pPr>
        <w:spacing w:before="240" w:after="240"/>
        <w:rPr>
          <w:rFonts w:ascii="Times New Roman" w:hAnsi="Times New Roman" w:cs="Times New Roman"/>
          <w:szCs w:val="24"/>
        </w:rPr>
      </w:pPr>
      <w:r>
        <w:rPr>
          <w:rFonts w:ascii="Times New Roman" w:hAnsi="Times New Roman" w:cs="Times New Roman"/>
          <w:szCs w:val="24"/>
        </w:rPr>
        <w:t xml:space="preserve">We also observed large trajectory to trajectory variability in ∆∆G values that precluded any </w:t>
      </w:r>
      <w:r w:rsidR="00EA5681">
        <w:rPr>
          <w:rFonts w:ascii="Times New Roman" w:hAnsi="Times New Roman" w:cs="Times New Roman"/>
          <w:szCs w:val="24"/>
        </w:rPr>
        <w:t>significant</w:t>
      </w:r>
      <w:r>
        <w:rPr>
          <w:rFonts w:ascii="Times New Roman" w:hAnsi="Times New Roman" w:cs="Times New Roman"/>
          <w:szCs w:val="24"/>
        </w:rPr>
        <w:t xml:space="preserve"> </w:t>
      </w:r>
      <w:r w:rsidR="002671AE">
        <w:rPr>
          <w:rFonts w:ascii="Times New Roman" w:hAnsi="Times New Roman" w:cs="Times New Roman"/>
          <w:szCs w:val="24"/>
        </w:rPr>
        <w:t>correlation with the phenotype panel</w:t>
      </w:r>
      <w:r>
        <w:rPr>
          <w:rFonts w:ascii="Times New Roman" w:hAnsi="Times New Roman" w:cs="Times New Roman"/>
          <w:szCs w:val="24"/>
        </w:rPr>
        <w:t xml:space="preserve">, even for the individual MM/GBSA components. </w:t>
      </w:r>
      <w:r w:rsidR="002671AE">
        <w:rPr>
          <w:rFonts w:ascii="Times New Roman" w:hAnsi="Times New Roman" w:cs="Times New Roman"/>
          <w:szCs w:val="24"/>
        </w:rPr>
        <w:t>Interestingly, the largest variability was achieved by the Y188L simulations, where WT-referenced total energy standard deviation between replicates of ~369kJ/mol was mainly driven by the van der Waals component. Upon closer inspection</w:t>
      </w:r>
      <w:r w:rsidR="00AA56BC">
        <w:rPr>
          <w:rFonts w:ascii="Times New Roman" w:hAnsi="Times New Roman" w:cs="Times New Roman"/>
          <w:szCs w:val="24"/>
        </w:rPr>
        <w:t xml:space="preserve">, </w:t>
      </w:r>
      <w:r w:rsidR="002671AE">
        <w:rPr>
          <w:rFonts w:ascii="Times New Roman" w:hAnsi="Times New Roman" w:cs="Times New Roman"/>
          <w:szCs w:val="24"/>
        </w:rPr>
        <w:t xml:space="preserve">Leu188 sidechain was found to exhibit more diverse orientations </w:t>
      </w:r>
      <w:r w:rsidR="0093179D">
        <w:rPr>
          <w:rFonts w:ascii="Times New Roman" w:hAnsi="Times New Roman" w:cs="Times New Roman"/>
          <w:szCs w:val="24"/>
        </w:rPr>
        <w:t xml:space="preserve">vs </w:t>
      </w:r>
      <w:r w:rsidR="00BC11ED">
        <w:rPr>
          <w:rFonts w:ascii="Times New Roman" w:hAnsi="Times New Roman" w:cs="Times New Roman"/>
          <w:szCs w:val="24"/>
        </w:rPr>
        <w:t xml:space="preserve">Tyr188 sidechain in </w:t>
      </w:r>
      <w:r w:rsidR="0093179D">
        <w:rPr>
          <w:rFonts w:ascii="Times New Roman" w:hAnsi="Times New Roman" w:cs="Times New Roman"/>
          <w:szCs w:val="24"/>
        </w:rPr>
        <w:t xml:space="preserve">WT </w:t>
      </w:r>
      <w:r w:rsidR="002671AE">
        <w:rPr>
          <w:rFonts w:ascii="Times New Roman" w:hAnsi="Times New Roman" w:cs="Times New Roman"/>
          <w:szCs w:val="24"/>
        </w:rPr>
        <w:t xml:space="preserve">in different replicates with respect to DOR, which </w:t>
      </w:r>
      <w:r w:rsidR="000406F0">
        <w:rPr>
          <w:rFonts w:ascii="Times New Roman" w:hAnsi="Times New Roman" w:cs="Times New Roman"/>
          <w:szCs w:val="24"/>
        </w:rPr>
        <w:t>likely</w:t>
      </w:r>
      <w:r w:rsidR="002671AE">
        <w:rPr>
          <w:rFonts w:ascii="Times New Roman" w:hAnsi="Times New Roman" w:cs="Times New Roman"/>
          <w:szCs w:val="24"/>
        </w:rPr>
        <w:t xml:space="preserve"> alter</w:t>
      </w:r>
      <w:r w:rsidR="000406F0">
        <w:rPr>
          <w:rFonts w:ascii="Times New Roman" w:hAnsi="Times New Roman" w:cs="Times New Roman"/>
          <w:szCs w:val="24"/>
        </w:rPr>
        <w:t>ed</w:t>
      </w:r>
      <w:r w:rsidR="002671AE">
        <w:rPr>
          <w:rFonts w:ascii="Times New Roman" w:hAnsi="Times New Roman" w:cs="Times New Roman"/>
          <w:szCs w:val="24"/>
        </w:rPr>
        <w:t xml:space="preserve"> NNIBP packing efficiency and </w:t>
      </w:r>
      <w:r w:rsidR="00F34CD6">
        <w:rPr>
          <w:rFonts w:ascii="Times New Roman" w:hAnsi="Times New Roman" w:cs="Times New Roman"/>
          <w:szCs w:val="24"/>
        </w:rPr>
        <w:t>contribute</w:t>
      </w:r>
      <w:r w:rsidR="000406F0">
        <w:rPr>
          <w:rFonts w:ascii="Times New Roman" w:hAnsi="Times New Roman" w:cs="Times New Roman"/>
          <w:szCs w:val="24"/>
        </w:rPr>
        <w:t>d</w:t>
      </w:r>
      <w:r w:rsidR="00F34CD6">
        <w:rPr>
          <w:rFonts w:ascii="Times New Roman" w:hAnsi="Times New Roman" w:cs="Times New Roman"/>
          <w:szCs w:val="24"/>
        </w:rPr>
        <w:t xml:space="preserve"> to high variance of the van der Waals energy shift</w:t>
      </w:r>
      <w:r w:rsidR="002671AE">
        <w:rPr>
          <w:rFonts w:ascii="Times New Roman" w:hAnsi="Times New Roman" w:cs="Times New Roman"/>
          <w:szCs w:val="24"/>
        </w:rPr>
        <w:t>.</w:t>
      </w:r>
      <w:r w:rsidR="00AA56BC">
        <w:rPr>
          <w:rFonts w:ascii="Times New Roman" w:hAnsi="Times New Roman" w:cs="Times New Roman"/>
          <w:szCs w:val="24"/>
        </w:rPr>
        <w:t xml:space="preserve"> </w:t>
      </w:r>
      <w:r w:rsidR="00F34CD6">
        <w:rPr>
          <w:rFonts w:ascii="Times New Roman" w:hAnsi="Times New Roman" w:cs="Times New Roman"/>
          <w:szCs w:val="24"/>
        </w:rPr>
        <w:t>This</w:t>
      </w:r>
      <w:r w:rsidR="000C00CB">
        <w:rPr>
          <w:rFonts w:ascii="Times New Roman" w:hAnsi="Times New Roman" w:cs="Times New Roman"/>
          <w:szCs w:val="24"/>
        </w:rPr>
        <w:t xml:space="preserve"> observation</w:t>
      </w:r>
      <w:r w:rsidR="005F52FE">
        <w:rPr>
          <w:rFonts w:ascii="Times New Roman" w:hAnsi="Times New Roman" w:cs="Times New Roman"/>
          <w:szCs w:val="24"/>
        </w:rPr>
        <w:t xml:space="preserve">, </w:t>
      </w:r>
      <w:r w:rsidR="000C00CB">
        <w:rPr>
          <w:rFonts w:ascii="Times New Roman" w:hAnsi="Times New Roman" w:cs="Times New Roman"/>
          <w:szCs w:val="24"/>
        </w:rPr>
        <w:t xml:space="preserve">along with </w:t>
      </w:r>
      <w:r w:rsidR="005F52FE">
        <w:rPr>
          <w:rFonts w:ascii="Times New Roman" w:hAnsi="Times New Roman" w:cs="Times New Roman"/>
          <w:szCs w:val="24"/>
        </w:rPr>
        <w:t>t</w:t>
      </w:r>
      <w:r w:rsidR="005F52FE" w:rsidRPr="005F52FE">
        <w:rPr>
          <w:rFonts w:ascii="Times New Roman" w:hAnsi="Times New Roman" w:cs="Times New Roman"/>
          <w:szCs w:val="24"/>
        </w:rPr>
        <w:t xml:space="preserve">he weak association observed </w:t>
      </w:r>
      <w:r w:rsidR="00896B84">
        <w:rPr>
          <w:rFonts w:ascii="Times New Roman" w:hAnsi="Times New Roman" w:cs="Times New Roman"/>
          <w:szCs w:val="24"/>
        </w:rPr>
        <w:t>between</w:t>
      </w:r>
      <w:r w:rsidR="005F52FE" w:rsidRPr="005F52FE">
        <w:rPr>
          <w:rFonts w:ascii="Times New Roman" w:hAnsi="Times New Roman" w:cs="Times New Roman"/>
          <w:szCs w:val="24"/>
        </w:rPr>
        <w:t xml:space="preserve"> the electrostatic component</w:t>
      </w:r>
      <w:r w:rsidR="00896B84">
        <w:rPr>
          <w:rFonts w:ascii="Times New Roman" w:hAnsi="Times New Roman" w:cs="Times New Roman"/>
          <w:szCs w:val="24"/>
        </w:rPr>
        <w:t xml:space="preserve"> and DOR fold-change values in the </w:t>
      </w:r>
      <w:r w:rsidR="00F34CD6">
        <w:rPr>
          <w:rFonts w:ascii="Times New Roman" w:hAnsi="Times New Roman" w:cs="Times New Roman"/>
          <w:szCs w:val="24"/>
        </w:rPr>
        <w:t>susceptible and resistant mutations</w:t>
      </w:r>
      <w:r w:rsidR="00896B84">
        <w:rPr>
          <w:rFonts w:ascii="Times New Roman" w:hAnsi="Times New Roman" w:cs="Times New Roman"/>
          <w:szCs w:val="24"/>
        </w:rPr>
        <w:t xml:space="preserve"> set</w:t>
      </w:r>
      <w:r w:rsidR="000C00CB">
        <w:rPr>
          <w:rFonts w:ascii="Times New Roman" w:hAnsi="Times New Roman" w:cs="Times New Roman"/>
          <w:szCs w:val="24"/>
        </w:rPr>
        <w:t>,</w:t>
      </w:r>
      <w:r w:rsidR="005F52FE" w:rsidRPr="005F52FE">
        <w:rPr>
          <w:rFonts w:ascii="Times New Roman" w:hAnsi="Times New Roman" w:cs="Times New Roman"/>
          <w:szCs w:val="24"/>
        </w:rPr>
        <w:t xml:space="preserve">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w:t>
      </w:r>
      <w:r w:rsidR="001E4EB9">
        <w:rPr>
          <w:rFonts w:ascii="Times New Roman" w:hAnsi="Times New Roman" w:cs="Times New Roman"/>
          <w:szCs w:val="24"/>
        </w:rPr>
        <w:t xml:space="preserve">DOR contact network </w:t>
      </w:r>
      <w:r w:rsidR="005F52FE" w:rsidRPr="005F52FE">
        <w:rPr>
          <w:rFonts w:ascii="Times New Roman" w:hAnsi="Times New Roman" w:cs="Times New Roman"/>
          <w:szCs w:val="24"/>
        </w:rPr>
        <w:t xml:space="preserve">reorganization </w:t>
      </w:r>
      <w:r w:rsidR="005F52FE">
        <w:rPr>
          <w:rFonts w:ascii="Times New Roman" w:hAnsi="Times New Roman" w:cs="Times New Roman"/>
          <w:szCs w:val="24"/>
        </w:rPr>
        <w:t xml:space="preserve">in the NNIBP </w:t>
      </w:r>
      <w:r w:rsidR="00896B84">
        <w:rPr>
          <w:rFonts w:ascii="Times New Roman" w:hAnsi="Times New Roman" w:cs="Times New Roman"/>
          <w:szCs w:val="24"/>
        </w:rPr>
        <w:t>could</w:t>
      </w:r>
      <w:r w:rsidR="005F52FE">
        <w:rPr>
          <w:rFonts w:ascii="Times New Roman" w:hAnsi="Times New Roman" w:cs="Times New Roman"/>
          <w:szCs w:val="24"/>
        </w:rPr>
        <w:t xml:space="preserve"> be more informative.</w:t>
      </w:r>
    </w:p>
    <w:p w14:paraId="6A57D8CF" w14:textId="2BCC571A" w:rsidR="00054F43" w:rsidRDefault="003C5F8B" w:rsidP="009977AB">
      <w:pPr>
        <w:spacing w:after="240"/>
        <w:rPr>
          <w:rFonts w:ascii="Times New Roman" w:hAnsi="Times New Roman" w:cs="Times New Roman"/>
          <w:szCs w:val="24"/>
        </w:rPr>
      </w:pPr>
      <w:r>
        <w:rPr>
          <w:rFonts w:ascii="Times New Roman" w:hAnsi="Times New Roman" w:cs="Times New Roman"/>
          <w:szCs w:val="24"/>
        </w:rPr>
        <w:t>The mean contact occupancy analysis revealed t</w:t>
      </w:r>
      <w:r w:rsidR="00054F43">
        <w:rPr>
          <w:rFonts w:ascii="Times New Roman" w:hAnsi="Times New Roman" w:cs="Times New Roman"/>
          <w:szCs w:val="24"/>
        </w:rPr>
        <w:t>he baseline contact network in WT simulations and how it shifts in case of mutations. Our data suggest at least two robust mechanistic findings:</w:t>
      </w:r>
    </w:p>
    <w:p w14:paraId="6D58E8F1" w14:textId="45BE69D1" w:rsidR="003C5F8B" w:rsidRDefault="00054F43"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lastRenderedPageBreak/>
        <w:t>V106A containing genotypes consistently involve DOR shifting to the 103-108 loop region of the NNIBP.</w:t>
      </w:r>
      <w:r w:rsidR="00B90F8D">
        <w:rPr>
          <w:rFonts w:ascii="Times New Roman" w:hAnsi="Times New Roman" w:cs="Times New Roman"/>
          <w:szCs w:val="24"/>
        </w:rPr>
        <w:t xml:space="preserve"> The loss of the hydrophobic interaction between Val106 sidechain and the </w:t>
      </w:r>
      <w:r w:rsidR="00380DA1">
        <w:rPr>
          <w:rFonts w:ascii="Times New Roman" w:hAnsi="Times New Roman" w:cs="Times New Roman"/>
          <w:szCs w:val="24"/>
        </w:rPr>
        <w:t xml:space="preserve">central </w:t>
      </w:r>
      <w:r w:rsidR="00B90F8D">
        <w:rPr>
          <w:rFonts w:ascii="Times New Roman" w:hAnsi="Times New Roman" w:cs="Times New Roman"/>
          <w:szCs w:val="24"/>
        </w:rPr>
        <w:t>pyridone core of DOR</w:t>
      </w:r>
      <w:r w:rsidRPr="009977AB">
        <w:rPr>
          <w:rFonts w:ascii="Times New Roman" w:hAnsi="Times New Roman" w:cs="Times New Roman"/>
          <w:szCs w:val="24"/>
        </w:rPr>
        <w:t xml:space="preserve"> </w:t>
      </w:r>
      <w:r w:rsidR="00B90F8D">
        <w:rPr>
          <w:rFonts w:ascii="Times New Roman" w:hAnsi="Times New Roman" w:cs="Times New Roman"/>
          <w:szCs w:val="24"/>
        </w:rPr>
        <w:t>in case of V106A likely causes this shift. The resulting DOR contacts with mainchain atoms of Lys104 and Ser105 are suboptimal compensatory interactions and could, therefore, explain resistance to V106A containing genotypes in terms of loose DOR packing within the NNIBP.</w:t>
      </w:r>
      <w:r w:rsidR="008C46C2">
        <w:rPr>
          <w:rFonts w:ascii="Times New Roman" w:hAnsi="Times New Roman" w:cs="Times New Roman"/>
          <w:szCs w:val="24"/>
        </w:rPr>
        <w:t xml:space="preserve"> This mechanism is further supported by the observation that simulations containing V106I, a DOR susceptible polymorphic mutation, do not demonstrate this DOR shift toward the 103-108 loop. </w:t>
      </w:r>
      <w:r w:rsidR="008C46C2">
        <w:rPr>
          <w:rFonts w:ascii="Times New Roman" w:hAnsi="Times New Roman" w:cs="Times New Roman"/>
          <w:szCs w:val="24"/>
        </w:rPr>
        <w:br/>
      </w:r>
    </w:p>
    <w:p w14:paraId="7D9D9300" w14:textId="0066968D" w:rsidR="008C46C2" w:rsidRDefault="00B90F8D"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t xml:space="preserve">G190E </w:t>
      </w:r>
      <w:r w:rsidR="00380DA1">
        <w:rPr>
          <w:rFonts w:ascii="Times New Roman" w:hAnsi="Times New Roman" w:cs="Times New Roman"/>
          <w:szCs w:val="24"/>
        </w:rPr>
        <w:t xml:space="preserve">adds a large negatively charged glutamate in the </w:t>
      </w:r>
      <w:r w:rsidR="00380DA1" w:rsidRPr="00E31695">
        <w:rPr>
          <w:rFonts w:ascii="Times New Roman" w:hAnsi="Times New Roman" w:cs="Times New Roman"/>
          <w:szCs w:val="24"/>
        </w:rPr>
        <w:t>β</w:t>
      </w:r>
      <w:r w:rsidR="00380DA1">
        <w:rPr>
          <w:rFonts w:ascii="Times New Roman" w:hAnsi="Times New Roman" w:cs="Times New Roman"/>
          <w:szCs w:val="24"/>
        </w:rPr>
        <w:t>9-</w:t>
      </w:r>
      <w:r w:rsidR="00380DA1" w:rsidRPr="00E31695">
        <w:rPr>
          <w:rFonts w:ascii="Times New Roman" w:hAnsi="Times New Roman" w:cs="Times New Roman"/>
          <w:szCs w:val="24"/>
        </w:rPr>
        <w:t>β</w:t>
      </w:r>
      <w:r w:rsidR="00380DA1">
        <w:rPr>
          <w:rFonts w:ascii="Times New Roman" w:hAnsi="Times New Roman" w:cs="Times New Roman"/>
          <w:szCs w:val="24"/>
        </w:rPr>
        <w:t xml:space="preserve">10 hairpin that makes DOR lose contact with Val179, a residue that otherwise remains in proximity to DOR in WT simulations. </w:t>
      </w:r>
      <w:r w:rsidR="002449B5">
        <w:rPr>
          <w:rFonts w:ascii="Times New Roman" w:hAnsi="Times New Roman" w:cs="Times New Roman"/>
          <w:szCs w:val="24"/>
        </w:rPr>
        <w:t xml:space="preserve">This perturbation likely affects DOR packing and further suggests that future studies may reveal G190E as DOR-associated resistance mutation in </w:t>
      </w:r>
      <w:r w:rsidR="002449B5">
        <w:rPr>
          <w:rFonts w:ascii="Times New Roman" w:hAnsi="Times New Roman" w:cs="Times New Roman"/>
          <w:i/>
          <w:iCs/>
          <w:szCs w:val="24"/>
        </w:rPr>
        <w:t xml:space="preserve">in vitro </w:t>
      </w:r>
      <w:r w:rsidR="002449B5">
        <w:rPr>
          <w:rFonts w:ascii="Times New Roman" w:hAnsi="Times New Roman" w:cs="Times New Roman"/>
          <w:szCs w:val="24"/>
        </w:rPr>
        <w:t>assays.</w:t>
      </w:r>
    </w:p>
    <w:p w14:paraId="2850E806" w14:textId="311F6B20" w:rsidR="00F53C22" w:rsidRPr="009977AB" w:rsidRDefault="008C46C2" w:rsidP="009977AB">
      <w:pPr>
        <w:spacing w:after="240"/>
        <w:rPr>
          <w:rFonts w:ascii="Times New Roman" w:hAnsi="Times New Roman" w:cs="Times New Roman"/>
          <w:szCs w:val="24"/>
        </w:rPr>
      </w:pPr>
      <w:r>
        <w:rPr>
          <w:rFonts w:ascii="Times New Roman" w:hAnsi="Times New Roman" w:cs="Times New Roman"/>
          <w:szCs w:val="24"/>
        </w:rPr>
        <w:t xml:space="preserve">Finally, </w:t>
      </w:r>
      <w:r w:rsidR="00F67DC9">
        <w:rPr>
          <w:rFonts w:ascii="Times New Roman" w:hAnsi="Times New Roman" w:cs="Times New Roman"/>
          <w:szCs w:val="24"/>
        </w:rPr>
        <w:t xml:space="preserve">starting from a large set of MD-derived features and </w:t>
      </w:r>
      <w:r>
        <w:rPr>
          <w:rFonts w:ascii="Times New Roman" w:hAnsi="Times New Roman" w:cs="Times New Roman"/>
          <w:szCs w:val="24"/>
        </w:rPr>
        <w:t>follow</w:t>
      </w:r>
      <w:r w:rsidR="00F67DC9">
        <w:rPr>
          <w:rFonts w:ascii="Times New Roman" w:hAnsi="Times New Roman" w:cs="Times New Roman"/>
          <w:szCs w:val="24"/>
        </w:rPr>
        <w:t>ing</w:t>
      </w:r>
      <w:r>
        <w:rPr>
          <w:rFonts w:ascii="Times New Roman" w:hAnsi="Times New Roman" w:cs="Times New Roman"/>
          <w:szCs w:val="24"/>
        </w:rPr>
        <w:t xml:space="preserve"> a </w:t>
      </w:r>
      <w:r w:rsidR="00F67DC9">
        <w:rPr>
          <w:rFonts w:ascii="Times New Roman" w:hAnsi="Times New Roman" w:cs="Times New Roman"/>
          <w:szCs w:val="24"/>
        </w:rPr>
        <w:t xml:space="preserve">systematic </w:t>
      </w:r>
      <w:r>
        <w:rPr>
          <w:rFonts w:ascii="Times New Roman" w:hAnsi="Times New Roman" w:cs="Times New Roman"/>
          <w:szCs w:val="24"/>
        </w:rPr>
        <w:t>feature selection approach</w:t>
      </w:r>
      <w:r w:rsidR="00F67DC9">
        <w:rPr>
          <w:rFonts w:ascii="Times New Roman" w:hAnsi="Times New Roman" w:cs="Times New Roman"/>
          <w:szCs w:val="24"/>
        </w:rPr>
        <w:t>, we</w:t>
      </w:r>
      <w:r>
        <w:rPr>
          <w:rFonts w:ascii="Times New Roman" w:hAnsi="Times New Roman" w:cs="Times New Roman"/>
          <w:szCs w:val="24"/>
        </w:rPr>
        <w:t xml:space="preserve"> arrive</w:t>
      </w:r>
      <w:r w:rsidR="00F67DC9">
        <w:rPr>
          <w:rFonts w:ascii="Times New Roman" w:hAnsi="Times New Roman" w:cs="Times New Roman"/>
          <w:szCs w:val="24"/>
        </w:rPr>
        <w:t>d</w:t>
      </w:r>
      <w:r>
        <w:rPr>
          <w:rFonts w:ascii="Times New Roman" w:hAnsi="Times New Roman" w:cs="Times New Roman"/>
          <w:szCs w:val="24"/>
        </w:rPr>
        <w:t xml:space="preserve"> at a minimal linear regression model that adequately capture</w:t>
      </w:r>
      <w:r w:rsidR="00F67DC9">
        <w:rPr>
          <w:rFonts w:ascii="Times New Roman" w:hAnsi="Times New Roman" w:cs="Times New Roman"/>
          <w:szCs w:val="24"/>
        </w:rPr>
        <w:t xml:space="preserve">s the available DOR phenotypic landscape in terms of two mechanistically interpretable features: minimum heavy atom distance between DOR-Ser105 and root mean square deviation (RMSD) of DOR backbone atoms from the crystallographic pose. </w:t>
      </w:r>
      <w:r w:rsidR="00F53C22">
        <w:rPr>
          <w:rFonts w:ascii="Times New Roman" w:hAnsi="Times New Roman" w:cs="Times New Roman"/>
          <w:szCs w:val="24"/>
        </w:rPr>
        <w:t>However, the model incorrectly predicts Y181C to have &gt;10x fold-change and shows large confidence intervals</w:t>
      </w:r>
      <w:r w:rsidR="00413EE7">
        <w:rPr>
          <w:rFonts w:ascii="Times New Roman" w:hAnsi="Times New Roman" w:cs="Times New Roman"/>
          <w:szCs w:val="24"/>
        </w:rPr>
        <w:t xml:space="preserve"> for each prediction</w:t>
      </w:r>
      <w:r w:rsidR="00F53C22">
        <w:rPr>
          <w:rFonts w:ascii="Times New Roman" w:hAnsi="Times New Roman" w:cs="Times New Roman"/>
          <w:szCs w:val="24"/>
        </w:rPr>
        <w:t xml:space="preserve"> in bootstrap experiments</w:t>
      </w:r>
      <w:r w:rsidR="00413EE7">
        <w:rPr>
          <w:rFonts w:ascii="Times New Roman" w:hAnsi="Times New Roman" w:cs="Times New Roman"/>
          <w:szCs w:val="24"/>
        </w:rPr>
        <w:t xml:space="preserve"> (Supplementary Table 4)</w:t>
      </w:r>
      <w:r w:rsidR="00F53C22">
        <w:rPr>
          <w:rFonts w:ascii="Times New Roman" w:hAnsi="Times New Roman" w:cs="Times New Roman"/>
          <w:szCs w:val="24"/>
        </w:rPr>
        <w:t>.</w:t>
      </w:r>
      <w:r w:rsidR="00413EE7">
        <w:rPr>
          <w:rFonts w:ascii="Times New Roman" w:hAnsi="Times New Roman" w:cs="Times New Roman"/>
          <w:szCs w:val="24"/>
        </w:rPr>
        <w:t xml:space="preserve"> These limitations are, at least in part, due to limited sample size of the training data and caveats of our MD simulations noted above.</w:t>
      </w:r>
      <w:r w:rsidR="00F53C22">
        <w:rPr>
          <w:rFonts w:ascii="Times New Roman" w:hAnsi="Times New Roman" w:cs="Times New Roman"/>
          <w:szCs w:val="24"/>
        </w:rPr>
        <w:t xml:space="preserve"> Nevertheless,</w:t>
      </w:r>
      <w:r w:rsidR="00413EE7">
        <w:rPr>
          <w:rFonts w:ascii="Times New Roman" w:hAnsi="Times New Roman" w:cs="Times New Roman"/>
          <w:szCs w:val="24"/>
        </w:rPr>
        <w:t xml:space="preserve"> machine learning models of this kind </w:t>
      </w:r>
      <w:r w:rsidR="00F67DC9">
        <w:rPr>
          <w:rFonts w:ascii="Times New Roman" w:hAnsi="Times New Roman" w:cs="Times New Roman"/>
          <w:szCs w:val="24"/>
        </w:rPr>
        <w:t xml:space="preserve">could be used to estimate </w:t>
      </w:r>
      <w:r w:rsidR="00F53C22">
        <w:rPr>
          <w:rFonts w:ascii="Times New Roman" w:hAnsi="Times New Roman" w:cs="Times New Roman"/>
          <w:szCs w:val="24"/>
        </w:rPr>
        <w:t xml:space="preserve">DOR fold-change using </w:t>
      </w:r>
      <w:r w:rsidR="00413EE7">
        <w:rPr>
          <w:rFonts w:ascii="Times New Roman" w:hAnsi="Times New Roman" w:cs="Times New Roman"/>
          <w:szCs w:val="24"/>
        </w:rPr>
        <w:t>MD</w:t>
      </w:r>
      <w:r w:rsidR="00F53C22">
        <w:rPr>
          <w:rFonts w:ascii="Times New Roman" w:hAnsi="Times New Roman" w:cs="Times New Roman"/>
          <w:szCs w:val="24"/>
        </w:rPr>
        <w:t xml:space="preserve"> simulations when the relevant experimental data is unavailable.</w:t>
      </w:r>
    </w:p>
    <w:p w14:paraId="4F9769DD" w14:textId="3EA73E00" w:rsidR="001168E7" w:rsidRDefault="001168E7" w:rsidP="009977AB">
      <w:pPr>
        <w:spacing w:after="240"/>
        <w:rPr>
          <w:rFonts w:ascii="Times New Roman" w:hAnsi="Times New Roman" w:cs="Times New Roman"/>
          <w:b/>
          <w:bCs/>
          <w:sz w:val="28"/>
          <w:szCs w:val="28"/>
        </w:rPr>
      </w:pPr>
      <w:r>
        <w:rPr>
          <w:rFonts w:ascii="Times New Roman" w:hAnsi="Times New Roman" w:cs="Times New Roman"/>
          <w:b/>
          <w:bCs/>
          <w:sz w:val="28"/>
          <w:szCs w:val="28"/>
        </w:rPr>
        <w:t>Methods</w:t>
      </w:r>
    </w:p>
    <w:p w14:paraId="0466EF34" w14:textId="6345C302" w:rsidR="001168E7" w:rsidRPr="00B67051" w:rsidRDefault="001168E7" w:rsidP="001168E7">
      <w:pPr>
        <w:rPr>
          <w:rFonts w:ascii="Times New Roman" w:hAnsi="Times New Roman" w:cs="Times New Roman"/>
          <w:b/>
          <w:bCs/>
          <w:szCs w:val="24"/>
          <w:u w:val="single"/>
        </w:rPr>
      </w:pPr>
      <w:r>
        <w:rPr>
          <w:rFonts w:ascii="Times New Roman" w:hAnsi="Times New Roman" w:cs="Times New Roman"/>
          <w:b/>
          <w:bCs/>
          <w:szCs w:val="24"/>
          <w:u w:val="single"/>
        </w:rPr>
        <w:t>Structure Preparation and mutation modeling</w:t>
      </w:r>
    </w:p>
    <w:p w14:paraId="6CC17687" w14:textId="6DC87B24" w:rsidR="007B0373" w:rsidRDefault="001168E7" w:rsidP="009977AB">
      <w:pPr>
        <w:spacing w:after="240"/>
        <w:rPr>
          <w:rFonts w:ascii="Times New Roman" w:hAnsi="Times New Roman" w:cs="Times New Roman"/>
          <w:szCs w:val="24"/>
        </w:rPr>
      </w:pPr>
      <w:r w:rsidRPr="001168E7">
        <w:rPr>
          <w:rFonts w:ascii="Times New Roman" w:hAnsi="Times New Roman" w:cs="Times New Roman"/>
          <w:szCs w:val="24"/>
        </w:rPr>
        <w:t xml:space="preserve">The starting </w:t>
      </w:r>
      <w:proofErr w:type="spellStart"/>
      <w:r w:rsidRPr="001168E7">
        <w:rPr>
          <w:rFonts w:ascii="Times New Roman" w:hAnsi="Times New Roman" w:cs="Times New Roman"/>
          <w:szCs w:val="24"/>
        </w:rPr>
        <w:t>holo</w:t>
      </w:r>
      <w:proofErr w:type="spellEnd"/>
      <w:r w:rsidRPr="001168E7">
        <w:rPr>
          <w:rFonts w:ascii="Times New Roman" w:hAnsi="Times New Roman" w:cs="Times New Roman"/>
          <w:szCs w:val="24"/>
        </w:rPr>
        <w:t xml:space="preserve"> structure was the crystal structure of HIV-1 RT bound to doravirine (DOR; PDB ligand residue 2KW) from PDB 4NCG</w:t>
      </w:r>
      <w:r>
        <w:rPr>
          <w:rFonts w:ascii="Times New Roman" w:hAnsi="Times New Roman" w:cs="Times New Roman"/>
          <w:szCs w:val="24"/>
        </w:rPr>
        <w:t xml:space="preserve"> (</w:t>
      </w:r>
      <w:hyperlink r:id="rId19" w:history="1">
        <w:r w:rsidRPr="007A15E0">
          <w:rPr>
            <w:rStyle w:val="Hyperlink"/>
            <w:rFonts w:ascii="Times New Roman" w:hAnsi="Times New Roman" w:cs="Times New Roman"/>
            <w:szCs w:val="24"/>
          </w:rPr>
          <w:t>https://www.rcsb.org/structure/4NCG</w:t>
        </w:r>
      </w:hyperlink>
      <w:r>
        <w:rPr>
          <w:rFonts w:ascii="Times New Roman" w:hAnsi="Times New Roman" w:cs="Times New Roman"/>
          <w:szCs w:val="24"/>
        </w:rPr>
        <w:t>)</w:t>
      </w:r>
      <w:r w:rsidRPr="001168E7">
        <w:rPr>
          <w:rFonts w:ascii="Times New Roman" w:hAnsi="Times New Roman" w:cs="Times New Roman"/>
          <w:szCs w:val="24"/>
        </w:rPr>
        <w:t>.</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14</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Mutant complexes were generated from the WT RT-DOR structure by introducing the selected p66 substitutions </w:t>
      </w:r>
      <w:r w:rsidRPr="00884DAF">
        <w:rPr>
          <w:rFonts w:ascii="Times New Roman" w:hAnsi="Times New Roman" w:cs="Times New Roman"/>
          <w:i/>
          <w:iCs/>
          <w:szCs w:val="24"/>
        </w:rPr>
        <w:t>in silico</w:t>
      </w:r>
      <w:r w:rsidRPr="001168E7">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w:t>
      </w:r>
      <w:r w:rsidR="00884DAF">
        <w:rPr>
          <w:rFonts w:ascii="Times New Roman" w:hAnsi="Times New Roman" w:cs="Times New Roman"/>
          <w:szCs w:val="24"/>
        </w:rPr>
        <w:t xml:space="preserve"> (</w:t>
      </w:r>
      <w:hyperlink r:id="rId20" w:history="1">
        <w:r w:rsidR="00884DAF" w:rsidRPr="007A15E0">
          <w:rPr>
            <w:rStyle w:val="Hyperlink"/>
            <w:rFonts w:ascii="Times New Roman" w:hAnsi="Times New Roman" w:cs="Times New Roman"/>
            <w:szCs w:val="24"/>
          </w:rPr>
          <w:t>https://pubchem.ncbi.nlm.nih.gov/compound/Doravirine</w:t>
        </w:r>
      </w:hyperlink>
      <w:r w:rsidR="00884DAF">
        <w:rPr>
          <w:rFonts w:ascii="Times New Roman" w:hAnsi="Times New Roman" w:cs="Times New Roman"/>
          <w:szCs w:val="24"/>
        </w:rPr>
        <w:t>)</w:t>
      </w:r>
      <w:r w:rsidRPr="001168E7">
        <w:rPr>
          <w:rFonts w:ascii="Times New Roman" w:hAnsi="Times New Roman" w:cs="Times New Roman"/>
          <w:szCs w:val="24"/>
        </w:rPr>
        <w:t xml:space="preserve"> and rigidly aligned to the crystallographic ligand heavy atoms by least-squares superposition using the </w:t>
      </w:r>
      <w:proofErr w:type="spellStart"/>
      <w:r w:rsidRPr="001168E7">
        <w:rPr>
          <w:rFonts w:ascii="Times New Roman" w:hAnsi="Times New Roman" w:cs="Times New Roman"/>
          <w:szCs w:val="24"/>
        </w:rPr>
        <w:t>Kabsch</w:t>
      </w:r>
      <w:proofErr w:type="spellEnd"/>
      <w:r w:rsidRPr="001168E7">
        <w:rPr>
          <w:rFonts w:ascii="Times New Roman" w:hAnsi="Times New Roman" w:cs="Times New Roman"/>
          <w:szCs w:val="24"/>
        </w:rPr>
        <w:t xml:space="preserve"> algorithm.</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35</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593A9EE4" w14:textId="6676850F" w:rsidR="001168E7" w:rsidRDefault="00884DAF" w:rsidP="00D27076">
      <w:pPr>
        <w:rPr>
          <w:rFonts w:ascii="Times New Roman" w:hAnsi="Times New Roman" w:cs="Times New Roman"/>
          <w:szCs w:val="24"/>
        </w:rPr>
      </w:pPr>
      <w:r w:rsidRPr="00884DAF">
        <w:rPr>
          <w:rFonts w:ascii="Times New Roman" w:hAnsi="Times New Roman" w:cs="Times New Roman"/>
          <w:b/>
          <w:bCs/>
          <w:szCs w:val="24"/>
          <w:u w:val="single"/>
        </w:rPr>
        <w:t>Molecular dynamics simulations</w:t>
      </w:r>
    </w:p>
    <w:p w14:paraId="042B0E29" w14:textId="6BD102BD"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All MD simulations were performed with OpenMM.</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Pr>
          <w:rFonts w:ascii="Times New Roman" w:hAnsi="Times New Roman" w:cs="Times New Roman"/>
          <w:szCs w:val="24"/>
        </w:rPr>
        <w:fldChar w:fldCharType="separate"/>
      </w:r>
      <w:r w:rsidRPr="00884DAF">
        <w:rPr>
          <w:rFonts w:ascii="Times New Roman" w:eastAsiaTheme="minorHAnsi" w:hAnsi="Times New Roman" w:cs="Times New Roman"/>
          <w:szCs w:val="24"/>
          <w:vertAlign w:val="superscript"/>
        </w:rPr>
        <w:t>36</w:t>
      </w:r>
      <w:r>
        <w:rPr>
          <w:rFonts w:ascii="Times New Roman" w:hAnsi="Times New Roman" w:cs="Times New Roman"/>
          <w:szCs w:val="24"/>
        </w:rPr>
        <w:fldChar w:fldCharType="end"/>
      </w:r>
      <w:r w:rsidRPr="00884DAF">
        <w:rPr>
          <w:rFonts w:ascii="Times New Roman" w:hAnsi="Times New Roman" w:cs="Times New Roman"/>
          <w:szCs w:val="24"/>
        </w:rPr>
        <w:t xml:space="preserve"> Protein and nucleic-acid parameters were assigned from the Amber14 </w:t>
      </w:r>
      <w:proofErr w:type="spellStart"/>
      <w:r w:rsidRPr="00884DAF">
        <w:rPr>
          <w:rFonts w:ascii="Times New Roman" w:hAnsi="Times New Roman" w:cs="Times New Roman"/>
          <w:szCs w:val="24"/>
        </w:rPr>
        <w:t>OpenMM</w:t>
      </w:r>
      <w:proofErr w:type="spellEnd"/>
      <w:r w:rsidRPr="00884DAF">
        <w:rPr>
          <w:rFonts w:ascii="Times New Roman" w:hAnsi="Times New Roman" w:cs="Times New Roman"/>
          <w:szCs w:val="24"/>
        </w:rPr>
        <w:t xml:space="preserve"> force-field files, using ff14SB for protein,</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37</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bsc1 for DNA,</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{"citationID":"2ulRPWUZ","properties":{"unsorted":false,"formattedCitation":"\\super 38\\nosupersub{}","plainCitation":"38","noteIndex":0},"citationItems":[{"id":229,"uris":["http://zotero.org/users/19404620/items/YTBAPMJV"],"itemData":{"id":229,"type":"article-journal","abstract":"Parmbsc1,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38</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and TIP3P water.</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{"citationID":"boT0ZgCs","properties":{"unsorted":false,"formattedCitation":"\\super 39\\nosupersub{}","plainCitation":"39","noteIndex":0},"citationItems":[{"id":231,"uris":["http://zotero.org/users/19404620/items/6F4CWEFZ"],"itemData":{"id":231,"type":"article-journal","abstract":"Classical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39</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DOR parameters were generated through the </w:t>
      </w:r>
      <w:proofErr w:type="spellStart"/>
      <w:r w:rsidRPr="00884DAF">
        <w:rPr>
          <w:rFonts w:ascii="Times New Roman" w:hAnsi="Times New Roman" w:cs="Times New Roman"/>
          <w:szCs w:val="24"/>
        </w:rPr>
        <w:t>OpenFF</w:t>
      </w:r>
      <w:proofErr w:type="spellEnd"/>
      <w:r w:rsidRPr="00884DAF">
        <w:rPr>
          <w:rFonts w:ascii="Times New Roman" w:hAnsi="Times New Roman" w:cs="Times New Roman"/>
          <w:szCs w:val="24"/>
        </w:rPr>
        <w:t>/SMIRNOFF template generator using direct chemical perception,</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{"citationID":"UnebaBif","properties":{"unsorted":false,"formattedCitation":"\\super 40\\nosupersub{}","plainCitation":"40","noteIndex":0},"citationItems":[{"id":233,"uris":["http://zotero.org/users/19404620/items/E6BDSEJC"],"itemData":{"id":233,"type":"article-journal","abstract":"Traditional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A23B47">
        <w:rPr>
          <w:rFonts w:ascii="Cambria Math" w:hAnsi="Cambria Math" w:cs="Cambria Math"/>
          <w:szCs w:val="24"/>
        </w:rPr>
        <w:instrText>∼</w:instrText>
      </w:r>
      <w:r w:rsidR="00A23B47">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40</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with Gasteiger partial charges.</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{"citationID":"eGQafwOT","properties":{"unsorted":false,"formattedCitation":"\\super 41\\nosupersub{}","plainCitation":"41","noteIndex":0},"citationItems":[{"id":235,"uris":["http://zotero.org/users/19404620/items/TBIEN3LN"],"itemData":{"id":235,"type":"article-journal","abstract":"A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41</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Each complex was solvated in a TIP3P periodic box with 1.0 nm padding and neutralized at 0.15 M </w:t>
      </w:r>
      <w:r w:rsidRPr="00884DAF">
        <w:rPr>
          <w:rFonts w:ascii="Times New Roman" w:hAnsi="Times New Roman" w:cs="Times New Roman"/>
          <w:szCs w:val="24"/>
        </w:rPr>
        <w:lastRenderedPageBreak/>
        <w:t>ionic strength. Nonbonded interactions used particle-mesh Ewald electrostatics</w:t>
      </w:r>
      <w:r w:rsidR="00405EDD">
        <w:rPr>
          <w:rFonts w:ascii="Times New Roman" w:hAnsi="Times New Roman" w:cs="Times New Roman"/>
          <w:szCs w:val="24"/>
        </w:rPr>
        <w:fldChar w:fldCharType="begin"/>
      </w:r>
      <w:r w:rsidR="00405EDD">
        <w:rPr>
          <w:rFonts w:ascii="Times New Roman" w:hAnsi="Times New Roman" w:cs="Times New Roman"/>
          <w:szCs w:val="24"/>
        </w:rPr>
        <w:instrText xml:space="preserve"> ADDIN ZOTERO_ITEM CSL_CITATION {"citationID":"R2wUPQOt","properties":{"unsorted":false,"formattedCitation":"\\super 42\\nosupersub{}","plainCitation":"42","noteIndex":0},"citationItems":[{"id":237,"uris":["http://zotero.org/users/19404620/items/JJF3VIYX"],"itemData":{"id":237,"type":"article-journal","abstract":"An N</w:instrText>
      </w:r>
      <w:r w:rsidR="00405EDD">
        <w:rPr>
          <w:rFonts w:ascii="Cambria Math" w:hAnsi="Cambria Math" w:cs="Cambria Math"/>
          <w:szCs w:val="24"/>
        </w:rPr>
        <w:instrText>⋅</w:instrText>
      </w:r>
      <w:r w:rsidR="00405EDD">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405EDD">
        <w:rPr>
          <w:rFonts w:ascii="Cambria Math" w:hAnsi="Cambria Math" w:cs="Cambria Math"/>
          <w:szCs w:val="24"/>
        </w:rPr>
        <w:instrText>⋅</w:instrText>
      </w:r>
      <w:r w:rsidR="00405EDD">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05EDD">
        <w:rPr>
          <w:rFonts w:ascii="Times New Roman" w:hAnsi="Times New Roman" w:cs="Times New Roman"/>
          <w:szCs w:val="24"/>
        </w:rPr>
        <w:fldChar w:fldCharType="separate"/>
      </w:r>
      <w:r w:rsidR="00405EDD" w:rsidRPr="00405EDD">
        <w:rPr>
          <w:rFonts w:ascii="Times New Roman" w:eastAsiaTheme="minorHAnsi" w:hAnsi="Times New Roman" w:cs="Times New Roman"/>
          <w:szCs w:val="24"/>
          <w:vertAlign w:val="superscript"/>
        </w:rPr>
        <w:t>42</w:t>
      </w:r>
      <w:r w:rsidR="00405EDD">
        <w:rPr>
          <w:rFonts w:ascii="Times New Roman" w:hAnsi="Times New Roman" w:cs="Times New Roman"/>
          <w:szCs w:val="24"/>
        </w:rPr>
        <w:fldChar w:fldCharType="end"/>
      </w:r>
      <w:r w:rsidRPr="00884DAF">
        <w:rPr>
          <w:rFonts w:ascii="Times New Roman" w:hAnsi="Times New Roman" w:cs="Times New Roman"/>
          <w:szCs w:val="24"/>
        </w:rPr>
        <w:t xml:space="preserve"> with a 1.0 nm cutoff, and bonds to hydrogen atoms were constrained.</w:t>
      </w:r>
    </w:p>
    <w:p w14:paraId="40A0A7A1" w14:textId="02CAE0E3"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Each WT or mutant complex was simulated in three independent 100 ns production replicates. Systems underwent a short pre-production minimization of the solvated system, followed by staged Cα-restrained minimization (1,000 iterations at 50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1,000 iterations at 10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xml:space="preserve">, and 5,000 unrestrained iterations). Systems were then heated from 10 K to 300 K over 25 </w:t>
      </w:r>
      <w:proofErr w:type="spellStart"/>
      <w:r w:rsidRPr="00884DAF">
        <w:rPr>
          <w:rFonts w:ascii="Times New Roman" w:hAnsi="Times New Roman" w:cs="Times New Roman"/>
          <w:szCs w:val="24"/>
        </w:rPr>
        <w:t>ps</w:t>
      </w:r>
      <w:proofErr w:type="spellEnd"/>
      <w:r w:rsidRPr="00884DAF">
        <w:rPr>
          <w:rFonts w:ascii="Times New Roman" w:hAnsi="Times New Roman" w:cs="Times New Roman"/>
          <w:szCs w:val="24"/>
        </w:rPr>
        <w:t xml:space="preserve"> under NVT conditions. Production simulations were run at 300 K and 1 bar using the Langevin middle integrator, a 2 fs timestep, 1 ps</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friction coefficient, and a Monte Carlo </w:t>
      </w:r>
      <w:proofErr w:type="spellStart"/>
      <w:r w:rsidRPr="00884DAF">
        <w:rPr>
          <w:rFonts w:ascii="Times New Roman" w:hAnsi="Times New Roman" w:cs="Times New Roman"/>
          <w:szCs w:val="24"/>
        </w:rPr>
        <w:t>barostat</w:t>
      </w:r>
      <w:proofErr w:type="spellEnd"/>
      <w:r w:rsidRPr="00884DAF">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411E4248" w14:textId="6444AB39" w:rsidR="00884DAF" w:rsidRDefault="00405EDD" w:rsidP="00D27076">
      <w:pPr>
        <w:rPr>
          <w:rFonts w:ascii="Times New Roman" w:hAnsi="Times New Roman" w:cs="Times New Roman"/>
          <w:szCs w:val="24"/>
        </w:rPr>
      </w:pPr>
      <w:r w:rsidRPr="00405EDD">
        <w:rPr>
          <w:rFonts w:ascii="Times New Roman" w:hAnsi="Times New Roman" w:cs="Times New Roman"/>
          <w:b/>
          <w:bCs/>
          <w:szCs w:val="24"/>
          <w:u w:val="single"/>
        </w:rPr>
        <w:t>Trajectory processing and structural features</w:t>
      </w:r>
    </w:p>
    <w:p w14:paraId="2C9FAC92" w14:textId="245C6947" w:rsidR="00884DAF" w:rsidRDefault="00405EDD" w:rsidP="009977AB">
      <w:pPr>
        <w:spacing w:after="240"/>
        <w:rPr>
          <w:rFonts w:ascii="Times New Roman" w:hAnsi="Times New Roman" w:cs="Times New Roman"/>
          <w:szCs w:val="24"/>
        </w:rPr>
      </w:pPr>
      <w:r w:rsidRPr="00405EDD">
        <w:rPr>
          <w:rFonts w:ascii="Times New Roman" w:hAnsi="Times New Roman" w:cs="Times New Roman"/>
          <w:szCs w:val="24"/>
        </w:rPr>
        <w:t>Trajectory analyses were performed with MDAnalysis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{"citationID":"dulF9I72","properties":{"unsorted":false,"formattedCitation":"\\super 43\\nosupersub{}","plainCitation":"43","noteIndex":0},"citationItems":[{"id":240,"uris":["http://zotero.org/users/19404620/items/RPEHK5MV"],"itemData":{"id":240,"type":"article-journal","abstract":"MDAnalysis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43</w:t>
      </w:r>
      <w:r>
        <w:rPr>
          <w:rFonts w:ascii="Times New Roman" w:hAnsi="Times New Roman" w:cs="Times New Roman"/>
          <w:szCs w:val="24"/>
        </w:rPr>
        <w:fldChar w:fldCharType="end"/>
      </w:r>
      <w:r w:rsidRPr="00405EDD">
        <w:rPr>
          <w:rFonts w:ascii="Times New Roman" w:hAnsi="Times New Roman" w:cs="Times New Roman"/>
          <w:szCs w:val="24"/>
        </w:rPr>
        <w:t xml:space="preserve"> and MDTraj.</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{"citationID":"MBYMA91P","properties":{"unsorted":false,"formattedCitation":"\\super 44\\nosupersub{}","plainCitation":"44","noteIndex":0},"citationItems":[{"id":243,"uris":["http://zotero.org/users/19404620/items/RFZX7FL3"],"itemData":{"id":243,"type":"article-journal","container-title":"Biophysical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44</w:t>
      </w:r>
      <w:r>
        <w:rPr>
          <w:rFonts w:ascii="Times New Roman" w:hAnsi="Times New Roman" w:cs="Times New Roman"/>
          <w:szCs w:val="24"/>
        </w:rPr>
        <w:fldChar w:fldCharType="end"/>
      </w:r>
      <w:r w:rsidRPr="00405EDD">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4NCG reference using Cα atoms. DOR pose RMSD was computed after protein-pocket alignment from DOR heavy atoms relative to the crystallographic pose. Residue-DOR proximity features were computed as the minimum heavy-atom distance between DOR and each specified RT residue in each analyzed frame. </w:t>
      </w:r>
    </w:p>
    <w:p w14:paraId="2595AFAA" w14:textId="56A5803F" w:rsidR="00405EDD" w:rsidRPr="00405EDD" w:rsidRDefault="00405EDD" w:rsidP="00D27076">
      <w:pPr>
        <w:rPr>
          <w:rFonts w:ascii="Times New Roman" w:hAnsi="Times New Roman" w:cs="Times New Roman"/>
          <w:b/>
          <w:bCs/>
          <w:szCs w:val="24"/>
          <w:u w:val="single"/>
        </w:rPr>
      </w:pPr>
      <w:r w:rsidRPr="00405EDD">
        <w:rPr>
          <w:rFonts w:ascii="Times New Roman" w:hAnsi="Times New Roman" w:cs="Times New Roman"/>
          <w:b/>
          <w:bCs/>
          <w:szCs w:val="24"/>
          <w:u w:val="single"/>
        </w:rPr>
        <w:t>MM/GBSA binding-energy analysis</w:t>
      </w:r>
    </w:p>
    <w:p w14:paraId="093FA1D5" w14:textId="30DE6E6A" w:rsidR="00405EDD" w:rsidRDefault="00405EDD" w:rsidP="009977AB">
      <w:pPr>
        <w:spacing w:after="240"/>
        <w:rPr>
          <w:rFonts w:ascii="Times New Roman" w:hAnsi="Times New Roman" w:cs="Times New Roman"/>
          <w:szCs w:val="24"/>
        </w:rPr>
      </w:pPr>
      <w:r w:rsidRPr="00405EDD">
        <w:rPr>
          <w:rFonts w:ascii="Times New Roman" w:hAnsi="Times New Roman" w:cs="Times New Roman"/>
          <w:szCs w:val="24"/>
        </w:rPr>
        <w:t>For each replicate trajectory, MM/GBSA-style binding-energy components were computed from solute-only snapshots of the explicit-solvent simulations.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{"citationID":"wtMETtvS","properties":{"unsorted":false,"formattedCitation":"\\super 45\\nosupersub{}","plainCitation":"45","noteIndex":0},"citationItems":[{"id":246,"uris":["http://zotero.org/users/19404620/items/PXXKNW8K"],"itemData":{"id":246,"type":"article-journal","abstract":"Significant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45</w:t>
      </w:r>
      <w:r>
        <w:rPr>
          <w:rFonts w:ascii="Times New Roman" w:hAnsi="Times New Roman" w:cs="Times New Roman"/>
          <w:szCs w:val="24"/>
        </w:rPr>
        <w:fldChar w:fldCharType="end"/>
      </w:r>
      <w:r w:rsidRPr="00405EDD">
        <w:rPr>
          <w:rFonts w:ascii="Times New Roman" w:hAnsi="Times New Roman" w:cs="Times New Roman"/>
          <w:szCs w:val="24"/>
        </w:rPr>
        <w:t xml:space="preserve"> The analysis used the same molecular-mechanics parameters as the production simulations</w:t>
      </w:r>
      <w:r>
        <w:rPr>
          <w:rFonts w:ascii="Times New Roman" w:hAnsi="Times New Roman" w:cs="Times New Roman"/>
          <w:szCs w:val="24"/>
        </w:rPr>
        <w:t>. We</w:t>
      </w:r>
      <w:r w:rsidRPr="00405EDD">
        <w:rPr>
          <w:rFonts w:ascii="Times New Roman" w:hAnsi="Times New Roman" w:cs="Times New Roman"/>
          <w:szCs w:val="24"/>
        </w:rPr>
        <w:t xml:space="preserve"> evaluated complex, receptor, and ligand energies separately, and computed binding components as</w:t>
      </w:r>
      <w:r>
        <w:rPr>
          <w:rFonts w:ascii="Times New Roman" w:hAnsi="Times New Roman" w:cs="Times New Roman"/>
          <w:szCs w:val="24"/>
        </w:rPr>
        <w:t xml:space="preserve"> ∆G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complex</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receptor</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ligand</w:t>
      </w:r>
      <w:proofErr w:type="spellEnd"/>
      <w:r w:rsidRPr="00405EDD">
        <w:rPr>
          <w:rFonts w:ascii="Times New Roman" w:hAnsi="Times New Roman" w:cs="Times New Roman"/>
          <w:szCs w:val="24"/>
        </w:rPr>
        <w:t xml:space="preserve">. Van der Waals and electrostatic molecular-mechanics terms were evaluated separately by selectively zeroing the complementary nonbonded parameters. Polar solvation was computed with the </w:t>
      </w:r>
      <w:proofErr w:type="spellStart"/>
      <w:r w:rsidRPr="00405EDD">
        <w:rPr>
          <w:rFonts w:ascii="Times New Roman" w:hAnsi="Times New Roman" w:cs="Times New Roman"/>
          <w:szCs w:val="24"/>
        </w:rPr>
        <w:t>Onufriev</w:t>
      </w:r>
      <w:proofErr w:type="spellEnd"/>
      <w:r w:rsidRPr="00405EDD">
        <w:rPr>
          <w:rFonts w:ascii="Times New Roman" w:hAnsi="Times New Roman" w:cs="Times New Roman"/>
          <w:szCs w:val="24"/>
        </w:rPr>
        <w:t>-Bashford-Case generalized Born model,</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{"citationID":"zMKShQIN","properties":{"unsorted":false,"formattedCitation":"\\super 46\\nosupersub{}","plainCitation":"46","noteIndex":0},"citationItems":[{"id":248,"uris":["http://zotero.org/users/19404620/items/NR457Q7X"],"itemData":{"id":248,"type":"article-journal","abstract":"Implicit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Pr>
          <w:rFonts w:ascii="Cambria Math" w:hAnsi="Cambria Math" w:cs="Cambria Math"/>
          <w:szCs w:val="24"/>
        </w:rPr>
        <w:instrText>∼</w:instrText>
      </w:r>
      <w:r>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46</w:t>
      </w:r>
      <w:r>
        <w:rPr>
          <w:rFonts w:ascii="Times New Roman" w:hAnsi="Times New Roman" w:cs="Times New Roman"/>
          <w:szCs w:val="24"/>
        </w:rPr>
        <w:fldChar w:fldCharType="end"/>
      </w:r>
      <w:r w:rsidRPr="00405EDD">
        <w:rPr>
          <w:rFonts w:ascii="Times New Roman" w:hAnsi="Times New Roman" w:cs="Times New Roman"/>
          <w:szCs w:val="24"/>
        </w:rPr>
        <w:t xml:space="preserve"> and the nonpolar surface-area term was computed from the GBSA surface-area contribution. Hydrogen atoms were locally relaxed before energy evaluation while non-hydrogen atoms were restrained to their MD coordinates. The main manuscript reports replicate means from the final 20 saved frames of each trajectory, corresponding to approximately the final 10 ns. WT-referenced shifts were calculated replicate-wise as</w:t>
      </w:r>
      <w:r w:rsidR="009C1E5B">
        <w:rPr>
          <w:rFonts w:ascii="Times New Roman" w:hAnsi="Times New Roman" w:cs="Times New Roman"/>
          <w:szCs w:val="24"/>
        </w:rPr>
        <w:t xml:space="preserve"> ∆∆G</w:t>
      </w:r>
      <w:r w:rsidRPr="00405EDD">
        <w:rPr>
          <w:rFonts w:ascii="Times New Roman" w:hAnsi="Times New Roman" w:cs="Times New Roman"/>
          <w:szCs w:val="24"/>
        </w:rPr>
        <w:t xml:space="preserve"> </w:t>
      </w:r>
      <w:r w:rsidR="009C1E5B">
        <w:rPr>
          <w:rFonts w:ascii="Times New Roman" w:hAnsi="Times New Roman" w:cs="Times New Roman"/>
          <w:szCs w:val="24"/>
        </w:rPr>
        <w:t>= ∆</w:t>
      </w:r>
      <w:proofErr w:type="spellStart"/>
      <w:r w:rsidR="009C1E5B">
        <w:rPr>
          <w:rFonts w:ascii="Times New Roman" w:hAnsi="Times New Roman" w:cs="Times New Roman"/>
          <w:szCs w:val="24"/>
        </w:rPr>
        <w:t>G</w:t>
      </w:r>
      <w:r w:rsidR="009C1E5B">
        <w:rPr>
          <w:rFonts w:ascii="Times New Roman" w:hAnsi="Times New Roman" w:cs="Times New Roman"/>
          <w:szCs w:val="24"/>
          <w:vertAlign w:val="subscript"/>
        </w:rPr>
        <w:t>M</w:t>
      </w:r>
      <w:r w:rsidRPr="009C1E5B">
        <w:rPr>
          <w:rFonts w:ascii="Times New Roman" w:hAnsi="Times New Roman" w:cs="Times New Roman"/>
          <w:szCs w:val="24"/>
          <w:vertAlign w:val="subscript"/>
        </w:rPr>
        <w:t>ut</w:t>
      </w:r>
      <w:proofErr w:type="spellEnd"/>
      <w:r w:rsidRPr="00405EDD">
        <w:rPr>
          <w:rFonts w:ascii="Times New Roman" w:hAnsi="Times New Roman" w:cs="Times New Roman"/>
          <w:szCs w:val="24"/>
        </w:rPr>
        <w:t xml:space="preserve"> </w:t>
      </w:r>
      <w:r w:rsidR="009C1E5B">
        <w:rPr>
          <w:rFonts w:ascii="Times New Roman" w:hAnsi="Times New Roman" w:cs="Times New Roman"/>
          <w:szCs w:val="24"/>
        </w:rPr>
        <w:t>-</w:t>
      </w:r>
      <w:r w:rsidRPr="00405EDD">
        <w:rPr>
          <w:rFonts w:ascii="Times New Roman" w:hAnsi="Times New Roman" w:cs="Times New Roman"/>
          <w:szCs w:val="24"/>
        </w:rPr>
        <w:t xml:space="preserve"> </w:t>
      </w:r>
      <w:r w:rsidR="009C1E5B">
        <w:rPr>
          <w:rFonts w:ascii="Times New Roman" w:hAnsi="Times New Roman" w:cs="Times New Roman"/>
          <w:szCs w:val="24"/>
        </w:rPr>
        <w:t>∆G</w:t>
      </w:r>
      <w:r w:rsidRPr="009C1E5B">
        <w:rPr>
          <w:rFonts w:ascii="Times New Roman" w:hAnsi="Times New Roman" w:cs="Times New Roman"/>
          <w:szCs w:val="24"/>
          <w:vertAlign w:val="subscript"/>
        </w:rPr>
        <w:t>WT</w:t>
      </w:r>
      <w:r w:rsidRPr="00405EDD">
        <w:rPr>
          <w:rFonts w:ascii="Times New Roman" w:hAnsi="Times New Roman" w:cs="Times New Roman"/>
          <w:szCs w:val="24"/>
        </w:rPr>
        <w:t xml:space="preserve"> for total MM/GBSA energy and for van der Waals, electrostatic, GB polar-solvation, and nonpolar surface-area components. Positive ΔΔG values were interpreted as relative destabilization of the bound RT-DOR complex.</w:t>
      </w:r>
    </w:p>
    <w:p w14:paraId="0AB1EB59" w14:textId="59F87020" w:rsidR="00F17BA1" w:rsidRPr="00405EDD" w:rsidRDefault="00F17BA1" w:rsidP="00F17BA1">
      <w:pPr>
        <w:rPr>
          <w:rFonts w:ascii="Times New Roman" w:hAnsi="Times New Roman" w:cs="Times New Roman"/>
          <w:b/>
          <w:bCs/>
          <w:szCs w:val="24"/>
          <w:u w:val="single"/>
        </w:rPr>
      </w:pPr>
      <w:r w:rsidRPr="00F17BA1">
        <w:rPr>
          <w:rFonts w:ascii="Times New Roman" w:hAnsi="Times New Roman" w:cs="Times New Roman"/>
          <w:b/>
          <w:bCs/>
          <w:szCs w:val="24"/>
          <w:u w:val="single"/>
        </w:rPr>
        <w:t>Contact occupancy analysis</w:t>
      </w:r>
    </w:p>
    <w:p w14:paraId="2A65C43A" w14:textId="4413E681" w:rsidR="00F17BA1" w:rsidRDefault="00F17BA1" w:rsidP="009977AB">
      <w:pPr>
        <w:pStyle w:val="NormalWeb"/>
        <w:spacing w:before="0" w:beforeAutospacing="0" w:after="240" w:afterAutospacing="0"/>
      </w:pPr>
      <w:r>
        <w:t xml:space="preserve">Residue-level DOR contact occupancy was quantified from the 100 ns production trajectories using a 4.0 Å heavy-atom distance cutoff. A residue was considered to contact DOR in a frame if any non-hydrogen atom in that residue was within 4.0 Å of any DOR non-hydrogen atom. Occupancy was defined as the fraction of analyzed frames satisfying this criterion. Contact occupancy was computed per replicate and then averaged by genotype. The WT reference contact set comprised all residues that contacted DOR at least once in any WT trajectory, grouped by the NNRTI-binding-pocket regions shown in Figure 1. For WT-referenced contact </w:t>
      </w:r>
      <w:r>
        <w:lastRenderedPageBreak/>
        <w:t xml:space="preserve">maps, each mutant genotype occupancy was subtracted from the WT mean occupancy for the same residue. </w:t>
      </w:r>
    </w:p>
    <w:p w14:paraId="061C1F9D" w14:textId="020E15DD" w:rsidR="00405EDD" w:rsidRDefault="00F17BA1" w:rsidP="00D27076">
      <w:pPr>
        <w:rPr>
          <w:rFonts w:ascii="Times New Roman" w:hAnsi="Times New Roman" w:cs="Times New Roman"/>
          <w:szCs w:val="24"/>
        </w:rPr>
      </w:pPr>
      <w:r w:rsidRPr="00F17BA1">
        <w:rPr>
          <w:rFonts w:ascii="Times New Roman" w:hAnsi="Times New Roman" w:cs="Times New Roman"/>
          <w:b/>
          <w:bCs/>
          <w:szCs w:val="24"/>
          <w:u w:val="single"/>
        </w:rPr>
        <w:t>Permutation null analysis of occupancy shifts</w:t>
      </w:r>
    </w:p>
    <w:p w14:paraId="5EF7354E" w14:textId="6439A51F" w:rsidR="00405EDD"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estimate the magnitude of occupancy shifts expected by chance under the same screening procedure, an empirical null distribution was generated by trajectory-level label permutation. Mutation labels were permuted across replicate trajectories 10,000 times using a fixed random seed. For each permutation, replicate-level occupancies were aggregated by the permuted genotype labels, WT-referenced shifts were recalculated across the 27 screened residues, and the maximum absolute occupancy shift across the residue-genotype matrix was recorded. Observed reporter-coordinate shifts were compared with the 90th percentile of this global maximum null distribution.</w:t>
      </w:r>
    </w:p>
    <w:p w14:paraId="65389CA0" w14:textId="04FE72C8" w:rsidR="00F17BA1" w:rsidRPr="00F17BA1" w:rsidRDefault="00F17BA1" w:rsidP="00D27076">
      <w:pPr>
        <w:rPr>
          <w:rFonts w:ascii="Times New Roman" w:hAnsi="Times New Roman" w:cs="Times New Roman"/>
          <w:b/>
          <w:bCs/>
          <w:szCs w:val="24"/>
          <w:u w:val="single"/>
        </w:rPr>
      </w:pPr>
      <w:r w:rsidRPr="00F17BA1">
        <w:rPr>
          <w:rFonts w:ascii="Times New Roman" w:hAnsi="Times New Roman" w:cs="Times New Roman"/>
          <w:b/>
          <w:bCs/>
          <w:szCs w:val="24"/>
          <w:u w:val="single"/>
        </w:rPr>
        <w:t>Regression analysis of MD-derived features</w:t>
      </w:r>
    </w:p>
    <w:p w14:paraId="1FE71E34" w14:textId="648708D7" w:rsidR="00F17BA1" w:rsidRPr="00F17BA1"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test whether a compact set of trajectory-derived structural descriptors summarized the phenotypic DOR landscape, regression models were fit to log</w:t>
      </w:r>
      <w:r w:rsidRPr="00F17BA1">
        <w:rPr>
          <w:rFonts w:ascii="Times New Roman" w:hAnsi="Times New Roman" w:cs="Times New Roman"/>
          <w:szCs w:val="24"/>
          <w:vertAlign w:val="subscript"/>
        </w:rPr>
        <w:t>10</w:t>
      </w:r>
      <w:r w:rsidRPr="00F17BA1">
        <w:rPr>
          <w:rFonts w:ascii="Times New Roman" w:hAnsi="Times New Roman" w:cs="Times New Roman"/>
          <w:szCs w:val="24"/>
        </w:rPr>
        <w:t xml:space="preserve">-transformed DOR fold-change values. Candidate features were derived from replicate-level residue-DOR distances, DOR pose RMSD, and MM/GBSA energy components. Feature-screening analyses used regularized logistic models and greedy feature ablation on WT, </w:t>
      </w:r>
      <w:r>
        <w:rPr>
          <w:rFonts w:ascii="Times New Roman" w:hAnsi="Times New Roman" w:cs="Times New Roman"/>
          <w:szCs w:val="24"/>
        </w:rPr>
        <w:t>susceptible</w:t>
      </w:r>
      <w:r w:rsidRPr="00F17BA1">
        <w:rPr>
          <w:rFonts w:ascii="Times New Roman" w:hAnsi="Times New Roman" w:cs="Times New Roman"/>
          <w:szCs w:val="24"/>
        </w:rPr>
        <w:t xml:space="preserve"> control, and resistant control genotypes to identify mechanistically interpretable variables. The final model used two features: mean Ser105-DOR minimum heavy-atom distance and mean DOR heavy-atom pose RMSD. Genotype-level features were averaged across the three replicates, standardized within the training set, and fit with ordinary least-squares linear regression to log</w:t>
      </w:r>
      <w:r w:rsidRPr="00F17BA1">
        <w:rPr>
          <w:rFonts w:ascii="Times New Roman" w:hAnsi="Times New Roman" w:cs="Times New Roman"/>
          <w:szCs w:val="24"/>
          <w:vertAlign w:val="subscript"/>
        </w:rPr>
        <w:t>10</w:t>
      </w:r>
      <w:r w:rsidRPr="00F17BA1">
        <w:rPr>
          <w:rFonts w:ascii="Times New Roman" w:hAnsi="Times New Roman" w:cs="Times New Roman"/>
          <w:szCs w:val="24"/>
        </w:rPr>
        <w:t xml:space="preserve"> fold-change. Model performance was summarized with R</w:t>
      </w:r>
      <w:r w:rsidRPr="00F17BA1">
        <w:rPr>
          <w:rFonts w:ascii="Times New Roman" w:hAnsi="Times New Roman" w:cs="Times New Roman"/>
          <w:szCs w:val="24"/>
          <w:vertAlign w:val="superscript"/>
        </w:rPr>
        <w:t>2</w:t>
      </w:r>
      <w:r w:rsidRPr="00F17BA1">
        <w:rPr>
          <w:rFonts w:ascii="Times New Roman" w:hAnsi="Times New Roman" w:cs="Times New Roman"/>
          <w:szCs w:val="24"/>
        </w:rPr>
        <w:t>, root-mean-square error</w:t>
      </w:r>
      <w:r>
        <w:rPr>
          <w:rFonts w:ascii="Times New Roman" w:hAnsi="Times New Roman" w:cs="Times New Roman"/>
          <w:szCs w:val="24"/>
        </w:rPr>
        <w:t xml:space="preserve"> (RMSE)</w:t>
      </w:r>
      <w:r w:rsidRPr="00F17BA1">
        <w:rPr>
          <w:rFonts w:ascii="Times New Roman" w:hAnsi="Times New Roman" w:cs="Times New Roman"/>
          <w:szCs w:val="24"/>
        </w:rPr>
        <w:t>, mean absolute error</w:t>
      </w:r>
      <w:r>
        <w:rPr>
          <w:rFonts w:ascii="Times New Roman" w:hAnsi="Times New Roman" w:cs="Times New Roman"/>
          <w:szCs w:val="24"/>
        </w:rPr>
        <w:t xml:space="preserve"> (MAE)</w:t>
      </w:r>
      <w:r w:rsidRPr="00F17BA1">
        <w:rPr>
          <w:rFonts w:ascii="Times New Roman" w:hAnsi="Times New Roman" w:cs="Times New Roman"/>
          <w:szCs w:val="24"/>
        </w:rPr>
        <w:t xml:space="preserve">, and grouped cross-validation by genotype. </w:t>
      </w:r>
      <w:r w:rsidR="00BC11ED">
        <w:rPr>
          <w:rFonts w:ascii="Times New Roman" w:hAnsi="Times New Roman" w:cs="Times New Roman"/>
          <w:szCs w:val="24"/>
        </w:rPr>
        <w:t>s</w:t>
      </w:r>
      <w:r w:rsidRPr="00F17BA1">
        <w:rPr>
          <w:rFonts w:ascii="Times New Roman" w:hAnsi="Times New Roman" w:cs="Times New Roman"/>
          <w:szCs w:val="24"/>
        </w:rPr>
        <w:t xml:space="preserve">cikit-learn and </w:t>
      </w:r>
      <w:proofErr w:type="spellStart"/>
      <w:r w:rsidR="00BC11ED">
        <w:rPr>
          <w:rFonts w:ascii="Times New Roman" w:hAnsi="Times New Roman" w:cs="Times New Roman"/>
          <w:szCs w:val="24"/>
        </w:rPr>
        <w:t>s</w:t>
      </w:r>
      <w:r w:rsidRPr="00F17BA1">
        <w:rPr>
          <w:rFonts w:ascii="Times New Roman" w:hAnsi="Times New Roman" w:cs="Times New Roman"/>
          <w:szCs w:val="24"/>
        </w:rPr>
        <w:t>ci</w:t>
      </w:r>
      <w:r w:rsidR="00BC11ED">
        <w:rPr>
          <w:rFonts w:ascii="Times New Roman" w:hAnsi="Times New Roman" w:cs="Times New Roman"/>
          <w:szCs w:val="24"/>
        </w:rPr>
        <w:t>p</w:t>
      </w:r>
      <w:r w:rsidRPr="00F17BA1">
        <w:rPr>
          <w:rFonts w:ascii="Times New Roman" w:hAnsi="Times New Roman" w:cs="Times New Roman"/>
          <w:szCs w:val="24"/>
        </w:rPr>
        <w:t>y</w:t>
      </w:r>
      <w:proofErr w:type="spellEnd"/>
      <w:r w:rsidRPr="00F17BA1">
        <w:rPr>
          <w:rFonts w:ascii="Times New Roman" w:hAnsi="Times New Roman" w:cs="Times New Roman"/>
          <w:szCs w:val="24"/>
        </w:rPr>
        <w:t xml:space="preserve"> were used for model fitting, statistics, and resampling workflows.</w:t>
      </w:r>
    </w:p>
    <w:p w14:paraId="007E736E" w14:textId="02E8F2AE" w:rsidR="00F17BA1" w:rsidRDefault="00F17BA1" w:rsidP="009977AB">
      <w:pPr>
        <w:spacing w:after="240"/>
        <w:rPr>
          <w:rFonts w:ascii="Times New Roman" w:hAnsi="Times New Roman" w:cs="Times New Roman"/>
          <w:szCs w:val="24"/>
        </w:rPr>
      </w:pPr>
      <w:r w:rsidRPr="00F17BA1">
        <w:rPr>
          <w:rFonts w:ascii="Times New Roman" w:hAnsi="Times New Roman" w:cs="Times New Roman"/>
          <w:szCs w:val="24"/>
        </w:rPr>
        <w:t>Uncertainty in model predictions was estimated by within-genotype bootstrap resampling of replicate-level feature rows. For each of 1,000 bootstrap iterations, replicate rows were sampled with replacement within each genotype, averaged to genotype-level features, standardized, and used to refit the two-feature linear model. The resulting bootstrap distribution of predicted log</w:t>
      </w:r>
      <w:r w:rsidRPr="00BC11ED">
        <w:rPr>
          <w:rFonts w:ascii="Times New Roman" w:hAnsi="Times New Roman" w:cs="Times New Roman"/>
          <w:szCs w:val="24"/>
          <w:vertAlign w:val="subscript"/>
        </w:rPr>
        <w:t>10</w:t>
      </w:r>
      <w:r w:rsidRPr="00F17BA1">
        <w:rPr>
          <w:rFonts w:ascii="Times New Roman" w:hAnsi="Times New Roman" w:cs="Times New Roman"/>
          <w:szCs w:val="24"/>
        </w:rPr>
        <w:t xml:space="preserve"> fold-change values was used to calculate 95% prediction intervals reported in Supplementary Table 4.</w:t>
      </w:r>
    </w:p>
    <w:p w14:paraId="49F3F042" w14:textId="4EF6C501" w:rsidR="00763B1D" w:rsidRPr="00281AB1"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12515258" w14:textId="77777777" w:rsidR="00405EDD" w:rsidRPr="00405EDD" w:rsidRDefault="00763B1D" w:rsidP="00DD7F74">
      <w:pPr>
        <w:pStyle w:val="Bibliography"/>
        <w:spacing w:line="240" w:lineRule="auto"/>
        <w:rPr>
          <w:rFonts w:eastAsiaTheme="minorHAnsi"/>
        </w:rPr>
      </w:pPr>
      <w:r>
        <w:rPr>
          <w:rFonts w:cs="Times New Roman"/>
        </w:rPr>
        <w:fldChar w:fldCharType="begin"/>
      </w:r>
      <w:r w:rsidR="005108E2">
        <w:rPr>
          <w:rFonts w:cs="Times New Roman"/>
        </w:rPr>
        <w:instrText xml:space="preserve"> ADDIN ZOTERO_BIBL {"uncited":[],"omitted":[],"custom":[]} CSL_BIBLIOGRAPHY </w:instrText>
      </w:r>
      <w:r>
        <w:rPr>
          <w:rFonts w:cs="Times New Roman"/>
        </w:rPr>
        <w:fldChar w:fldCharType="separate"/>
      </w:r>
      <w:r w:rsidR="00405EDD" w:rsidRPr="00405EDD">
        <w:rPr>
          <w:rFonts w:eastAsiaTheme="minorHAnsi"/>
        </w:rPr>
        <w:t>1.</w:t>
      </w:r>
      <w:r w:rsidR="00405EDD" w:rsidRPr="00405EDD">
        <w:rPr>
          <w:rFonts w:eastAsiaTheme="minorHAnsi"/>
        </w:rPr>
        <w:tab/>
        <w:t xml:space="preserve">Kohlstaedt, L. A., Wang, J., Friedman, J. M., Rice, P. A. &amp; Steitz, T. A. Crystal Structure at 3.5 Å Resolution of HIV-1 Reverse Transcriptase Complexed with an Inhibitor. </w:t>
      </w:r>
      <w:r w:rsidR="00405EDD" w:rsidRPr="00405EDD">
        <w:rPr>
          <w:rFonts w:eastAsiaTheme="minorHAnsi"/>
          <w:i/>
          <w:iCs/>
        </w:rPr>
        <w:t>Science</w:t>
      </w:r>
      <w:r w:rsidR="00405EDD" w:rsidRPr="00405EDD">
        <w:rPr>
          <w:rFonts w:eastAsiaTheme="minorHAnsi"/>
        </w:rPr>
        <w:t xml:space="preserve"> </w:t>
      </w:r>
      <w:r w:rsidR="00405EDD" w:rsidRPr="00405EDD">
        <w:rPr>
          <w:rFonts w:eastAsiaTheme="minorHAnsi"/>
          <w:b/>
          <w:bCs/>
        </w:rPr>
        <w:t>256</w:t>
      </w:r>
      <w:r w:rsidR="00405EDD" w:rsidRPr="00405EDD">
        <w:rPr>
          <w:rFonts w:eastAsiaTheme="minorHAnsi"/>
        </w:rPr>
        <w:t>, 1783–1790 (1992).</w:t>
      </w:r>
    </w:p>
    <w:p w14:paraId="54D0C426" w14:textId="77777777" w:rsidR="00405EDD" w:rsidRPr="00405EDD" w:rsidRDefault="00405EDD" w:rsidP="00DD7F74">
      <w:pPr>
        <w:pStyle w:val="Bibliography"/>
        <w:spacing w:line="240" w:lineRule="auto"/>
        <w:rPr>
          <w:rFonts w:eastAsiaTheme="minorHAnsi"/>
        </w:rPr>
      </w:pPr>
      <w:r w:rsidRPr="00405EDD">
        <w:rPr>
          <w:rFonts w:eastAsiaTheme="minorHAnsi"/>
        </w:rPr>
        <w:t>2.</w:t>
      </w:r>
      <w:r w:rsidRPr="00405EDD">
        <w:rPr>
          <w:rFonts w:eastAsiaTheme="minorHAnsi"/>
        </w:rPr>
        <w:tab/>
        <w:t xml:space="preserve">Spence, R. A., Kati, W. M., Anderson, K. S. &amp; Johnson, K. A. Mechanism of Inhibition of HIV-1 Reverse Transcriptase by Nonnucleoside Inhibitors. </w:t>
      </w:r>
      <w:r w:rsidRPr="00405EDD">
        <w:rPr>
          <w:rFonts w:eastAsiaTheme="minorHAnsi"/>
          <w:i/>
          <w:iCs/>
        </w:rPr>
        <w:t>Science</w:t>
      </w:r>
      <w:r w:rsidRPr="00405EDD">
        <w:rPr>
          <w:rFonts w:eastAsiaTheme="minorHAnsi"/>
        </w:rPr>
        <w:t xml:space="preserve"> </w:t>
      </w:r>
      <w:r w:rsidRPr="00405EDD">
        <w:rPr>
          <w:rFonts w:eastAsiaTheme="minorHAnsi"/>
          <w:b/>
          <w:bCs/>
        </w:rPr>
        <w:t>267</w:t>
      </w:r>
      <w:r w:rsidRPr="00405EDD">
        <w:rPr>
          <w:rFonts w:eastAsiaTheme="minorHAnsi"/>
        </w:rPr>
        <w:t>, 988–993 (1995).</w:t>
      </w:r>
    </w:p>
    <w:p w14:paraId="6801B8E6" w14:textId="77777777" w:rsidR="00405EDD" w:rsidRPr="00405EDD" w:rsidRDefault="00405EDD" w:rsidP="00DD7F74">
      <w:pPr>
        <w:pStyle w:val="Bibliography"/>
        <w:spacing w:line="240" w:lineRule="auto"/>
        <w:rPr>
          <w:rFonts w:eastAsiaTheme="minorHAnsi"/>
        </w:rPr>
      </w:pPr>
      <w:r w:rsidRPr="00405EDD">
        <w:rPr>
          <w:rFonts w:eastAsiaTheme="minorHAnsi"/>
        </w:rPr>
        <w:t>3.</w:t>
      </w:r>
      <w:r w:rsidRPr="00405EDD">
        <w:rPr>
          <w:rFonts w:eastAsiaTheme="minorHAnsi"/>
        </w:rPr>
        <w:tab/>
        <w:t xml:space="preserve">Rodgers, D. W. </w:t>
      </w:r>
      <w:r w:rsidRPr="00405EDD">
        <w:rPr>
          <w:rFonts w:eastAsiaTheme="minorHAnsi"/>
          <w:i/>
          <w:iCs/>
        </w:rPr>
        <w:t>et al.</w:t>
      </w:r>
      <w:r w:rsidRPr="00405EDD">
        <w:rPr>
          <w:rFonts w:eastAsiaTheme="minorHAnsi"/>
        </w:rPr>
        <w:t xml:space="preserve"> The structure of unliganded reverse transcriptase from the human immunodeficiency virus type 1.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92</w:t>
      </w:r>
      <w:r w:rsidRPr="00405EDD">
        <w:rPr>
          <w:rFonts w:eastAsiaTheme="minorHAnsi"/>
        </w:rPr>
        <w:t>, 1222–1226 (1995).</w:t>
      </w:r>
    </w:p>
    <w:p w14:paraId="251F3A41" w14:textId="77777777" w:rsidR="00405EDD" w:rsidRPr="00405EDD" w:rsidRDefault="00405EDD" w:rsidP="00DD7F74">
      <w:pPr>
        <w:pStyle w:val="Bibliography"/>
        <w:spacing w:line="240" w:lineRule="auto"/>
        <w:rPr>
          <w:rFonts w:eastAsiaTheme="minorHAnsi"/>
        </w:rPr>
      </w:pPr>
      <w:r w:rsidRPr="00405EDD">
        <w:rPr>
          <w:rFonts w:eastAsiaTheme="minorHAnsi"/>
        </w:rPr>
        <w:t>4.</w:t>
      </w:r>
      <w:r w:rsidRPr="00405EDD">
        <w:rPr>
          <w:rFonts w:eastAsiaTheme="minorHAnsi"/>
        </w:rPr>
        <w:tab/>
        <w:t xml:space="preserve">Hsiou, Y. </w:t>
      </w:r>
      <w:r w:rsidRPr="00405EDD">
        <w:rPr>
          <w:rFonts w:eastAsiaTheme="minorHAnsi"/>
          <w:i/>
          <w:iCs/>
        </w:rPr>
        <w:t>et al.</w:t>
      </w:r>
      <w:r w:rsidRPr="00405EDD">
        <w:rPr>
          <w:rFonts w:eastAsiaTheme="minorHAnsi"/>
        </w:rPr>
        <w:t xml:space="preserve"> Structure of unliganded HIV-1 reverse transcriptase at 2.7 å resolution: implications of conformational changes for polymerization and inhibition mechanisms. </w:t>
      </w:r>
      <w:r w:rsidRPr="00405EDD">
        <w:rPr>
          <w:rFonts w:eastAsiaTheme="minorHAnsi"/>
          <w:i/>
          <w:iCs/>
        </w:rPr>
        <w:t>Structure</w:t>
      </w:r>
      <w:r w:rsidRPr="00405EDD">
        <w:rPr>
          <w:rFonts w:eastAsiaTheme="minorHAnsi"/>
        </w:rPr>
        <w:t xml:space="preserve"> </w:t>
      </w:r>
      <w:r w:rsidRPr="00405EDD">
        <w:rPr>
          <w:rFonts w:eastAsiaTheme="minorHAnsi"/>
          <w:b/>
          <w:bCs/>
        </w:rPr>
        <w:t>4</w:t>
      </w:r>
      <w:r w:rsidRPr="00405EDD">
        <w:rPr>
          <w:rFonts w:eastAsiaTheme="minorHAnsi"/>
        </w:rPr>
        <w:t>, 853–860 (1996).</w:t>
      </w:r>
    </w:p>
    <w:p w14:paraId="3A0A9C44"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5.</w:t>
      </w:r>
      <w:r w:rsidRPr="00405EDD">
        <w:rPr>
          <w:rFonts w:eastAsiaTheme="minorHAnsi"/>
        </w:rPr>
        <w:tab/>
        <w:t xml:space="preserve">Arts, E. J. &amp; Hazuda, D. J. HIV-1 Antiretroviral Drug Therapy. </w:t>
      </w:r>
      <w:r w:rsidRPr="00405EDD">
        <w:rPr>
          <w:rFonts w:eastAsiaTheme="minorHAnsi"/>
          <w:i/>
          <w:iCs/>
        </w:rPr>
        <w:t>Cold Spring Harb Perspect Med</w:t>
      </w:r>
      <w:r w:rsidRPr="00405EDD">
        <w:rPr>
          <w:rFonts w:eastAsiaTheme="minorHAnsi"/>
        </w:rPr>
        <w:t xml:space="preserve"> </w:t>
      </w:r>
      <w:r w:rsidRPr="00405EDD">
        <w:rPr>
          <w:rFonts w:eastAsiaTheme="minorHAnsi"/>
          <w:b/>
          <w:bCs/>
        </w:rPr>
        <w:t>2</w:t>
      </w:r>
      <w:r w:rsidRPr="00405EDD">
        <w:rPr>
          <w:rFonts w:eastAsiaTheme="minorHAnsi"/>
        </w:rPr>
        <w:t>, a007161 (2012).</w:t>
      </w:r>
    </w:p>
    <w:p w14:paraId="4419AF93" w14:textId="77777777" w:rsidR="00405EDD" w:rsidRPr="00405EDD" w:rsidRDefault="00405EDD" w:rsidP="00DD7F74">
      <w:pPr>
        <w:pStyle w:val="Bibliography"/>
        <w:spacing w:line="240" w:lineRule="auto"/>
        <w:rPr>
          <w:rFonts w:eastAsiaTheme="minorHAnsi"/>
        </w:rPr>
      </w:pPr>
      <w:r w:rsidRPr="00405EDD">
        <w:rPr>
          <w:rFonts w:eastAsiaTheme="minorHAnsi"/>
        </w:rPr>
        <w:t>6.</w:t>
      </w:r>
      <w:r w:rsidRPr="00405EDD">
        <w:rPr>
          <w:rFonts w:eastAsiaTheme="minorHAnsi"/>
        </w:rPr>
        <w:tab/>
        <w:t xml:space="preserve">Cilento, M. E., Kirby, K. A. &amp; Sarafianos, S. G. Avoiding Drug Resistance in HIV Reverse Transcriptase. </w:t>
      </w:r>
      <w:r w:rsidRPr="00405EDD">
        <w:rPr>
          <w:rFonts w:eastAsiaTheme="minorHAnsi"/>
          <w:i/>
          <w:iCs/>
        </w:rPr>
        <w:t>Chem. Rev.</w:t>
      </w:r>
      <w:r w:rsidRPr="00405EDD">
        <w:rPr>
          <w:rFonts w:eastAsiaTheme="minorHAnsi"/>
        </w:rPr>
        <w:t xml:space="preserve"> </w:t>
      </w:r>
      <w:r w:rsidRPr="00405EDD">
        <w:rPr>
          <w:rFonts w:eastAsiaTheme="minorHAnsi"/>
          <w:b/>
          <w:bCs/>
        </w:rPr>
        <w:t>121</w:t>
      </w:r>
      <w:r w:rsidRPr="00405EDD">
        <w:rPr>
          <w:rFonts w:eastAsiaTheme="minorHAnsi"/>
        </w:rPr>
        <w:t>, 3271–3296 (2021).</w:t>
      </w:r>
    </w:p>
    <w:p w14:paraId="28717032" w14:textId="77777777" w:rsidR="00405EDD" w:rsidRPr="00405EDD" w:rsidRDefault="00405EDD" w:rsidP="00DD7F74">
      <w:pPr>
        <w:pStyle w:val="Bibliography"/>
        <w:spacing w:line="240" w:lineRule="auto"/>
        <w:rPr>
          <w:rFonts w:eastAsiaTheme="minorHAnsi"/>
        </w:rPr>
      </w:pPr>
      <w:r w:rsidRPr="00405EDD">
        <w:rPr>
          <w:rFonts w:eastAsiaTheme="minorHAnsi"/>
        </w:rPr>
        <w:t>7.</w:t>
      </w:r>
      <w:r w:rsidRPr="00405EDD">
        <w:rPr>
          <w:rFonts w:eastAsiaTheme="minorHAnsi"/>
        </w:rPr>
        <w:tab/>
        <w:t xml:space="preserve">Tantillo, C. </w:t>
      </w:r>
      <w:r w:rsidRPr="00405EDD">
        <w:rPr>
          <w:rFonts w:eastAsiaTheme="minorHAnsi"/>
          <w:i/>
          <w:iCs/>
        </w:rPr>
        <w:t>et al.</w:t>
      </w:r>
      <w:r w:rsidRPr="00405EDD">
        <w:rPr>
          <w:rFonts w:eastAsiaTheme="minorHAnsi"/>
        </w:rPr>
        <w:t xml:space="preserve"> Locations of Anti-AIDS Drug Binding Sites and Resistance Mutations in the Three-dimensional Structure of HIV-1 Reverse Transcriptase: Implications for Mechanisms of Drug Inhibition and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243</w:t>
      </w:r>
      <w:r w:rsidRPr="00405EDD">
        <w:rPr>
          <w:rFonts w:eastAsiaTheme="minorHAnsi"/>
        </w:rPr>
        <w:t>, 369–387 (1994).</w:t>
      </w:r>
    </w:p>
    <w:p w14:paraId="22EA072E" w14:textId="77777777" w:rsidR="00405EDD" w:rsidRPr="00405EDD" w:rsidRDefault="00405EDD" w:rsidP="00DD7F74">
      <w:pPr>
        <w:pStyle w:val="Bibliography"/>
        <w:spacing w:line="240" w:lineRule="auto"/>
        <w:rPr>
          <w:rFonts w:eastAsiaTheme="minorHAnsi"/>
        </w:rPr>
      </w:pPr>
      <w:r w:rsidRPr="00405EDD">
        <w:rPr>
          <w:rFonts w:eastAsiaTheme="minorHAnsi"/>
        </w:rPr>
        <w:t>8.</w:t>
      </w:r>
      <w:r w:rsidRPr="00405EDD">
        <w:rPr>
          <w:rFonts w:eastAsiaTheme="minorHAnsi"/>
        </w:rPr>
        <w:tab/>
        <w:t xml:space="preserve">Schauer, G. D., Huber, K. D., Leuba, S. H. &amp; Sluis-Cremer, N. Mechanism of allosteric inhibition of HIV-1 reverse transcriptase revealed by single-molecule and ensemble fluorescence. </w:t>
      </w:r>
      <w:r w:rsidRPr="00405EDD">
        <w:rPr>
          <w:rFonts w:eastAsiaTheme="minorHAnsi"/>
          <w:i/>
          <w:iCs/>
        </w:rPr>
        <w:t>Nucleic Acids Res</w:t>
      </w:r>
      <w:r w:rsidRPr="00405EDD">
        <w:rPr>
          <w:rFonts w:eastAsiaTheme="minorHAnsi"/>
        </w:rPr>
        <w:t xml:space="preserve"> </w:t>
      </w:r>
      <w:r w:rsidRPr="00405EDD">
        <w:rPr>
          <w:rFonts w:eastAsiaTheme="minorHAnsi"/>
          <w:b/>
          <w:bCs/>
        </w:rPr>
        <w:t>42</w:t>
      </w:r>
      <w:r w:rsidRPr="00405EDD">
        <w:rPr>
          <w:rFonts w:eastAsiaTheme="minorHAnsi"/>
        </w:rPr>
        <w:t>, 11687–11696 (2014).</w:t>
      </w:r>
    </w:p>
    <w:p w14:paraId="07224176" w14:textId="77777777" w:rsidR="00405EDD" w:rsidRPr="00405EDD" w:rsidRDefault="00405EDD" w:rsidP="00DD7F74">
      <w:pPr>
        <w:pStyle w:val="Bibliography"/>
        <w:spacing w:line="240" w:lineRule="auto"/>
        <w:rPr>
          <w:rFonts w:eastAsiaTheme="minorHAnsi"/>
        </w:rPr>
      </w:pPr>
      <w:r w:rsidRPr="00405EDD">
        <w:rPr>
          <w:rFonts w:eastAsiaTheme="minorHAnsi"/>
        </w:rPr>
        <w:t>9.</w:t>
      </w:r>
      <w:r w:rsidRPr="00405EDD">
        <w:rPr>
          <w:rFonts w:eastAsiaTheme="minorHAnsi"/>
        </w:rPr>
        <w:tab/>
        <w:t xml:space="preserve">Hsiou, Y. </w:t>
      </w:r>
      <w:r w:rsidRPr="00405EDD">
        <w:rPr>
          <w:rFonts w:eastAsiaTheme="minorHAnsi"/>
          <w:i/>
          <w:iCs/>
        </w:rPr>
        <w:t>et al.</w:t>
      </w:r>
      <w:r w:rsidRPr="00405EDD">
        <w:rPr>
          <w:rFonts w:eastAsiaTheme="minorHAnsi"/>
        </w:rPr>
        <w:t xml:space="preserve"> The Lys103Asn mutation of HIV-1 RT: a novel mechanism of drug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309</w:t>
      </w:r>
      <w:r w:rsidRPr="00405EDD">
        <w:rPr>
          <w:rFonts w:eastAsiaTheme="minorHAnsi"/>
        </w:rPr>
        <w:t>, 437–445 (2001).</w:t>
      </w:r>
    </w:p>
    <w:p w14:paraId="483605DD" w14:textId="77777777" w:rsidR="00405EDD" w:rsidRPr="00405EDD" w:rsidRDefault="00405EDD" w:rsidP="00DD7F74">
      <w:pPr>
        <w:pStyle w:val="Bibliography"/>
        <w:spacing w:line="240" w:lineRule="auto"/>
        <w:rPr>
          <w:rFonts w:eastAsiaTheme="minorHAnsi"/>
        </w:rPr>
      </w:pPr>
      <w:r w:rsidRPr="00405EDD">
        <w:rPr>
          <w:rFonts w:eastAsiaTheme="minorHAnsi"/>
        </w:rPr>
        <w:t>10.</w:t>
      </w:r>
      <w:r w:rsidRPr="00405EDD">
        <w:rPr>
          <w:rFonts w:eastAsiaTheme="minorHAnsi"/>
        </w:rPr>
        <w:tab/>
        <w:t xml:space="preserve">Lai, M.-T. </w:t>
      </w:r>
      <w:r w:rsidRPr="00405EDD">
        <w:rPr>
          <w:rFonts w:eastAsiaTheme="minorHAnsi"/>
          <w:i/>
          <w:iCs/>
        </w:rPr>
        <w:t>et al.</w:t>
      </w:r>
      <w:r w:rsidRPr="00405EDD">
        <w:rPr>
          <w:rFonts w:eastAsiaTheme="minorHAnsi"/>
        </w:rPr>
        <w:t xml:space="preserve"> Mechanistic Study of Common Non-Nucleoside Reverse Transcriptase Inhibitor-Resistant Mutations with K103N and Y181C Substitutions. </w:t>
      </w:r>
      <w:r w:rsidRPr="00405EDD">
        <w:rPr>
          <w:rFonts w:eastAsiaTheme="minorHAnsi"/>
          <w:i/>
          <w:iCs/>
        </w:rPr>
        <w:t>Viruses</w:t>
      </w:r>
      <w:r w:rsidRPr="00405EDD">
        <w:rPr>
          <w:rFonts w:eastAsiaTheme="minorHAnsi"/>
        </w:rPr>
        <w:t xml:space="preserve"> </w:t>
      </w:r>
      <w:r w:rsidRPr="00405EDD">
        <w:rPr>
          <w:rFonts w:eastAsiaTheme="minorHAnsi"/>
          <w:b/>
          <w:bCs/>
        </w:rPr>
        <w:t>8</w:t>
      </w:r>
      <w:r w:rsidRPr="00405EDD">
        <w:rPr>
          <w:rFonts w:eastAsiaTheme="minorHAnsi"/>
        </w:rPr>
        <w:t>, 263 (2016).</w:t>
      </w:r>
    </w:p>
    <w:p w14:paraId="5B8BB963" w14:textId="77777777" w:rsidR="00405EDD" w:rsidRPr="00405EDD" w:rsidRDefault="00405EDD" w:rsidP="00DD7F74">
      <w:pPr>
        <w:pStyle w:val="Bibliography"/>
        <w:spacing w:line="240" w:lineRule="auto"/>
        <w:rPr>
          <w:rFonts w:eastAsiaTheme="minorHAnsi"/>
        </w:rPr>
      </w:pPr>
      <w:r w:rsidRPr="00405EDD">
        <w:rPr>
          <w:rFonts w:eastAsiaTheme="minorHAnsi"/>
        </w:rPr>
        <w:t>11.</w:t>
      </w:r>
      <w:r w:rsidRPr="00405EDD">
        <w:rPr>
          <w:rFonts w:eastAsiaTheme="minorHAnsi"/>
        </w:rPr>
        <w:tab/>
        <w:t xml:space="preserve">Ren, J. </w:t>
      </w:r>
      <w:r w:rsidRPr="00405EDD">
        <w:rPr>
          <w:rFonts w:eastAsiaTheme="minorHAnsi"/>
          <w:i/>
          <w:iCs/>
        </w:rPr>
        <w:t>et al.</w:t>
      </w:r>
      <w:r w:rsidRPr="00405EDD">
        <w:rPr>
          <w:rFonts w:eastAsiaTheme="minorHAnsi"/>
        </w:rPr>
        <w:t xml:space="preserve"> Structural mechanisms of drug resistance for mutations at codons 181 and 188 in HIV-1 reverse transcriptase and the improved resilience of second generation non-nucleoside inhibitors1. </w:t>
      </w:r>
      <w:r w:rsidRPr="00405EDD">
        <w:rPr>
          <w:rFonts w:eastAsiaTheme="minorHAnsi"/>
          <w:i/>
          <w:iCs/>
        </w:rPr>
        <w:t>Journal of Molecular Biology</w:t>
      </w:r>
      <w:r w:rsidRPr="00405EDD">
        <w:rPr>
          <w:rFonts w:eastAsiaTheme="minorHAnsi"/>
        </w:rPr>
        <w:t xml:space="preserve"> </w:t>
      </w:r>
      <w:r w:rsidRPr="00405EDD">
        <w:rPr>
          <w:rFonts w:eastAsiaTheme="minorHAnsi"/>
          <w:b/>
          <w:bCs/>
        </w:rPr>
        <w:t>312</w:t>
      </w:r>
      <w:r w:rsidRPr="00405EDD">
        <w:rPr>
          <w:rFonts w:eastAsiaTheme="minorHAnsi"/>
        </w:rPr>
        <w:t>, 795–805 (2001).</w:t>
      </w:r>
    </w:p>
    <w:p w14:paraId="1A53FD75" w14:textId="77777777" w:rsidR="00405EDD" w:rsidRPr="00405EDD" w:rsidRDefault="00405EDD" w:rsidP="00DD7F74">
      <w:pPr>
        <w:pStyle w:val="Bibliography"/>
        <w:spacing w:line="240" w:lineRule="auto"/>
        <w:rPr>
          <w:rFonts w:eastAsiaTheme="minorHAnsi"/>
        </w:rPr>
      </w:pPr>
      <w:r w:rsidRPr="00405EDD">
        <w:rPr>
          <w:rFonts w:eastAsiaTheme="minorHAnsi"/>
        </w:rPr>
        <w:t>12.</w:t>
      </w:r>
      <w:r w:rsidRPr="00405EDD">
        <w:rPr>
          <w:rFonts w:eastAsiaTheme="minorHAnsi"/>
        </w:rPr>
        <w:tab/>
        <w:t xml:space="preserve">Das, K. </w:t>
      </w:r>
      <w:r w:rsidRPr="00405EDD">
        <w:rPr>
          <w:rFonts w:eastAsiaTheme="minorHAnsi"/>
          <w:i/>
          <w:iCs/>
        </w:rPr>
        <w:t>et al.</w:t>
      </w:r>
      <w:r w:rsidRPr="00405EDD">
        <w:rPr>
          <w:rFonts w:eastAsiaTheme="minorHAnsi"/>
        </w:rPr>
        <w:t xml:space="preserve"> Roles of Conformational and Positional Adaptability in Structure-Based Design of TMC125-R165335 (Etravirine) and Related Non-nucleoside Reverse Transcriptase Inhibitors That Are Highly Potent and Effective against Wild-Type and Drug-Resistant HIV-1 Variants. </w:t>
      </w:r>
      <w:r w:rsidRPr="00405EDD">
        <w:rPr>
          <w:rFonts w:eastAsiaTheme="minorHAnsi"/>
          <w:i/>
          <w:iCs/>
        </w:rPr>
        <w:t>J. Med. Chem.</w:t>
      </w:r>
      <w:r w:rsidRPr="00405EDD">
        <w:rPr>
          <w:rFonts w:eastAsiaTheme="minorHAnsi"/>
        </w:rPr>
        <w:t xml:space="preserve"> </w:t>
      </w:r>
      <w:r w:rsidRPr="00405EDD">
        <w:rPr>
          <w:rFonts w:eastAsiaTheme="minorHAnsi"/>
          <w:b/>
          <w:bCs/>
        </w:rPr>
        <w:t>47</w:t>
      </w:r>
      <w:r w:rsidRPr="00405EDD">
        <w:rPr>
          <w:rFonts w:eastAsiaTheme="minorHAnsi"/>
        </w:rPr>
        <w:t>, 2550–2560 (2004).</w:t>
      </w:r>
    </w:p>
    <w:p w14:paraId="232F39F6" w14:textId="77777777" w:rsidR="00405EDD" w:rsidRPr="00405EDD" w:rsidRDefault="00405EDD" w:rsidP="00DD7F74">
      <w:pPr>
        <w:pStyle w:val="Bibliography"/>
        <w:spacing w:line="240" w:lineRule="auto"/>
        <w:rPr>
          <w:rFonts w:eastAsiaTheme="minorHAnsi"/>
        </w:rPr>
      </w:pPr>
      <w:r w:rsidRPr="00405EDD">
        <w:rPr>
          <w:rFonts w:eastAsiaTheme="minorHAnsi"/>
        </w:rPr>
        <w:t>13.</w:t>
      </w:r>
      <w:r w:rsidRPr="00405EDD">
        <w:rPr>
          <w:rFonts w:eastAsiaTheme="minorHAnsi"/>
        </w:rPr>
        <w:tab/>
        <w:t xml:space="preserve">Das, K. </w:t>
      </w:r>
      <w:r w:rsidRPr="00405EDD">
        <w:rPr>
          <w:rFonts w:eastAsiaTheme="minorHAnsi"/>
          <w:i/>
          <w:iCs/>
        </w:rPr>
        <w:t>et al.</w:t>
      </w:r>
      <w:r w:rsidRPr="00405EDD">
        <w:rPr>
          <w:rFonts w:eastAsiaTheme="minorHAnsi"/>
        </w:rPr>
        <w:t xml:space="preserve"> High-resolution structures of HIV-1 reverse transcriptase/TMC278 complexes: Strategic flexibility explains potency against resistance mutations.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105</w:t>
      </w:r>
      <w:r w:rsidRPr="00405EDD">
        <w:rPr>
          <w:rFonts w:eastAsiaTheme="minorHAnsi"/>
        </w:rPr>
        <w:t>, 1466–1471 (2008).</w:t>
      </w:r>
    </w:p>
    <w:p w14:paraId="65CF5EA4" w14:textId="77777777" w:rsidR="00405EDD" w:rsidRPr="00405EDD" w:rsidRDefault="00405EDD" w:rsidP="00DD7F74">
      <w:pPr>
        <w:pStyle w:val="Bibliography"/>
        <w:spacing w:line="240" w:lineRule="auto"/>
        <w:rPr>
          <w:rFonts w:eastAsiaTheme="minorHAnsi"/>
        </w:rPr>
      </w:pPr>
      <w:r w:rsidRPr="00405EDD">
        <w:rPr>
          <w:rFonts w:eastAsiaTheme="minorHAnsi"/>
        </w:rPr>
        <w:t>14.</w:t>
      </w:r>
      <w:r w:rsidRPr="00405EDD">
        <w:rPr>
          <w:rFonts w:eastAsiaTheme="minorHAnsi"/>
        </w:rPr>
        <w:tab/>
        <w:t xml:space="preserve">Côté, B. </w:t>
      </w:r>
      <w:r w:rsidRPr="00405EDD">
        <w:rPr>
          <w:rFonts w:eastAsiaTheme="minorHAnsi"/>
          <w:i/>
          <w:iCs/>
        </w:rPr>
        <w:t>et al.</w:t>
      </w:r>
      <w:r w:rsidRPr="00405EDD">
        <w:rPr>
          <w:rFonts w:eastAsiaTheme="minorHAnsi"/>
        </w:rPr>
        <w:t xml:space="preserve"> Discovery of MK-1439, an orally bioavailable non-nucleoside reverse transcriptase inhibitor potent against a wide range of resistant mutant HIV viruses. </w:t>
      </w:r>
      <w:r w:rsidRPr="00405EDD">
        <w:rPr>
          <w:rFonts w:eastAsiaTheme="minorHAnsi"/>
          <w:i/>
          <w:iCs/>
        </w:rPr>
        <w:t>Bioorganic &amp; Medicinal Chemistry Letters</w:t>
      </w:r>
      <w:r w:rsidRPr="00405EDD">
        <w:rPr>
          <w:rFonts w:eastAsiaTheme="minorHAnsi"/>
        </w:rPr>
        <w:t xml:space="preserve"> </w:t>
      </w:r>
      <w:r w:rsidRPr="00405EDD">
        <w:rPr>
          <w:rFonts w:eastAsiaTheme="minorHAnsi"/>
          <w:b/>
          <w:bCs/>
        </w:rPr>
        <w:t>24</w:t>
      </w:r>
      <w:r w:rsidRPr="00405EDD">
        <w:rPr>
          <w:rFonts w:eastAsiaTheme="minorHAnsi"/>
        </w:rPr>
        <w:t>, 917–922 (2014).</w:t>
      </w:r>
    </w:p>
    <w:p w14:paraId="5F6EB655" w14:textId="77777777" w:rsidR="00405EDD" w:rsidRPr="00405EDD" w:rsidRDefault="00405EDD" w:rsidP="00DD7F74">
      <w:pPr>
        <w:pStyle w:val="Bibliography"/>
        <w:spacing w:line="240" w:lineRule="auto"/>
        <w:rPr>
          <w:rFonts w:eastAsiaTheme="minorHAnsi"/>
        </w:rPr>
      </w:pPr>
      <w:r w:rsidRPr="00405EDD">
        <w:rPr>
          <w:rFonts w:eastAsiaTheme="minorHAnsi"/>
        </w:rPr>
        <w:t>15.</w:t>
      </w:r>
      <w:r w:rsidRPr="00405EDD">
        <w:rPr>
          <w:rFonts w:eastAsiaTheme="minorHAnsi"/>
        </w:rPr>
        <w:tab/>
        <w:t xml:space="preserve">Hwang, C., Lai, M.-T. &amp; Hazuda, D. Rational Design of Doravirine: From Bench to Patients. </w:t>
      </w:r>
      <w:r w:rsidRPr="00405EDD">
        <w:rPr>
          <w:rFonts w:eastAsiaTheme="minorHAnsi"/>
          <w:i/>
          <w:iCs/>
        </w:rPr>
        <w:t>ACS Infect. Dis.</w:t>
      </w:r>
      <w:r w:rsidRPr="00405EDD">
        <w:rPr>
          <w:rFonts w:eastAsiaTheme="minorHAnsi"/>
        </w:rPr>
        <w:t xml:space="preserve"> </w:t>
      </w:r>
      <w:r w:rsidRPr="00405EDD">
        <w:rPr>
          <w:rFonts w:eastAsiaTheme="minorHAnsi"/>
          <w:b/>
          <w:bCs/>
        </w:rPr>
        <w:t>6</w:t>
      </w:r>
      <w:r w:rsidRPr="00405EDD">
        <w:rPr>
          <w:rFonts w:eastAsiaTheme="minorHAnsi"/>
        </w:rPr>
        <w:t>, 64–73 (2020).</w:t>
      </w:r>
    </w:p>
    <w:p w14:paraId="3555C547" w14:textId="77777777" w:rsidR="00405EDD" w:rsidRPr="00405EDD" w:rsidRDefault="00405EDD" w:rsidP="00DD7F74">
      <w:pPr>
        <w:pStyle w:val="Bibliography"/>
        <w:spacing w:line="240" w:lineRule="auto"/>
        <w:rPr>
          <w:rFonts w:eastAsiaTheme="minorHAnsi"/>
        </w:rPr>
      </w:pPr>
      <w:r w:rsidRPr="00405EDD">
        <w:rPr>
          <w:rFonts w:eastAsiaTheme="minorHAnsi"/>
        </w:rPr>
        <w:t>16.</w:t>
      </w:r>
      <w:r w:rsidRPr="00405EDD">
        <w:rPr>
          <w:rFonts w:eastAsiaTheme="minorHAnsi"/>
        </w:rPr>
        <w:tab/>
        <w:t xml:space="preserve">Lai, M.-T. </w:t>
      </w:r>
      <w:r w:rsidRPr="00405EDD">
        <w:rPr>
          <w:rFonts w:eastAsiaTheme="minorHAnsi"/>
          <w:i/>
          <w:iCs/>
        </w:rPr>
        <w:t>et al.</w:t>
      </w:r>
      <w:r w:rsidRPr="00405EDD">
        <w:rPr>
          <w:rFonts w:eastAsiaTheme="minorHAnsi"/>
        </w:rPr>
        <w:t xml:space="preserve"> In Vitro Characterization of MK-1439, a Novel HIV-1 Nonnucleoside Reverse Transcriptase Inhibitor.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58</w:t>
      </w:r>
      <w:r w:rsidRPr="00405EDD">
        <w:rPr>
          <w:rFonts w:eastAsiaTheme="minorHAnsi"/>
        </w:rPr>
        <w:t>, 1652–1663 (2014).</w:t>
      </w:r>
    </w:p>
    <w:p w14:paraId="367E0BEF" w14:textId="77777777" w:rsidR="00405EDD" w:rsidRPr="00405EDD" w:rsidRDefault="00405EDD" w:rsidP="00DD7F74">
      <w:pPr>
        <w:pStyle w:val="Bibliography"/>
        <w:spacing w:line="240" w:lineRule="auto"/>
        <w:rPr>
          <w:rFonts w:eastAsiaTheme="minorHAnsi"/>
        </w:rPr>
      </w:pPr>
      <w:r w:rsidRPr="00405EDD">
        <w:rPr>
          <w:rFonts w:eastAsiaTheme="minorHAnsi"/>
        </w:rPr>
        <w:t>17.</w:t>
      </w:r>
      <w:r w:rsidRPr="00405EDD">
        <w:rPr>
          <w:rFonts w:eastAsiaTheme="minorHAnsi"/>
        </w:rPr>
        <w:tab/>
        <w:t xml:space="preserve">Feng, M. </w:t>
      </w:r>
      <w:r w:rsidRPr="00405EDD">
        <w:rPr>
          <w:rFonts w:eastAsiaTheme="minorHAnsi"/>
          <w:i/>
          <w:iCs/>
        </w:rPr>
        <w:t>et al.</w:t>
      </w:r>
      <w:r w:rsidRPr="00405EDD">
        <w:rPr>
          <w:rFonts w:eastAsiaTheme="minorHAnsi"/>
        </w:rPr>
        <w:t xml:space="preserve"> In Vitro Resistance Selection with Doravirine (MK-1439), a Novel Nonnucleoside Reverse Transcriptase Inhibitor with Distinct Mutation Development Pathways.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59</w:t>
      </w:r>
      <w:r w:rsidRPr="00405EDD">
        <w:rPr>
          <w:rFonts w:eastAsiaTheme="minorHAnsi"/>
        </w:rPr>
        <w:t>, 590–598 (2014).</w:t>
      </w:r>
    </w:p>
    <w:p w14:paraId="1C9CB32E" w14:textId="77777777" w:rsidR="00405EDD" w:rsidRPr="00405EDD" w:rsidRDefault="00405EDD" w:rsidP="00DD7F74">
      <w:pPr>
        <w:pStyle w:val="Bibliography"/>
        <w:spacing w:line="240" w:lineRule="auto"/>
        <w:rPr>
          <w:rFonts w:eastAsiaTheme="minorHAnsi"/>
        </w:rPr>
      </w:pPr>
      <w:r w:rsidRPr="00405EDD">
        <w:rPr>
          <w:rFonts w:eastAsiaTheme="minorHAnsi"/>
        </w:rPr>
        <w:t>18.</w:t>
      </w:r>
      <w:r w:rsidRPr="00405EDD">
        <w:rPr>
          <w:rFonts w:eastAsiaTheme="minorHAnsi"/>
        </w:rPr>
        <w:tab/>
        <w:t xml:space="preserve">Rhee, S.-Y. </w:t>
      </w:r>
      <w:r w:rsidRPr="00405EDD">
        <w:rPr>
          <w:rFonts w:eastAsiaTheme="minorHAnsi"/>
          <w:i/>
          <w:iCs/>
        </w:rPr>
        <w:t>et al.</w:t>
      </w:r>
      <w:r w:rsidRPr="00405EDD">
        <w:rPr>
          <w:rFonts w:eastAsiaTheme="minorHAnsi"/>
        </w:rPr>
        <w:t xml:space="preserve"> Potential role of doravirine for the treatment of HIV-1-infected persons with transmitted drug resistance. </w:t>
      </w:r>
      <w:r w:rsidRPr="00405EDD">
        <w:rPr>
          <w:rFonts w:eastAsiaTheme="minorHAnsi"/>
          <w:i/>
          <w:iCs/>
        </w:rPr>
        <w:t>AIDS Res Ther</w:t>
      </w:r>
      <w:r w:rsidRPr="00405EDD">
        <w:rPr>
          <w:rFonts w:eastAsiaTheme="minorHAnsi"/>
        </w:rPr>
        <w:t xml:space="preserve"> </w:t>
      </w:r>
      <w:r w:rsidRPr="00405EDD">
        <w:rPr>
          <w:rFonts w:eastAsiaTheme="minorHAnsi"/>
          <w:b/>
          <w:bCs/>
        </w:rPr>
        <w:t>20</w:t>
      </w:r>
      <w:r w:rsidRPr="00405EDD">
        <w:rPr>
          <w:rFonts w:eastAsiaTheme="minorHAnsi"/>
        </w:rPr>
        <w:t>, 8 (2023).</w:t>
      </w:r>
    </w:p>
    <w:p w14:paraId="4292C001" w14:textId="77777777" w:rsidR="00405EDD" w:rsidRPr="00405EDD" w:rsidRDefault="00405EDD" w:rsidP="00DD7F74">
      <w:pPr>
        <w:pStyle w:val="Bibliography"/>
        <w:spacing w:line="240" w:lineRule="auto"/>
        <w:rPr>
          <w:rFonts w:eastAsiaTheme="minorHAnsi"/>
        </w:rPr>
      </w:pPr>
      <w:r w:rsidRPr="00405EDD">
        <w:rPr>
          <w:rFonts w:eastAsiaTheme="minorHAnsi"/>
        </w:rPr>
        <w:t>19.</w:t>
      </w:r>
      <w:r w:rsidRPr="00405EDD">
        <w:rPr>
          <w:rFonts w:eastAsiaTheme="minorHAnsi"/>
        </w:rPr>
        <w:tab/>
        <w:t xml:space="preserve">Calza, L. </w:t>
      </w:r>
      <w:r w:rsidRPr="00405EDD">
        <w:rPr>
          <w:rFonts w:eastAsiaTheme="minorHAnsi"/>
          <w:i/>
          <w:iCs/>
        </w:rPr>
        <w:t>et al.</w:t>
      </w:r>
      <w:r w:rsidRPr="00405EDD">
        <w:rPr>
          <w:rFonts w:eastAsiaTheme="minorHAnsi"/>
        </w:rPr>
        <w:t xml:space="preserve"> Doravirine/lamivudine/tenofovir disoproxil fumarate in virologically suppressed people living with HIV: A real-life experience. </w:t>
      </w:r>
      <w:r w:rsidRPr="00405EDD">
        <w:rPr>
          <w:rFonts w:eastAsiaTheme="minorHAnsi"/>
          <w:i/>
          <w:iCs/>
        </w:rPr>
        <w:t>Int J STD AIDS</w:t>
      </w:r>
      <w:r w:rsidRPr="00405EDD">
        <w:rPr>
          <w:rFonts w:eastAsiaTheme="minorHAnsi"/>
        </w:rPr>
        <w:t xml:space="preserve"> </w:t>
      </w:r>
      <w:r w:rsidRPr="00405EDD">
        <w:rPr>
          <w:rFonts w:eastAsiaTheme="minorHAnsi"/>
          <w:b/>
          <w:bCs/>
        </w:rPr>
        <w:t>34</w:t>
      </w:r>
      <w:r w:rsidRPr="00405EDD">
        <w:rPr>
          <w:rFonts w:eastAsiaTheme="minorHAnsi"/>
        </w:rPr>
        <w:t>, 1018–1023 (2023).</w:t>
      </w:r>
    </w:p>
    <w:p w14:paraId="12DCCD78"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20.</w:t>
      </w:r>
      <w:r w:rsidRPr="00405EDD">
        <w:rPr>
          <w:rFonts w:eastAsiaTheme="minorHAnsi"/>
        </w:rPr>
        <w:tab/>
        <w:t xml:space="preserve">Mejías-Trueba, M. </w:t>
      </w:r>
      <w:r w:rsidRPr="00405EDD">
        <w:rPr>
          <w:rFonts w:eastAsiaTheme="minorHAnsi"/>
          <w:i/>
          <w:iCs/>
        </w:rPr>
        <w:t>et al.</w:t>
      </w:r>
      <w:r w:rsidRPr="00405EDD">
        <w:rPr>
          <w:rFonts w:eastAsiaTheme="minorHAnsi"/>
        </w:rPr>
        <w:t xml:space="preserve"> Long-term effectiveness, safety, and tolerability of doravirine in antiretroviral-experienced people with HIV in real life. </w:t>
      </w:r>
      <w:r w:rsidRPr="00405EDD">
        <w:rPr>
          <w:rFonts w:eastAsiaTheme="minorHAnsi"/>
          <w:i/>
          <w:iCs/>
        </w:rPr>
        <w:t>Microbiology Spectrum</w:t>
      </w:r>
      <w:r w:rsidRPr="00405EDD">
        <w:rPr>
          <w:rFonts w:eastAsiaTheme="minorHAnsi"/>
        </w:rPr>
        <w:t xml:space="preserve"> </w:t>
      </w:r>
      <w:r w:rsidRPr="00405EDD">
        <w:rPr>
          <w:rFonts w:eastAsiaTheme="minorHAnsi"/>
          <w:b/>
          <w:bCs/>
        </w:rPr>
        <w:t>12</w:t>
      </w:r>
      <w:r w:rsidRPr="00405EDD">
        <w:rPr>
          <w:rFonts w:eastAsiaTheme="minorHAnsi"/>
        </w:rPr>
        <w:t>, e00654-24 (2024).</w:t>
      </w:r>
    </w:p>
    <w:p w14:paraId="3BC325AC" w14:textId="77777777" w:rsidR="00405EDD" w:rsidRPr="00405EDD" w:rsidRDefault="00405EDD" w:rsidP="00DD7F74">
      <w:pPr>
        <w:pStyle w:val="Bibliography"/>
        <w:spacing w:line="240" w:lineRule="auto"/>
        <w:rPr>
          <w:rFonts w:eastAsiaTheme="minorHAnsi"/>
        </w:rPr>
      </w:pPr>
      <w:r w:rsidRPr="00405EDD">
        <w:rPr>
          <w:rFonts w:eastAsiaTheme="minorHAnsi"/>
        </w:rPr>
        <w:t>21.</w:t>
      </w:r>
      <w:r w:rsidRPr="00405EDD">
        <w:rPr>
          <w:rFonts w:eastAsiaTheme="minorHAnsi"/>
        </w:rPr>
        <w:tab/>
        <w:t xml:space="preserve">Yang, H., Li, M., Liu, Q., Zeng, Q. &amp; Yuan, J. The efficacy and safety of doravirine/lamivudine/tenofovir disoproxil fumarate in treatment-naïve and treatment-experienced patients with HIV. </w:t>
      </w:r>
      <w:r w:rsidRPr="00405EDD">
        <w:rPr>
          <w:rFonts w:eastAsiaTheme="minorHAnsi"/>
          <w:i/>
          <w:iCs/>
        </w:rPr>
        <w:t>Annals of Medicine</w:t>
      </w:r>
      <w:r w:rsidRPr="00405EDD">
        <w:rPr>
          <w:rFonts w:eastAsiaTheme="minorHAnsi"/>
        </w:rPr>
        <w:t xml:space="preserve"> </w:t>
      </w:r>
      <w:r w:rsidRPr="00405EDD">
        <w:rPr>
          <w:rFonts w:eastAsiaTheme="minorHAnsi"/>
          <w:b/>
          <w:bCs/>
        </w:rPr>
        <w:t>57</w:t>
      </w:r>
      <w:r w:rsidRPr="00405EDD">
        <w:rPr>
          <w:rFonts w:eastAsiaTheme="minorHAnsi"/>
        </w:rPr>
        <w:t>, 2564286 (2025).</w:t>
      </w:r>
    </w:p>
    <w:p w14:paraId="48891059" w14:textId="77777777" w:rsidR="00405EDD" w:rsidRPr="00405EDD" w:rsidRDefault="00405EDD" w:rsidP="00DD7F74">
      <w:pPr>
        <w:pStyle w:val="Bibliography"/>
        <w:spacing w:line="240" w:lineRule="auto"/>
        <w:rPr>
          <w:rFonts w:eastAsiaTheme="minorHAnsi"/>
        </w:rPr>
      </w:pPr>
      <w:r w:rsidRPr="00405EDD">
        <w:rPr>
          <w:rFonts w:eastAsiaTheme="minorHAnsi"/>
        </w:rPr>
        <w:t>22.</w:t>
      </w:r>
      <w:r w:rsidRPr="00405EDD">
        <w:rPr>
          <w:rFonts w:eastAsiaTheme="minorHAnsi"/>
        </w:rPr>
        <w:tab/>
        <w:t xml:space="preserve">Orkin, C. </w:t>
      </w:r>
      <w:r w:rsidRPr="00405EDD">
        <w:rPr>
          <w:rFonts w:eastAsiaTheme="minorHAnsi"/>
          <w:i/>
          <w:iCs/>
        </w:rPr>
        <w:t>et al.</w:t>
      </w:r>
      <w:r w:rsidRPr="00405EDD">
        <w:rPr>
          <w:rFonts w:eastAsiaTheme="minorHAnsi"/>
        </w:rPr>
        <w:t xml:space="preserve"> Switch to fixed-dose doravirine (100 mg) and islatravir (0·25 mg) once daily in virologically suppressed adults with HIV-1 on oral antiretroviral therapy: 48-week results of a phase 3, multicentre, randomised, open-label, non-inferiority trial. </w:t>
      </w:r>
      <w:r w:rsidRPr="00405EDD">
        <w:rPr>
          <w:rFonts w:eastAsiaTheme="minorHAnsi"/>
          <w:i/>
          <w:iCs/>
        </w:rPr>
        <w:t>The Lancet</w:t>
      </w:r>
      <w:r w:rsidRPr="00405EDD">
        <w:rPr>
          <w:rFonts w:eastAsiaTheme="minorHAnsi"/>
        </w:rPr>
        <w:t xml:space="preserve"> </w:t>
      </w:r>
      <w:r w:rsidRPr="00405EDD">
        <w:rPr>
          <w:rFonts w:eastAsiaTheme="minorHAnsi"/>
          <w:b/>
          <w:bCs/>
        </w:rPr>
        <w:t>407</w:t>
      </w:r>
      <w:r w:rsidRPr="00405EDD">
        <w:rPr>
          <w:rFonts w:eastAsiaTheme="minorHAnsi"/>
        </w:rPr>
        <w:t>, 599–610 (2026).</w:t>
      </w:r>
    </w:p>
    <w:p w14:paraId="4D451081" w14:textId="77777777" w:rsidR="00405EDD" w:rsidRPr="00405EDD" w:rsidRDefault="00405EDD" w:rsidP="00DD7F74">
      <w:pPr>
        <w:pStyle w:val="Bibliography"/>
        <w:spacing w:line="240" w:lineRule="auto"/>
        <w:rPr>
          <w:rFonts w:eastAsiaTheme="minorHAnsi"/>
        </w:rPr>
      </w:pPr>
      <w:r w:rsidRPr="00405EDD">
        <w:rPr>
          <w:rFonts w:eastAsiaTheme="minorHAnsi"/>
        </w:rPr>
        <w:t>23.</w:t>
      </w:r>
      <w:r w:rsidRPr="00405EDD">
        <w:rPr>
          <w:rFonts w:eastAsiaTheme="minorHAnsi"/>
        </w:rPr>
        <w:tab/>
        <w:t xml:space="preserve">Asante-Appiah, E. </w:t>
      </w:r>
      <w:r w:rsidRPr="00405EDD">
        <w:rPr>
          <w:rFonts w:eastAsiaTheme="minorHAnsi"/>
          <w:i/>
          <w:iCs/>
        </w:rPr>
        <w:t>et al.</w:t>
      </w:r>
      <w:r w:rsidRPr="00405EDD">
        <w:rPr>
          <w:rFonts w:eastAsiaTheme="minorHAnsi"/>
        </w:rPr>
        <w:t xml:space="preserve"> Impact of HIV-1 Resistance-Associated Mutations on Susceptibility to Doravirine: Analysis of Real-World Clinical Isolates.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65</w:t>
      </w:r>
      <w:r w:rsidRPr="00405EDD">
        <w:rPr>
          <w:rFonts w:eastAsiaTheme="minorHAnsi"/>
        </w:rPr>
        <w:t>, 10.1128/aac.01216-21 (2021).</w:t>
      </w:r>
    </w:p>
    <w:p w14:paraId="6D970D76" w14:textId="77777777" w:rsidR="00405EDD" w:rsidRPr="00405EDD" w:rsidRDefault="00405EDD" w:rsidP="00DD7F74">
      <w:pPr>
        <w:pStyle w:val="Bibliography"/>
        <w:spacing w:line="240" w:lineRule="auto"/>
        <w:rPr>
          <w:rFonts w:eastAsiaTheme="minorHAnsi"/>
        </w:rPr>
      </w:pPr>
      <w:r w:rsidRPr="00405EDD">
        <w:rPr>
          <w:rFonts w:eastAsiaTheme="minorHAnsi"/>
        </w:rPr>
        <w:t>24.</w:t>
      </w:r>
      <w:r w:rsidRPr="00405EDD">
        <w:rPr>
          <w:rFonts w:eastAsiaTheme="minorHAnsi"/>
        </w:rPr>
        <w:tab/>
        <w:t xml:space="preserve">Lai, M.-T. </w:t>
      </w:r>
      <w:r w:rsidRPr="00405EDD">
        <w:rPr>
          <w:rFonts w:eastAsiaTheme="minorHAnsi"/>
          <w:i/>
          <w:iCs/>
        </w:rPr>
        <w:t>et al.</w:t>
      </w:r>
      <w:r w:rsidRPr="00405EDD">
        <w:rPr>
          <w:rFonts w:eastAsiaTheme="minorHAnsi"/>
        </w:rPr>
        <w:t xml:space="preserve"> Characterization of Doravirine-Selected Resistance Patterns From Participants in Treatment-Naïve Phase 3 Clinical Trials. https://www.natap.org/2018/IAC/IAC_54.htm (2018).</w:t>
      </w:r>
    </w:p>
    <w:p w14:paraId="56EC5796" w14:textId="77777777" w:rsidR="00405EDD" w:rsidRPr="00405EDD" w:rsidRDefault="00405EDD" w:rsidP="00DD7F74">
      <w:pPr>
        <w:pStyle w:val="Bibliography"/>
        <w:spacing w:line="240" w:lineRule="auto"/>
        <w:rPr>
          <w:rFonts w:eastAsiaTheme="minorHAnsi"/>
        </w:rPr>
      </w:pPr>
      <w:r w:rsidRPr="00405EDD">
        <w:rPr>
          <w:rFonts w:eastAsiaTheme="minorHAnsi"/>
        </w:rPr>
        <w:t>25.</w:t>
      </w:r>
      <w:r w:rsidRPr="00405EDD">
        <w:rPr>
          <w:rFonts w:eastAsiaTheme="minorHAnsi"/>
        </w:rPr>
        <w:tab/>
        <w:t xml:space="preserve">Hazuda, D. J. </w:t>
      </w:r>
      <w:r w:rsidRPr="00405EDD">
        <w:rPr>
          <w:rFonts w:eastAsiaTheme="minorHAnsi"/>
          <w:i/>
          <w:iCs/>
        </w:rPr>
        <w:t>et al.</w:t>
      </w:r>
      <w:r w:rsidRPr="00405EDD">
        <w:rPr>
          <w:rFonts w:eastAsiaTheme="minorHAnsi"/>
        </w:rPr>
        <w:t xml:space="preserve"> Understanding the Resistance Profile of the HIV-1 NNRTI Doravirine in Combination With the Novel NRTTI MK-8591. https://www.natap.org/2018/IAC/IAC_48.htm (2018).</w:t>
      </w:r>
    </w:p>
    <w:p w14:paraId="43E8E8BD" w14:textId="77777777" w:rsidR="00405EDD" w:rsidRPr="00405EDD" w:rsidRDefault="00405EDD" w:rsidP="00DD7F74">
      <w:pPr>
        <w:pStyle w:val="Bibliography"/>
        <w:spacing w:line="240" w:lineRule="auto"/>
        <w:rPr>
          <w:rFonts w:eastAsiaTheme="minorHAnsi"/>
        </w:rPr>
      </w:pPr>
      <w:r w:rsidRPr="00405EDD">
        <w:rPr>
          <w:rFonts w:eastAsiaTheme="minorHAnsi"/>
        </w:rPr>
        <w:t>26.</w:t>
      </w:r>
      <w:r w:rsidRPr="00405EDD">
        <w:rPr>
          <w:rFonts w:eastAsiaTheme="minorHAnsi"/>
        </w:rPr>
        <w:tab/>
        <w:t xml:space="preserve">Smith, S. J. </w:t>
      </w:r>
      <w:r w:rsidRPr="00405EDD">
        <w:rPr>
          <w:rFonts w:eastAsiaTheme="minorHAnsi"/>
          <w:i/>
          <w:iCs/>
        </w:rPr>
        <w:t>et al.</w:t>
      </w:r>
      <w:r w:rsidRPr="00405EDD">
        <w:rPr>
          <w:rFonts w:eastAsiaTheme="minorHAnsi"/>
        </w:rPr>
        <w:t xml:space="preserve"> Rilpivirine and Doravirine Have Complementary Efficacies Against NNRTI-Resistant HIV-1 Mutants. </w:t>
      </w:r>
      <w:r w:rsidRPr="00405EDD">
        <w:rPr>
          <w:rFonts w:eastAsiaTheme="minorHAnsi"/>
          <w:i/>
          <w:iCs/>
        </w:rPr>
        <w:t>JAIDS Journal of Acquired Immune Deficiency Syndromes</w:t>
      </w:r>
      <w:r w:rsidRPr="00405EDD">
        <w:rPr>
          <w:rFonts w:eastAsiaTheme="minorHAnsi"/>
        </w:rPr>
        <w:t xml:space="preserve"> </w:t>
      </w:r>
      <w:r w:rsidRPr="00405EDD">
        <w:rPr>
          <w:rFonts w:eastAsiaTheme="minorHAnsi"/>
          <w:b/>
          <w:bCs/>
        </w:rPr>
        <w:t>72</w:t>
      </w:r>
      <w:r w:rsidRPr="00405EDD">
        <w:rPr>
          <w:rFonts w:eastAsiaTheme="minorHAnsi"/>
        </w:rPr>
        <w:t>, 485 (2016).</w:t>
      </w:r>
    </w:p>
    <w:p w14:paraId="59356CEE" w14:textId="77777777" w:rsidR="00405EDD" w:rsidRPr="00405EDD" w:rsidRDefault="00405EDD" w:rsidP="00DD7F74">
      <w:pPr>
        <w:pStyle w:val="Bibliography"/>
        <w:spacing w:line="240" w:lineRule="auto"/>
        <w:rPr>
          <w:rFonts w:eastAsiaTheme="minorHAnsi"/>
        </w:rPr>
      </w:pPr>
      <w:r w:rsidRPr="00405EDD">
        <w:rPr>
          <w:rFonts w:eastAsiaTheme="minorHAnsi"/>
        </w:rPr>
        <w:t>27.</w:t>
      </w:r>
      <w:r w:rsidRPr="00405EDD">
        <w:rPr>
          <w:rFonts w:eastAsiaTheme="minorHAnsi"/>
        </w:rPr>
        <w:tab/>
        <w:t xml:space="preserve">Geitmann, M., Unge, T. &amp; Danielson, U. H. Interaction Kinetic Characterization of HIV-1 Reverse Transcriptase Non-nucleoside Inhibitor Resistance. </w:t>
      </w:r>
      <w:r w:rsidRPr="00405EDD">
        <w:rPr>
          <w:rFonts w:eastAsiaTheme="minorHAnsi"/>
          <w:i/>
          <w:iCs/>
        </w:rPr>
        <w:t>J. Med. Chem.</w:t>
      </w:r>
      <w:r w:rsidRPr="00405EDD">
        <w:rPr>
          <w:rFonts w:eastAsiaTheme="minorHAnsi"/>
        </w:rPr>
        <w:t xml:space="preserve"> </w:t>
      </w:r>
      <w:r w:rsidRPr="00405EDD">
        <w:rPr>
          <w:rFonts w:eastAsiaTheme="minorHAnsi"/>
          <w:b/>
          <w:bCs/>
        </w:rPr>
        <w:t>49</w:t>
      </w:r>
      <w:r w:rsidRPr="00405EDD">
        <w:rPr>
          <w:rFonts w:eastAsiaTheme="minorHAnsi"/>
        </w:rPr>
        <w:t>, 2375–2387 (2006).</w:t>
      </w:r>
    </w:p>
    <w:p w14:paraId="71A0D13B" w14:textId="77777777" w:rsidR="00405EDD" w:rsidRPr="00405EDD" w:rsidRDefault="00405EDD" w:rsidP="00DD7F74">
      <w:pPr>
        <w:pStyle w:val="Bibliography"/>
        <w:spacing w:line="240" w:lineRule="auto"/>
        <w:rPr>
          <w:rFonts w:eastAsiaTheme="minorHAnsi"/>
        </w:rPr>
      </w:pPr>
      <w:r w:rsidRPr="00405EDD">
        <w:rPr>
          <w:rFonts w:eastAsiaTheme="minorHAnsi"/>
        </w:rPr>
        <w:t>28.</w:t>
      </w:r>
      <w:r w:rsidRPr="00405EDD">
        <w:rPr>
          <w:rFonts w:eastAsiaTheme="minorHAnsi"/>
        </w:rPr>
        <w:tab/>
        <w:t xml:space="preserve">Srivastava, A., Birari, V. &amp; Sinha, S. Small Conformational Changes Underlie Evolution of Resistance to NNRTI in HIV Reverse Transcriptase. </w:t>
      </w:r>
      <w:r w:rsidRPr="00405EDD">
        <w:rPr>
          <w:rFonts w:eastAsiaTheme="minorHAnsi"/>
          <w:i/>
          <w:iCs/>
        </w:rPr>
        <w:t>Biophysical Journal</w:t>
      </w:r>
      <w:r w:rsidRPr="00405EDD">
        <w:rPr>
          <w:rFonts w:eastAsiaTheme="minorHAnsi"/>
        </w:rPr>
        <w:t xml:space="preserve"> </w:t>
      </w:r>
      <w:r w:rsidRPr="00405EDD">
        <w:rPr>
          <w:rFonts w:eastAsiaTheme="minorHAnsi"/>
          <w:b/>
          <w:bCs/>
        </w:rPr>
        <w:t>118</w:t>
      </w:r>
      <w:r w:rsidRPr="00405EDD">
        <w:rPr>
          <w:rFonts w:eastAsiaTheme="minorHAnsi"/>
        </w:rPr>
        <w:t>, 2489–2501 (2020).</w:t>
      </w:r>
    </w:p>
    <w:p w14:paraId="4187BE6B" w14:textId="77777777" w:rsidR="00405EDD" w:rsidRPr="00405EDD" w:rsidRDefault="00405EDD" w:rsidP="00DD7F74">
      <w:pPr>
        <w:pStyle w:val="Bibliography"/>
        <w:spacing w:line="240" w:lineRule="auto"/>
        <w:rPr>
          <w:rFonts w:eastAsiaTheme="minorHAnsi"/>
        </w:rPr>
      </w:pPr>
      <w:r w:rsidRPr="00405EDD">
        <w:rPr>
          <w:rFonts w:eastAsiaTheme="minorHAnsi"/>
        </w:rPr>
        <w:t>29.</w:t>
      </w:r>
      <w:r w:rsidRPr="00405EDD">
        <w:rPr>
          <w:rFonts w:eastAsiaTheme="minorHAnsi"/>
        </w:rPr>
        <w:tab/>
        <w:t xml:space="preserve">Shakhnovich, E., Abkevich, V. &amp; Ptitsyn, O. Conserved residues and the mechanism of protein folding. </w:t>
      </w:r>
      <w:r w:rsidRPr="00405EDD">
        <w:rPr>
          <w:rFonts w:eastAsiaTheme="minorHAnsi"/>
          <w:i/>
          <w:iCs/>
        </w:rPr>
        <w:t>Nature</w:t>
      </w:r>
      <w:r w:rsidRPr="00405EDD">
        <w:rPr>
          <w:rFonts w:eastAsiaTheme="minorHAnsi"/>
        </w:rPr>
        <w:t xml:space="preserve"> </w:t>
      </w:r>
      <w:r w:rsidRPr="00405EDD">
        <w:rPr>
          <w:rFonts w:eastAsiaTheme="minorHAnsi"/>
          <w:b/>
          <w:bCs/>
        </w:rPr>
        <w:t>379</w:t>
      </w:r>
      <w:r w:rsidRPr="00405EDD">
        <w:rPr>
          <w:rFonts w:eastAsiaTheme="minorHAnsi"/>
        </w:rPr>
        <w:t>, 96–98 (1996).</w:t>
      </w:r>
    </w:p>
    <w:p w14:paraId="0FA0DDA0" w14:textId="77777777" w:rsidR="00405EDD" w:rsidRPr="00405EDD" w:rsidRDefault="00405EDD" w:rsidP="00DD7F74">
      <w:pPr>
        <w:pStyle w:val="Bibliography"/>
        <w:spacing w:line="240" w:lineRule="auto"/>
        <w:rPr>
          <w:rFonts w:eastAsiaTheme="minorHAnsi"/>
        </w:rPr>
      </w:pPr>
      <w:r w:rsidRPr="00405EDD">
        <w:rPr>
          <w:rFonts w:eastAsiaTheme="minorHAnsi"/>
        </w:rPr>
        <w:t>30.</w:t>
      </w:r>
      <w:r w:rsidRPr="00405EDD">
        <w:rPr>
          <w:rFonts w:eastAsiaTheme="minorHAnsi"/>
        </w:rPr>
        <w:tab/>
        <w:t xml:space="preserve">Portman, J. J., Takada, S. &amp; Wolynes, P. G. Microscopic theory of protein folding rates. II. Local reaction coordinates and chain dynamics. </w:t>
      </w:r>
      <w:r w:rsidRPr="00405EDD">
        <w:rPr>
          <w:rFonts w:eastAsiaTheme="minorHAnsi"/>
          <w:i/>
          <w:iCs/>
        </w:rPr>
        <w:t>J. Chem. Phys.</w:t>
      </w:r>
      <w:r w:rsidRPr="00405EDD">
        <w:rPr>
          <w:rFonts w:eastAsiaTheme="minorHAnsi"/>
        </w:rPr>
        <w:t xml:space="preserve"> </w:t>
      </w:r>
      <w:r w:rsidRPr="00405EDD">
        <w:rPr>
          <w:rFonts w:eastAsiaTheme="minorHAnsi"/>
          <w:b/>
          <w:bCs/>
        </w:rPr>
        <w:t>114</w:t>
      </w:r>
      <w:r w:rsidRPr="00405EDD">
        <w:rPr>
          <w:rFonts w:eastAsiaTheme="minorHAnsi"/>
        </w:rPr>
        <w:t>, 5082–5096 (2001).</w:t>
      </w:r>
    </w:p>
    <w:p w14:paraId="2962F2EE" w14:textId="77777777" w:rsidR="00405EDD" w:rsidRPr="00405EDD" w:rsidRDefault="00405EDD" w:rsidP="00DD7F74">
      <w:pPr>
        <w:pStyle w:val="Bibliography"/>
        <w:spacing w:line="240" w:lineRule="auto"/>
        <w:rPr>
          <w:rFonts w:eastAsiaTheme="minorHAnsi"/>
        </w:rPr>
      </w:pPr>
      <w:r w:rsidRPr="00405EDD">
        <w:rPr>
          <w:rFonts w:eastAsiaTheme="minorHAnsi"/>
        </w:rPr>
        <w:t>31.</w:t>
      </w:r>
      <w:r w:rsidRPr="00405EDD">
        <w:rPr>
          <w:rFonts w:eastAsiaTheme="minorHAnsi"/>
        </w:rPr>
        <w:tab/>
        <w:t xml:space="preserve">Best, R. B., Hummer, G. &amp; Eaton, W. A. Native contacts determine protein folding mechanisms in atomistic simulations.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110</w:t>
      </w:r>
      <w:r w:rsidRPr="00405EDD">
        <w:rPr>
          <w:rFonts w:eastAsiaTheme="minorHAnsi"/>
        </w:rPr>
        <w:t>, 17874–17879 (2013).</w:t>
      </w:r>
    </w:p>
    <w:p w14:paraId="540E69F4" w14:textId="77777777" w:rsidR="00405EDD" w:rsidRPr="00405EDD" w:rsidRDefault="00405EDD" w:rsidP="00DD7F74">
      <w:pPr>
        <w:pStyle w:val="Bibliography"/>
        <w:spacing w:line="240" w:lineRule="auto"/>
        <w:rPr>
          <w:rFonts w:eastAsiaTheme="minorHAnsi"/>
        </w:rPr>
      </w:pPr>
      <w:r w:rsidRPr="00405EDD">
        <w:rPr>
          <w:rFonts w:eastAsiaTheme="minorHAnsi"/>
        </w:rPr>
        <w:t>32.</w:t>
      </w:r>
      <w:r w:rsidRPr="00405EDD">
        <w:rPr>
          <w:rFonts w:eastAsiaTheme="minorHAnsi"/>
        </w:rPr>
        <w:tab/>
        <w:t xml:space="preserve">Zhang, J., Hou, T., Wang, W. &amp; Liu, J. S. Detecting and understanding combinatorial mutation patterns responsible for HIV drug resistance.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107</w:t>
      </w:r>
      <w:r w:rsidRPr="00405EDD">
        <w:rPr>
          <w:rFonts w:eastAsiaTheme="minorHAnsi"/>
        </w:rPr>
        <w:t>, 1321–1326 (2010).</w:t>
      </w:r>
    </w:p>
    <w:p w14:paraId="48039925" w14:textId="77777777" w:rsidR="00405EDD" w:rsidRPr="00405EDD" w:rsidRDefault="00405EDD" w:rsidP="00DD7F74">
      <w:pPr>
        <w:pStyle w:val="Bibliography"/>
        <w:spacing w:line="240" w:lineRule="auto"/>
        <w:rPr>
          <w:rFonts w:eastAsiaTheme="minorHAnsi"/>
        </w:rPr>
      </w:pPr>
      <w:r w:rsidRPr="00405EDD">
        <w:rPr>
          <w:rFonts w:eastAsiaTheme="minorHAnsi"/>
        </w:rPr>
        <w:t>33.</w:t>
      </w:r>
      <w:r w:rsidRPr="00405EDD">
        <w:rPr>
          <w:rFonts w:eastAsiaTheme="minorHAnsi"/>
        </w:rPr>
        <w:tab/>
        <w:t xml:space="preserve">da Silva, H. H. S. A., Pereira, N., Brandão, L., Crovella, S. &amp; Moura, R. Prediction of HIV integrase resistance mutation using </w:t>
      </w:r>
      <w:r w:rsidRPr="00405EDD">
        <w:rPr>
          <w:rFonts w:eastAsiaTheme="minorHAnsi"/>
          <w:i/>
          <w:iCs/>
        </w:rPr>
        <w:t>in silico</w:t>
      </w:r>
      <w:r w:rsidRPr="00405EDD">
        <w:rPr>
          <w:rFonts w:eastAsiaTheme="minorHAnsi"/>
        </w:rPr>
        <w:t xml:space="preserve"> approaches. </w:t>
      </w:r>
      <w:r w:rsidRPr="00405EDD">
        <w:rPr>
          <w:rFonts w:eastAsiaTheme="minorHAnsi"/>
          <w:i/>
          <w:iCs/>
        </w:rPr>
        <w:t>Infection, Genetics and Evolution</w:t>
      </w:r>
      <w:r w:rsidRPr="00405EDD">
        <w:rPr>
          <w:rFonts w:eastAsiaTheme="minorHAnsi"/>
        </w:rPr>
        <w:t xml:space="preserve"> </w:t>
      </w:r>
      <w:r w:rsidRPr="00405EDD">
        <w:rPr>
          <w:rFonts w:eastAsiaTheme="minorHAnsi"/>
          <w:b/>
          <w:bCs/>
        </w:rPr>
        <w:t>68</w:t>
      </w:r>
      <w:r w:rsidRPr="00405EDD">
        <w:rPr>
          <w:rFonts w:eastAsiaTheme="minorHAnsi"/>
        </w:rPr>
        <w:t>, 10–15 (2019).</w:t>
      </w:r>
    </w:p>
    <w:p w14:paraId="4D1702AC" w14:textId="77777777" w:rsidR="00405EDD" w:rsidRPr="00405EDD" w:rsidRDefault="00405EDD" w:rsidP="00DD7F74">
      <w:pPr>
        <w:pStyle w:val="Bibliography"/>
        <w:spacing w:line="240" w:lineRule="auto"/>
        <w:rPr>
          <w:rFonts w:eastAsiaTheme="minorHAnsi"/>
        </w:rPr>
      </w:pPr>
      <w:r w:rsidRPr="00405EDD">
        <w:rPr>
          <w:rFonts w:eastAsiaTheme="minorHAnsi"/>
        </w:rPr>
        <w:t>34.</w:t>
      </w:r>
      <w:r w:rsidRPr="00405EDD">
        <w:rPr>
          <w:rFonts w:eastAsiaTheme="minorHAnsi"/>
        </w:rPr>
        <w:tab/>
        <w:t xml:space="preserve">Hosseini, A. </w:t>
      </w:r>
      <w:r w:rsidRPr="00405EDD">
        <w:rPr>
          <w:rFonts w:eastAsiaTheme="minorHAnsi"/>
          <w:i/>
          <w:iCs/>
        </w:rPr>
        <w:t>et al.</w:t>
      </w:r>
      <w:r w:rsidRPr="00405EDD">
        <w:rPr>
          <w:rFonts w:eastAsiaTheme="minorHAnsi"/>
        </w:rPr>
        <w:t xml:space="preserve"> Computational Prediction of HIV-1 Resistance to Protease Inhibitors. </w:t>
      </w:r>
      <w:r w:rsidRPr="00405EDD">
        <w:rPr>
          <w:rFonts w:eastAsiaTheme="minorHAnsi"/>
          <w:i/>
          <w:iCs/>
        </w:rPr>
        <w:t>J. Chem. Inf. Model.</w:t>
      </w:r>
      <w:r w:rsidRPr="00405EDD">
        <w:rPr>
          <w:rFonts w:eastAsiaTheme="minorHAnsi"/>
        </w:rPr>
        <w:t xml:space="preserve"> </w:t>
      </w:r>
      <w:r w:rsidRPr="00405EDD">
        <w:rPr>
          <w:rFonts w:eastAsiaTheme="minorHAnsi"/>
          <w:b/>
          <w:bCs/>
        </w:rPr>
        <w:t>56</w:t>
      </w:r>
      <w:r w:rsidRPr="00405EDD">
        <w:rPr>
          <w:rFonts w:eastAsiaTheme="minorHAnsi"/>
        </w:rPr>
        <w:t>, 915–923 (2016).</w:t>
      </w:r>
    </w:p>
    <w:p w14:paraId="06CE5F59"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35.</w:t>
      </w:r>
      <w:r w:rsidRPr="00405EDD">
        <w:rPr>
          <w:rFonts w:eastAsiaTheme="minorHAnsi"/>
        </w:rPr>
        <w:tab/>
        <w:t xml:space="preserve">Kabsch, W. A solution for the best rotation to relate two sets of vectors. </w:t>
      </w:r>
      <w:r w:rsidRPr="00405EDD">
        <w:rPr>
          <w:rFonts w:eastAsiaTheme="minorHAnsi"/>
          <w:i/>
          <w:iCs/>
        </w:rPr>
        <w:t>Acta Crystallographica Section A</w:t>
      </w:r>
      <w:r w:rsidRPr="00405EDD">
        <w:rPr>
          <w:rFonts w:eastAsiaTheme="minorHAnsi"/>
        </w:rPr>
        <w:t xml:space="preserve"> </w:t>
      </w:r>
      <w:r w:rsidRPr="00405EDD">
        <w:rPr>
          <w:rFonts w:eastAsiaTheme="minorHAnsi"/>
          <w:b/>
          <w:bCs/>
        </w:rPr>
        <w:t>32</w:t>
      </w:r>
      <w:r w:rsidRPr="00405EDD">
        <w:rPr>
          <w:rFonts w:eastAsiaTheme="minorHAnsi"/>
        </w:rPr>
        <w:t>, 922–923 (1976).</w:t>
      </w:r>
    </w:p>
    <w:p w14:paraId="362C8B29" w14:textId="77777777" w:rsidR="00405EDD" w:rsidRPr="00405EDD" w:rsidRDefault="00405EDD" w:rsidP="00DD7F74">
      <w:pPr>
        <w:pStyle w:val="Bibliography"/>
        <w:spacing w:line="240" w:lineRule="auto"/>
        <w:rPr>
          <w:rFonts w:eastAsiaTheme="minorHAnsi"/>
        </w:rPr>
      </w:pPr>
      <w:r w:rsidRPr="00405EDD">
        <w:rPr>
          <w:rFonts w:eastAsiaTheme="minorHAnsi"/>
        </w:rPr>
        <w:t>36.</w:t>
      </w:r>
      <w:r w:rsidRPr="00405EDD">
        <w:rPr>
          <w:rFonts w:eastAsiaTheme="minorHAnsi"/>
        </w:rPr>
        <w:tab/>
        <w:t xml:space="preserve">Eastman, P. </w:t>
      </w:r>
      <w:r w:rsidRPr="00405EDD">
        <w:rPr>
          <w:rFonts w:eastAsiaTheme="minorHAnsi"/>
          <w:i/>
          <w:iCs/>
        </w:rPr>
        <w:t>et al.</w:t>
      </w:r>
      <w:r w:rsidRPr="00405EDD">
        <w:rPr>
          <w:rFonts w:eastAsiaTheme="minorHAnsi"/>
        </w:rPr>
        <w:t xml:space="preserve"> OpenMM 7: Rapid development of high performance algorithms for molecular dynamics. </w:t>
      </w:r>
      <w:r w:rsidRPr="00405EDD">
        <w:rPr>
          <w:rFonts w:eastAsiaTheme="minorHAnsi"/>
          <w:i/>
          <w:iCs/>
        </w:rPr>
        <w:t>PLOS Computational Biology</w:t>
      </w:r>
      <w:r w:rsidRPr="00405EDD">
        <w:rPr>
          <w:rFonts w:eastAsiaTheme="minorHAnsi"/>
        </w:rPr>
        <w:t xml:space="preserve"> </w:t>
      </w:r>
      <w:r w:rsidRPr="00405EDD">
        <w:rPr>
          <w:rFonts w:eastAsiaTheme="minorHAnsi"/>
          <w:b/>
          <w:bCs/>
        </w:rPr>
        <w:t>13</w:t>
      </w:r>
      <w:r w:rsidRPr="00405EDD">
        <w:rPr>
          <w:rFonts w:eastAsiaTheme="minorHAnsi"/>
        </w:rPr>
        <w:t>, e1005659 (2017).</w:t>
      </w:r>
    </w:p>
    <w:p w14:paraId="65E375B7" w14:textId="77777777" w:rsidR="00405EDD" w:rsidRPr="00405EDD" w:rsidRDefault="00405EDD" w:rsidP="00DD7F74">
      <w:pPr>
        <w:pStyle w:val="Bibliography"/>
        <w:spacing w:line="240" w:lineRule="auto"/>
        <w:rPr>
          <w:rFonts w:eastAsiaTheme="minorHAnsi"/>
        </w:rPr>
      </w:pPr>
      <w:r w:rsidRPr="00405EDD">
        <w:rPr>
          <w:rFonts w:eastAsiaTheme="minorHAnsi"/>
        </w:rPr>
        <w:t>37.</w:t>
      </w:r>
      <w:r w:rsidRPr="00405EDD">
        <w:rPr>
          <w:rFonts w:eastAsiaTheme="minorHAnsi"/>
        </w:rPr>
        <w:tab/>
        <w:t xml:space="preserve">Maier, J. A. </w:t>
      </w:r>
      <w:r w:rsidRPr="00405EDD">
        <w:rPr>
          <w:rFonts w:eastAsiaTheme="minorHAnsi"/>
          <w:i/>
          <w:iCs/>
        </w:rPr>
        <w:t>et al.</w:t>
      </w:r>
      <w:r w:rsidRPr="00405EDD">
        <w:rPr>
          <w:rFonts w:eastAsiaTheme="minorHAnsi"/>
        </w:rPr>
        <w:t xml:space="preserve"> ff14SB: Improving the Accuracy of Protein Side Chain and Backbone Parameters from ff99SB. </w:t>
      </w:r>
      <w:r w:rsidRPr="00405EDD">
        <w:rPr>
          <w:rFonts w:eastAsiaTheme="minorHAnsi"/>
          <w:i/>
          <w:iCs/>
        </w:rPr>
        <w:t>J. Chem. Theory Comput.</w:t>
      </w:r>
      <w:r w:rsidRPr="00405EDD">
        <w:rPr>
          <w:rFonts w:eastAsiaTheme="minorHAnsi"/>
        </w:rPr>
        <w:t xml:space="preserve"> </w:t>
      </w:r>
      <w:r w:rsidRPr="00405EDD">
        <w:rPr>
          <w:rFonts w:eastAsiaTheme="minorHAnsi"/>
          <w:b/>
          <w:bCs/>
        </w:rPr>
        <w:t>11</w:t>
      </w:r>
      <w:r w:rsidRPr="00405EDD">
        <w:rPr>
          <w:rFonts w:eastAsiaTheme="minorHAnsi"/>
        </w:rPr>
        <w:t>, 3696–3713 (2015).</w:t>
      </w:r>
    </w:p>
    <w:p w14:paraId="6227D4CE" w14:textId="77777777" w:rsidR="00405EDD" w:rsidRPr="00405EDD" w:rsidRDefault="00405EDD" w:rsidP="00DD7F74">
      <w:pPr>
        <w:pStyle w:val="Bibliography"/>
        <w:spacing w:line="240" w:lineRule="auto"/>
        <w:rPr>
          <w:rFonts w:eastAsiaTheme="minorHAnsi"/>
        </w:rPr>
      </w:pPr>
      <w:r w:rsidRPr="00405EDD">
        <w:rPr>
          <w:rFonts w:eastAsiaTheme="minorHAnsi"/>
        </w:rPr>
        <w:t>38.</w:t>
      </w:r>
      <w:r w:rsidRPr="00405EDD">
        <w:rPr>
          <w:rFonts w:eastAsiaTheme="minorHAnsi"/>
        </w:rPr>
        <w:tab/>
        <w:t xml:space="preserve">Ivani, I. </w:t>
      </w:r>
      <w:r w:rsidRPr="00405EDD">
        <w:rPr>
          <w:rFonts w:eastAsiaTheme="minorHAnsi"/>
          <w:i/>
          <w:iCs/>
        </w:rPr>
        <w:t>et al.</w:t>
      </w:r>
      <w:r w:rsidRPr="00405EDD">
        <w:rPr>
          <w:rFonts w:eastAsiaTheme="minorHAnsi"/>
        </w:rPr>
        <w:t xml:space="preserve"> Parmbsc1: a refined force field for DNA simulations. </w:t>
      </w:r>
      <w:r w:rsidRPr="00405EDD">
        <w:rPr>
          <w:rFonts w:eastAsiaTheme="minorHAnsi"/>
          <w:i/>
          <w:iCs/>
        </w:rPr>
        <w:t>Nat Methods</w:t>
      </w:r>
      <w:r w:rsidRPr="00405EDD">
        <w:rPr>
          <w:rFonts w:eastAsiaTheme="minorHAnsi"/>
        </w:rPr>
        <w:t xml:space="preserve"> </w:t>
      </w:r>
      <w:r w:rsidRPr="00405EDD">
        <w:rPr>
          <w:rFonts w:eastAsiaTheme="minorHAnsi"/>
          <w:b/>
          <w:bCs/>
        </w:rPr>
        <w:t>13</w:t>
      </w:r>
      <w:r w:rsidRPr="00405EDD">
        <w:rPr>
          <w:rFonts w:eastAsiaTheme="minorHAnsi"/>
        </w:rPr>
        <w:t>, 55–58 (2016).</w:t>
      </w:r>
    </w:p>
    <w:p w14:paraId="2D1BCF2F" w14:textId="77777777" w:rsidR="00405EDD" w:rsidRPr="00405EDD" w:rsidRDefault="00405EDD" w:rsidP="00DD7F74">
      <w:pPr>
        <w:pStyle w:val="Bibliography"/>
        <w:spacing w:line="240" w:lineRule="auto"/>
        <w:rPr>
          <w:rFonts w:eastAsiaTheme="minorHAnsi"/>
        </w:rPr>
      </w:pPr>
      <w:r w:rsidRPr="00405EDD">
        <w:rPr>
          <w:rFonts w:eastAsiaTheme="minorHAnsi"/>
        </w:rPr>
        <w:t>39.</w:t>
      </w:r>
      <w:r w:rsidRPr="00405EDD">
        <w:rPr>
          <w:rFonts w:eastAsiaTheme="minorHAnsi"/>
        </w:rPr>
        <w:tab/>
        <w:t xml:space="preserve">Jorgensen, W. L., Chandrasekhar, J., Madura, J. D., Impey, R. W. &amp; Klein, M. L. Comparison of simple potential functions for simulating liquid water. </w:t>
      </w:r>
      <w:r w:rsidRPr="00405EDD">
        <w:rPr>
          <w:rFonts w:eastAsiaTheme="minorHAnsi"/>
          <w:i/>
          <w:iCs/>
        </w:rPr>
        <w:t>J. Chem. Phys.</w:t>
      </w:r>
      <w:r w:rsidRPr="00405EDD">
        <w:rPr>
          <w:rFonts w:eastAsiaTheme="minorHAnsi"/>
        </w:rPr>
        <w:t xml:space="preserve"> </w:t>
      </w:r>
      <w:r w:rsidRPr="00405EDD">
        <w:rPr>
          <w:rFonts w:eastAsiaTheme="minorHAnsi"/>
          <w:b/>
          <w:bCs/>
        </w:rPr>
        <w:t>79</w:t>
      </w:r>
      <w:r w:rsidRPr="00405EDD">
        <w:rPr>
          <w:rFonts w:eastAsiaTheme="minorHAnsi"/>
        </w:rPr>
        <w:t>, 926–935 (1983).</w:t>
      </w:r>
    </w:p>
    <w:p w14:paraId="1EE80A94" w14:textId="77777777" w:rsidR="00405EDD" w:rsidRPr="00405EDD" w:rsidRDefault="00405EDD" w:rsidP="00DD7F74">
      <w:pPr>
        <w:pStyle w:val="Bibliography"/>
        <w:spacing w:line="240" w:lineRule="auto"/>
        <w:rPr>
          <w:rFonts w:eastAsiaTheme="minorHAnsi"/>
        </w:rPr>
      </w:pPr>
      <w:r w:rsidRPr="00405EDD">
        <w:rPr>
          <w:rFonts w:eastAsiaTheme="minorHAnsi"/>
        </w:rPr>
        <w:t>40.</w:t>
      </w:r>
      <w:r w:rsidRPr="00405EDD">
        <w:rPr>
          <w:rFonts w:eastAsiaTheme="minorHAnsi"/>
        </w:rPr>
        <w:tab/>
        <w:t xml:space="preserve">Mobley, D. L. </w:t>
      </w:r>
      <w:r w:rsidRPr="00405EDD">
        <w:rPr>
          <w:rFonts w:eastAsiaTheme="minorHAnsi"/>
          <w:i/>
          <w:iCs/>
        </w:rPr>
        <w:t>et al.</w:t>
      </w:r>
      <w:r w:rsidRPr="00405EDD">
        <w:rPr>
          <w:rFonts w:eastAsiaTheme="minorHAnsi"/>
        </w:rPr>
        <w:t xml:space="preserve"> Escaping Atom Types in Force Fields Using Direct Chemical Perception. </w:t>
      </w:r>
      <w:r w:rsidRPr="00405EDD">
        <w:rPr>
          <w:rFonts w:eastAsiaTheme="minorHAnsi"/>
          <w:i/>
          <w:iCs/>
        </w:rPr>
        <w:t>J. Chem. Theory Comput.</w:t>
      </w:r>
      <w:r w:rsidRPr="00405EDD">
        <w:rPr>
          <w:rFonts w:eastAsiaTheme="minorHAnsi"/>
        </w:rPr>
        <w:t xml:space="preserve"> </w:t>
      </w:r>
      <w:r w:rsidRPr="00405EDD">
        <w:rPr>
          <w:rFonts w:eastAsiaTheme="minorHAnsi"/>
          <w:b/>
          <w:bCs/>
        </w:rPr>
        <w:t>14</w:t>
      </w:r>
      <w:r w:rsidRPr="00405EDD">
        <w:rPr>
          <w:rFonts w:eastAsiaTheme="minorHAnsi"/>
        </w:rPr>
        <w:t>, 6076–6092 (2018).</w:t>
      </w:r>
    </w:p>
    <w:p w14:paraId="46EA94B3" w14:textId="77777777" w:rsidR="00405EDD" w:rsidRPr="00405EDD" w:rsidRDefault="00405EDD" w:rsidP="00DD7F74">
      <w:pPr>
        <w:pStyle w:val="Bibliography"/>
        <w:spacing w:line="240" w:lineRule="auto"/>
        <w:rPr>
          <w:rFonts w:eastAsiaTheme="minorHAnsi"/>
        </w:rPr>
      </w:pPr>
      <w:r w:rsidRPr="00405EDD">
        <w:rPr>
          <w:rFonts w:eastAsiaTheme="minorHAnsi"/>
        </w:rPr>
        <w:t>41.</w:t>
      </w:r>
      <w:r w:rsidRPr="00405EDD">
        <w:rPr>
          <w:rFonts w:eastAsiaTheme="minorHAnsi"/>
        </w:rPr>
        <w:tab/>
        <w:t xml:space="preserve">Gasteiger, J. &amp; Marsili, M. Iterative partial equalization of orbital electronegativity—a rapid access to atomic charges. </w:t>
      </w:r>
      <w:r w:rsidRPr="00405EDD">
        <w:rPr>
          <w:rFonts w:eastAsiaTheme="minorHAnsi"/>
          <w:i/>
          <w:iCs/>
        </w:rPr>
        <w:t>Tetrahedron</w:t>
      </w:r>
      <w:r w:rsidRPr="00405EDD">
        <w:rPr>
          <w:rFonts w:eastAsiaTheme="minorHAnsi"/>
        </w:rPr>
        <w:t xml:space="preserve"> </w:t>
      </w:r>
      <w:r w:rsidRPr="00405EDD">
        <w:rPr>
          <w:rFonts w:eastAsiaTheme="minorHAnsi"/>
          <w:b/>
          <w:bCs/>
        </w:rPr>
        <w:t>36</w:t>
      </w:r>
      <w:r w:rsidRPr="00405EDD">
        <w:rPr>
          <w:rFonts w:eastAsiaTheme="minorHAnsi"/>
        </w:rPr>
        <w:t>, 3219–3228 (1980).</w:t>
      </w:r>
    </w:p>
    <w:p w14:paraId="30577510" w14:textId="77777777" w:rsidR="00405EDD" w:rsidRPr="00405EDD" w:rsidRDefault="00405EDD" w:rsidP="00DD7F74">
      <w:pPr>
        <w:pStyle w:val="Bibliography"/>
        <w:spacing w:line="240" w:lineRule="auto"/>
        <w:rPr>
          <w:rFonts w:eastAsiaTheme="minorHAnsi"/>
        </w:rPr>
      </w:pPr>
      <w:r w:rsidRPr="00405EDD">
        <w:rPr>
          <w:rFonts w:eastAsiaTheme="minorHAnsi"/>
        </w:rPr>
        <w:t>42.</w:t>
      </w:r>
      <w:r w:rsidRPr="00405EDD">
        <w:rPr>
          <w:rFonts w:eastAsiaTheme="minorHAnsi"/>
        </w:rPr>
        <w:tab/>
        <w:t>Darden, T., York, D. &amp; Pedersen, L. Particle mesh Ewald: An N</w:t>
      </w:r>
      <w:r w:rsidRPr="00405EDD">
        <w:rPr>
          <w:rFonts w:ascii="Cambria Math" w:eastAsiaTheme="minorHAnsi" w:hAnsi="Cambria Math" w:cs="Cambria Math"/>
        </w:rPr>
        <w:t>⋅</w:t>
      </w:r>
      <w:r w:rsidRPr="00405EDD">
        <w:rPr>
          <w:rFonts w:eastAsiaTheme="minorHAnsi"/>
        </w:rPr>
        <w:t xml:space="preserve">log(N) method for Ewald sums in large systems. </w:t>
      </w:r>
      <w:r w:rsidRPr="00405EDD">
        <w:rPr>
          <w:rFonts w:eastAsiaTheme="minorHAnsi"/>
          <w:i/>
          <w:iCs/>
        </w:rPr>
        <w:t>J. Chem. Phys.</w:t>
      </w:r>
      <w:r w:rsidRPr="00405EDD">
        <w:rPr>
          <w:rFonts w:eastAsiaTheme="minorHAnsi"/>
        </w:rPr>
        <w:t xml:space="preserve"> </w:t>
      </w:r>
      <w:r w:rsidRPr="00405EDD">
        <w:rPr>
          <w:rFonts w:eastAsiaTheme="minorHAnsi"/>
          <w:b/>
          <w:bCs/>
        </w:rPr>
        <w:t>98</w:t>
      </w:r>
      <w:r w:rsidRPr="00405EDD">
        <w:rPr>
          <w:rFonts w:eastAsiaTheme="minorHAnsi"/>
        </w:rPr>
        <w:t>, 10089–10092 (1993).</w:t>
      </w:r>
    </w:p>
    <w:p w14:paraId="2632BF14" w14:textId="77777777" w:rsidR="00405EDD" w:rsidRPr="00405EDD" w:rsidRDefault="00405EDD" w:rsidP="00DD7F74">
      <w:pPr>
        <w:pStyle w:val="Bibliography"/>
        <w:spacing w:line="240" w:lineRule="auto"/>
        <w:rPr>
          <w:rFonts w:eastAsiaTheme="minorHAnsi"/>
        </w:rPr>
      </w:pPr>
      <w:r w:rsidRPr="00405EDD">
        <w:rPr>
          <w:rFonts w:eastAsiaTheme="minorHAnsi"/>
        </w:rPr>
        <w:t>43.</w:t>
      </w:r>
      <w:r w:rsidRPr="00405EDD">
        <w:rPr>
          <w:rFonts w:eastAsiaTheme="minorHAnsi"/>
        </w:rPr>
        <w:tab/>
        <w:t xml:space="preserve">Michaud-Agrawal, N., Denning, E. J., Woolf, T. B. &amp; Beckstein, O. MDAnalysis: A toolkit for the analysis of molecular dynamics simulations. </w:t>
      </w:r>
      <w:r w:rsidRPr="00405EDD">
        <w:rPr>
          <w:rFonts w:eastAsiaTheme="minorHAnsi"/>
          <w:i/>
          <w:iCs/>
        </w:rPr>
        <w:t>Journal of Computational Chemistry</w:t>
      </w:r>
      <w:r w:rsidRPr="00405EDD">
        <w:rPr>
          <w:rFonts w:eastAsiaTheme="minorHAnsi"/>
        </w:rPr>
        <w:t xml:space="preserve"> </w:t>
      </w:r>
      <w:r w:rsidRPr="00405EDD">
        <w:rPr>
          <w:rFonts w:eastAsiaTheme="minorHAnsi"/>
          <w:b/>
          <w:bCs/>
        </w:rPr>
        <w:t>32</w:t>
      </w:r>
      <w:r w:rsidRPr="00405EDD">
        <w:rPr>
          <w:rFonts w:eastAsiaTheme="minorHAnsi"/>
        </w:rPr>
        <w:t>, 2319–2327 (2011).</w:t>
      </w:r>
    </w:p>
    <w:p w14:paraId="03D93B0F" w14:textId="77777777" w:rsidR="00405EDD" w:rsidRPr="00405EDD" w:rsidRDefault="00405EDD" w:rsidP="00DD7F74">
      <w:pPr>
        <w:pStyle w:val="Bibliography"/>
        <w:spacing w:line="240" w:lineRule="auto"/>
        <w:rPr>
          <w:rFonts w:eastAsiaTheme="minorHAnsi"/>
        </w:rPr>
      </w:pPr>
      <w:r w:rsidRPr="00405EDD">
        <w:rPr>
          <w:rFonts w:eastAsiaTheme="minorHAnsi"/>
        </w:rPr>
        <w:t>44.</w:t>
      </w:r>
      <w:r w:rsidRPr="00405EDD">
        <w:rPr>
          <w:rFonts w:eastAsiaTheme="minorHAnsi"/>
        </w:rPr>
        <w:tab/>
        <w:t xml:space="preserve">McGibbon, R. T. </w:t>
      </w:r>
      <w:r w:rsidRPr="00405EDD">
        <w:rPr>
          <w:rFonts w:eastAsiaTheme="minorHAnsi"/>
          <w:i/>
          <w:iCs/>
        </w:rPr>
        <w:t>et al.</w:t>
      </w:r>
      <w:r w:rsidRPr="00405EDD">
        <w:rPr>
          <w:rFonts w:eastAsiaTheme="minorHAnsi"/>
        </w:rPr>
        <w:t xml:space="preserve"> MDTraj: A Modern Open Library for the Analysis of Molecular Dynamics Trajectories. </w:t>
      </w:r>
      <w:r w:rsidRPr="00405EDD">
        <w:rPr>
          <w:rFonts w:eastAsiaTheme="minorHAnsi"/>
          <w:i/>
          <w:iCs/>
        </w:rPr>
        <w:t>Biophysical Journal</w:t>
      </w:r>
      <w:r w:rsidRPr="00405EDD">
        <w:rPr>
          <w:rFonts w:eastAsiaTheme="minorHAnsi"/>
        </w:rPr>
        <w:t xml:space="preserve"> </w:t>
      </w:r>
      <w:r w:rsidRPr="00405EDD">
        <w:rPr>
          <w:rFonts w:eastAsiaTheme="minorHAnsi"/>
          <w:b/>
          <w:bCs/>
        </w:rPr>
        <w:t>109</w:t>
      </w:r>
      <w:r w:rsidRPr="00405EDD">
        <w:rPr>
          <w:rFonts w:eastAsiaTheme="minorHAnsi"/>
        </w:rPr>
        <w:t>, 1528–1532 (2015).</w:t>
      </w:r>
    </w:p>
    <w:p w14:paraId="3FBB6B4B" w14:textId="77777777" w:rsidR="00405EDD" w:rsidRPr="00405EDD" w:rsidRDefault="00405EDD" w:rsidP="00DD7F74">
      <w:pPr>
        <w:pStyle w:val="Bibliography"/>
        <w:spacing w:line="240" w:lineRule="auto"/>
        <w:rPr>
          <w:rFonts w:eastAsiaTheme="minorHAnsi"/>
        </w:rPr>
      </w:pPr>
      <w:r w:rsidRPr="00405EDD">
        <w:rPr>
          <w:rFonts w:eastAsiaTheme="minorHAnsi"/>
        </w:rPr>
        <w:t>45.</w:t>
      </w:r>
      <w:r w:rsidRPr="00405EDD">
        <w:rPr>
          <w:rFonts w:eastAsiaTheme="minorHAnsi"/>
        </w:rPr>
        <w:tab/>
        <w:t xml:space="preserve">Massova, I. &amp; Kollman, P. A. Combined molecular mechanical and continuum solvent approach (MM-PBSA/GBSA) to predict ligand binding. </w:t>
      </w:r>
      <w:r w:rsidRPr="00405EDD">
        <w:rPr>
          <w:rFonts w:eastAsiaTheme="minorHAnsi"/>
          <w:i/>
          <w:iCs/>
        </w:rPr>
        <w:t>Perspectives in Drug Discovery and Design</w:t>
      </w:r>
      <w:r w:rsidRPr="00405EDD">
        <w:rPr>
          <w:rFonts w:eastAsiaTheme="minorHAnsi"/>
        </w:rPr>
        <w:t xml:space="preserve"> </w:t>
      </w:r>
      <w:r w:rsidRPr="00405EDD">
        <w:rPr>
          <w:rFonts w:eastAsiaTheme="minorHAnsi"/>
          <w:b/>
          <w:bCs/>
        </w:rPr>
        <w:t>18</w:t>
      </w:r>
      <w:r w:rsidRPr="00405EDD">
        <w:rPr>
          <w:rFonts w:eastAsiaTheme="minorHAnsi"/>
        </w:rPr>
        <w:t>, 113–135 (2000).</w:t>
      </w:r>
    </w:p>
    <w:p w14:paraId="140FE29B" w14:textId="77777777" w:rsidR="00405EDD" w:rsidRPr="00405EDD" w:rsidRDefault="00405EDD" w:rsidP="00DD7F74">
      <w:pPr>
        <w:pStyle w:val="Bibliography"/>
        <w:spacing w:line="240" w:lineRule="auto"/>
        <w:rPr>
          <w:rFonts w:eastAsiaTheme="minorHAnsi"/>
        </w:rPr>
      </w:pPr>
      <w:r w:rsidRPr="00405EDD">
        <w:rPr>
          <w:rFonts w:eastAsiaTheme="minorHAnsi"/>
        </w:rPr>
        <w:t>46.</w:t>
      </w:r>
      <w:r w:rsidRPr="00405EDD">
        <w:rPr>
          <w:rFonts w:eastAsiaTheme="minorHAnsi"/>
        </w:rPr>
        <w:tab/>
        <w:t xml:space="preserve">Onufriev, A., Bashford, D. &amp; Case, D. A. Exploring protein native states and large-scale conformational changes with a modified generalized born model. </w:t>
      </w:r>
      <w:r w:rsidRPr="00405EDD">
        <w:rPr>
          <w:rFonts w:eastAsiaTheme="minorHAnsi"/>
          <w:i/>
          <w:iCs/>
        </w:rPr>
        <w:t>Proteins: Structure, Function, and Bioinformatics</w:t>
      </w:r>
      <w:r w:rsidRPr="00405EDD">
        <w:rPr>
          <w:rFonts w:eastAsiaTheme="minorHAnsi"/>
        </w:rPr>
        <w:t xml:space="preserve"> </w:t>
      </w:r>
      <w:r w:rsidRPr="00405EDD">
        <w:rPr>
          <w:rFonts w:eastAsiaTheme="minorHAnsi"/>
          <w:b/>
          <w:bCs/>
        </w:rPr>
        <w:t>55</w:t>
      </w:r>
      <w:r w:rsidRPr="00405EDD">
        <w:rPr>
          <w:rFonts w:eastAsiaTheme="minorHAnsi"/>
        </w:rPr>
        <w:t>, 383–394 (2004).</w:t>
      </w:r>
    </w:p>
    <w:p w14:paraId="22A16918" w14:textId="40751D4A" w:rsidR="007B0373" w:rsidRPr="00BB3608" w:rsidRDefault="00763B1D" w:rsidP="00DD7F74">
      <w:pPr>
        <w:pStyle w:val="Bibliography"/>
        <w:spacing w:line="240" w:lineRule="auto"/>
        <w:rPr>
          <w:rFonts w:ascii="Times New Roman" w:hAnsi="Times New Roman" w:cs="Times New Roman"/>
          <w:szCs w:val="24"/>
        </w:rPr>
      </w:pPr>
      <w:r>
        <w:rPr>
          <w:rFonts w:ascii="Times New Roman" w:hAnsi="Times New Roman" w:cs="Times New Roman"/>
          <w:szCs w:val="24"/>
        </w:rPr>
        <w:fldChar w:fldCharType="end"/>
      </w:r>
    </w:p>
    <w:sectPr w:rsidR="007B0373" w:rsidRPr="00BB3608" w:rsidSect="0000688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DCC388" w14:textId="77777777" w:rsidR="002F2EE9" w:rsidRDefault="002F2EE9" w:rsidP="00EA5648">
      <w:r>
        <w:separator/>
      </w:r>
    </w:p>
  </w:endnote>
  <w:endnote w:type="continuationSeparator" w:id="0">
    <w:p w14:paraId="5EE8B8FC" w14:textId="77777777" w:rsidR="002F2EE9" w:rsidRDefault="002F2EE9" w:rsidP="00EA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3672657"/>
      <w:docPartObj>
        <w:docPartGallery w:val="Page Numbers (Bottom of Page)"/>
        <w:docPartUnique/>
      </w:docPartObj>
    </w:sdtPr>
    <w:sdtContent>
      <w:p w14:paraId="0A6A5FE2" w14:textId="7CFE8F21"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641E2" w14:textId="77777777" w:rsidR="00EA5648" w:rsidRDefault="00EA5648" w:rsidP="00EA5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6073830"/>
      <w:docPartObj>
        <w:docPartGallery w:val="Page Numbers (Bottom of Page)"/>
        <w:docPartUnique/>
      </w:docPartObj>
    </w:sdtPr>
    <w:sdtContent>
      <w:p w14:paraId="7F8B0775" w14:textId="5DB9CA4B"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9364B4" w14:textId="77777777" w:rsidR="00EA5648" w:rsidRDefault="00EA5648" w:rsidP="00EA56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887533" w14:textId="77777777" w:rsidR="002F2EE9" w:rsidRDefault="002F2EE9" w:rsidP="00EA5648">
      <w:r>
        <w:separator/>
      </w:r>
    </w:p>
  </w:footnote>
  <w:footnote w:type="continuationSeparator" w:id="0">
    <w:p w14:paraId="30EFFAD7" w14:textId="77777777" w:rsidR="002F2EE9" w:rsidRDefault="002F2EE9" w:rsidP="00EA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7503A"/>
    <w:multiLevelType w:val="hybridMultilevel"/>
    <w:tmpl w:val="CCA0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7A4327"/>
    <w:multiLevelType w:val="hybridMultilevel"/>
    <w:tmpl w:val="93102F00"/>
    <w:lvl w:ilvl="0" w:tplc="BE80DC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 w:numId="2" w16cid:durableId="1834369387">
    <w:abstractNumId w:val="2"/>
  </w:num>
  <w:num w:numId="3" w16cid:durableId="3010356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1714"/>
    <w:rsid w:val="000060CC"/>
    <w:rsid w:val="00006884"/>
    <w:rsid w:val="00006FB2"/>
    <w:rsid w:val="000156E3"/>
    <w:rsid w:val="00020DEC"/>
    <w:rsid w:val="00021A9F"/>
    <w:rsid w:val="000366F8"/>
    <w:rsid w:val="00037D36"/>
    <w:rsid w:val="00040531"/>
    <w:rsid w:val="000406F0"/>
    <w:rsid w:val="00044D00"/>
    <w:rsid w:val="0005224C"/>
    <w:rsid w:val="000538DD"/>
    <w:rsid w:val="00054F43"/>
    <w:rsid w:val="000606B1"/>
    <w:rsid w:val="000644BD"/>
    <w:rsid w:val="000644C3"/>
    <w:rsid w:val="000745EE"/>
    <w:rsid w:val="00083562"/>
    <w:rsid w:val="00085D4C"/>
    <w:rsid w:val="00087B21"/>
    <w:rsid w:val="000970E5"/>
    <w:rsid w:val="000973ED"/>
    <w:rsid w:val="00097E02"/>
    <w:rsid w:val="000A112D"/>
    <w:rsid w:val="000A1172"/>
    <w:rsid w:val="000A369B"/>
    <w:rsid w:val="000B1500"/>
    <w:rsid w:val="000B178E"/>
    <w:rsid w:val="000B2E35"/>
    <w:rsid w:val="000B4D8C"/>
    <w:rsid w:val="000C00CB"/>
    <w:rsid w:val="000C068E"/>
    <w:rsid w:val="000D17F2"/>
    <w:rsid w:val="000E328A"/>
    <w:rsid w:val="000F1E0E"/>
    <w:rsid w:val="000F60B5"/>
    <w:rsid w:val="00104796"/>
    <w:rsid w:val="00106118"/>
    <w:rsid w:val="001168E7"/>
    <w:rsid w:val="00120227"/>
    <w:rsid w:val="0012388D"/>
    <w:rsid w:val="00126D84"/>
    <w:rsid w:val="00131F32"/>
    <w:rsid w:val="00132E9B"/>
    <w:rsid w:val="00134A97"/>
    <w:rsid w:val="001352C3"/>
    <w:rsid w:val="00137D0E"/>
    <w:rsid w:val="0014494F"/>
    <w:rsid w:val="001464A2"/>
    <w:rsid w:val="00146F81"/>
    <w:rsid w:val="00152EA8"/>
    <w:rsid w:val="00153DE6"/>
    <w:rsid w:val="001550B3"/>
    <w:rsid w:val="0015518B"/>
    <w:rsid w:val="00155503"/>
    <w:rsid w:val="00162BB5"/>
    <w:rsid w:val="00165F8F"/>
    <w:rsid w:val="00166620"/>
    <w:rsid w:val="001823FD"/>
    <w:rsid w:val="00185C54"/>
    <w:rsid w:val="00186F60"/>
    <w:rsid w:val="00190719"/>
    <w:rsid w:val="001A726C"/>
    <w:rsid w:val="001B0C11"/>
    <w:rsid w:val="001C21DF"/>
    <w:rsid w:val="001C441B"/>
    <w:rsid w:val="001C6753"/>
    <w:rsid w:val="001C6A02"/>
    <w:rsid w:val="001D0F7D"/>
    <w:rsid w:val="001D5A97"/>
    <w:rsid w:val="001D7155"/>
    <w:rsid w:val="001E34F7"/>
    <w:rsid w:val="001E4A2E"/>
    <w:rsid w:val="001E4DE8"/>
    <w:rsid w:val="001E4EB9"/>
    <w:rsid w:val="001E7362"/>
    <w:rsid w:val="001F0A69"/>
    <w:rsid w:val="002023D5"/>
    <w:rsid w:val="00211E4E"/>
    <w:rsid w:val="00214355"/>
    <w:rsid w:val="0022348C"/>
    <w:rsid w:val="00230A01"/>
    <w:rsid w:val="002315FF"/>
    <w:rsid w:val="00232CAE"/>
    <w:rsid w:val="0023650E"/>
    <w:rsid w:val="00243BB0"/>
    <w:rsid w:val="002449B5"/>
    <w:rsid w:val="0024748A"/>
    <w:rsid w:val="00254253"/>
    <w:rsid w:val="0025592B"/>
    <w:rsid w:val="00262F5D"/>
    <w:rsid w:val="002671AE"/>
    <w:rsid w:val="00267344"/>
    <w:rsid w:val="00276BFB"/>
    <w:rsid w:val="002776BF"/>
    <w:rsid w:val="00277ED3"/>
    <w:rsid w:val="00281AB1"/>
    <w:rsid w:val="002902D1"/>
    <w:rsid w:val="00297BFC"/>
    <w:rsid w:val="002A64FB"/>
    <w:rsid w:val="002B34C5"/>
    <w:rsid w:val="002B5128"/>
    <w:rsid w:val="002B62B1"/>
    <w:rsid w:val="002B6DFB"/>
    <w:rsid w:val="002C427F"/>
    <w:rsid w:val="002D1287"/>
    <w:rsid w:val="002D20AA"/>
    <w:rsid w:val="002E2CAD"/>
    <w:rsid w:val="002F2EE9"/>
    <w:rsid w:val="002F5FE7"/>
    <w:rsid w:val="002F6B18"/>
    <w:rsid w:val="002F6EA2"/>
    <w:rsid w:val="00300C25"/>
    <w:rsid w:val="0030352F"/>
    <w:rsid w:val="0030458C"/>
    <w:rsid w:val="00304F6D"/>
    <w:rsid w:val="00316329"/>
    <w:rsid w:val="00321E53"/>
    <w:rsid w:val="0032366C"/>
    <w:rsid w:val="003250A6"/>
    <w:rsid w:val="00325C5A"/>
    <w:rsid w:val="00331512"/>
    <w:rsid w:val="0033198F"/>
    <w:rsid w:val="00335759"/>
    <w:rsid w:val="003422D8"/>
    <w:rsid w:val="003431AA"/>
    <w:rsid w:val="0034497A"/>
    <w:rsid w:val="003604E7"/>
    <w:rsid w:val="00361EA7"/>
    <w:rsid w:val="0036587A"/>
    <w:rsid w:val="00380DA1"/>
    <w:rsid w:val="00382137"/>
    <w:rsid w:val="00385FCC"/>
    <w:rsid w:val="003869F6"/>
    <w:rsid w:val="003919B1"/>
    <w:rsid w:val="003A1CB7"/>
    <w:rsid w:val="003A584C"/>
    <w:rsid w:val="003B05E9"/>
    <w:rsid w:val="003B21EA"/>
    <w:rsid w:val="003B67BA"/>
    <w:rsid w:val="003B7262"/>
    <w:rsid w:val="003C5F8B"/>
    <w:rsid w:val="003D40B4"/>
    <w:rsid w:val="003D7046"/>
    <w:rsid w:val="003E13C8"/>
    <w:rsid w:val="003E5C86"/>
    <w:rsid w:val="003F4B9F"/>
    <w:rsid w:val="003F6EE9"/>
    <w:rsid w:val="003F704A"/>
    <w:rsid w:val="003F74A7"/>
    <w:rsid w:val="00405EDD"/>
    <w:rsid w:val="00406A32"/>
    <w:rsid w:val="00413EE7"/>
    <w:rsid w:val="00415C1D"/>
    <w:rsid w:val="00430A42"/>
    <w:rsid w:val="0043131D"/>
    <w:rsid w:val="004327D7"/>
    <w:rsid w:val="00434A22"/>
    <w:rsid w:val="00434DCE"/>
    <w:rsid w:val="00442202"/>
    <w:rsid w:val="00442CB1"/>
    <w:rsid w:val="00443B09"/>
    <w:rsid w:val="00444107"/>
    <w:rsid w:val="00447D4A"/>
    <w:rsid w:val="00456A13"/>
    <w:rsid w:val="004574A0"/>
    <w:rsid w:val="00460C26"/>
    <w:rsid w:val="00461E7C"/>
    <w:rsid w:val="0046483F"/>
    <w:rsid w:val="00465185"/>
    <w:rsid w:val="00471553"/>
    <w:rsid w:val="00472985"/>
    <w:rsid w:val="00473791"/>
    <w:rsid w:val="00474924"/>
    <w:rsid w:val="004868BC"/>
    <w:rsid w:val="00486B05"/>
    <w:rsid w:val="004A3B78"/>
    <w:rsid w:val="004B23D9"/>
    <w:rsid w:val="004B41B1"/>
    <w:rsid w:val="004B60F7"/>
    <w:rsid w:val="004C2897"/>
    <w:rsid w:val="004D4709"/>
    <w:rsid w:val="004D758D"/>
    <w:rsid w:val="004E3CAD"/>
    <w:rsid w:val="004F5313"/>
    <w:rsid w:val="004F5449"/>
    <w:rsid w:val="005108E2"/>
    <w:rsid w:val="00516B6E"/>
    <w:rsid w:val="005170F9"/>
    <w:rsid w:val="005219C3"/>
    <w:rsid w:val="0052667C"/>
    <w:rsid w:val="00534F16"/>
    <w:rsid w:val="00536017"/>
    <w:rsid w:val="005365EF"/>
    <w:rsid w:val="00541059"/>
    <w:rsid w:val="005421C2"/>
    <w:rsid w:val="00542AD3"/>
    <w:rsid w:val="00544B7B"/>
    <w:rsid w:val="00546651"/>
    <w:rsid w:val="005475A5"/>
    <w:rsid w:val="005478F3"/>
    <w:rsid w:val="00547C65"/>
    <w:rsid w:val="00554FD7"/>
    <w:rsid w:val="00555948"/>
    <w:rsid w:val="00566485"/>
    <w:rsid w:val="00572245"/>
    <w:rsid w:val="00573E87"/>
    <w:rsid w:val="00577ABC"/>
    <w:rsid w:val="005830D2"/>
    <w:rsid w:val="00584482"/>
    <w:rsid w:val="00592D46"/>
    <w:rsid w:val="00594894"/>
    <w:rsid w:val="005A187E"/>
    <w:rsid w:val="005A260A"/>
    <w:rsid w:val="005A3F71"/>
    <w:rsid w:val="005A458B"/>
    <w:rsid w:val="005C0F1B"/>
    <w:rsid w:val="005C2299"/>
    <w:rsid w:val="005D5032"/>
    <w:rsid w:val="005D55A0"/>
    <w:rsid w:val="005E5C8B"/>
    <w:rsid w:val="005F0819"/>
    <w:rsid w:val="005F52FE"/>
    <w:rsid w:val="005F5ED0"/>
    <w:rsid w:val="005F6D6C"/>
    <w:rsid w:val="005F7E90"/>
    <w:rsid w:val="00611478"/>
    <w:rsid w:val="0061294B"/>
    <w:rsid w:val="006257EC"/>
    <w:rsid w:val="00634555"/>
    <w:rsid w:val="006431A6"/>
    <w:rsid w:val="00645497"/>
    <w:rsid w:val="00652E49"/>
    <w:rsid w:val="006668A5"/>
    <w:rsid w:val="00671B81"/>
    <w:rsid w:val="006720BB"/>
    <w:rsid w:val="00676923"/>
    <w:rsid w:val="00687912"/>
    <w:rsid w:val="006919AA"/>
    <w:rsid w:val="00693562"/>
    <w:rsid w:val="0069357F"/>
    <w:rsid w:val="006A06BF"/>
    <w:rsid w:val="006A3F10"/>
    <w:rsid w:val="006A57E7"/>
    <w:rsid w:val="006B2CF8"/>
    <w:rsid w:val="006C0617"/>
    <w:rsid w:val="006D52D1"/>
    <w:rsid w:val="006E6413"/>
    <w:rsid w:val="006E7C0B"/>
    <w:rsid w:val="006F24CF"/>
    <w:rsid w:val="006F396D"/>
    <w:rsid w:val="006F609B"/>
    <w:rsid w:val="00707D4B"/>
    <w:rsid w:val="00713B36"/>
    <w:rsid w:val="00720A25"/>
    <w:rsid w:val="00724AC1"/>
    <w:rsid w:val="00737ECD"/>
    <w:rsid w:val="00742FFD"/>
    <w:rsid w:val="00751967"/>
    <w:rsid w:val="00755CAB"/>
    <w:rsid w:val="007618A4"/>
    <w:rsid w:val="00763B1D"/>
    <w:rsid w:val="00774596"/>
    <w:rsid w:val="00780AC7"/>
    <w:rsid w:val="00797CAD"/>
    <w:rsid w:val="007A2B2E"/>
    <w:rsid w:val="007B0373"/>
    <w:rsid w:val="007B4484"/>
    <w:rsid w:val="007B73F8"/>
    <w:rsid w:val="007B75F0"/>
    <w:rsid w:val="007B7F74"/>
    <w:rsid w:val="007C15DD"/>
    <w:rsid w:val="007D0ED8"/>
    <w:rsid w:val="007D1187"/>
    <w:rsid w:val="007D28A7"/>
    <w:rsid w:val="007D2CDE"/>
    <w:rsid w:val="007D2F0E"/>
    <w:rsid w:val="007D445F"/>
    <w:rsid w:val="007D6195"/>
    <w:rsid w:val="007E341A"/>
    <w:rsid w:val="007E41BA"/>
    <w:rsid w:val="007F0560"/>
    <w:rsid w:val="007F3EAF"/>
    <w:rsid w:val="0080051D"/>
    <w:rsid w:val="00813416"/>
    <w:rsid w:val="008142A6"/>
    <w:rsid w:val="00821A62"/>
    <w:rsid w:val="00822130"/>
    <w:rsid w:val="00834C8E"/>
    <w:rsid w:val="00834F2A"/>
    <w:rsid w:val="00835458"/>
    <w:rsid w:val="00843133"/>
    <w:rsid w:val="0084703A"/>
    <w:rsid w:val="008572A1"/>
    <w:rsid w:val="00862498"/>
    <w:rsid w:val="00865EB5"/>
    <w:rsid w:val="00874D9D"/>
    <w:rsid w:val="008827E3"/>
    <w:rsid w:val="00884DAF"/>
    <w:rsid w:val="008869E6"/>
    <w:rsid w:val="0089367D"/>
    <w:rsid w:val="00896B84"/>
    <w:rsid w:val="00897100"/>
    <w:rsid w:val="008C3021"/>
    <w:rsid w:val="008C46C2"/>
    <w:rsid w:val="008D0480"/>
    <w:rsid w:val="008D3AFC"/>
    <w:rsid w:val="008D424E"/>
    <w:rsid w:val="008E42CA"/>
    <w:rsid w:val="008F1540"/>
    <w:rsid w:val="008F4BF1"/>
    <w:rsid w:val="00901095"/>
    <w:rsid w:val="00906992"/>
    <w:rsid w:val="00907754"/>
    <w:rsid w:val="00907EEB"/>
    <w:rsid w:val="00920AD4"/>
    <w:rsid w:val="00921FA4"/>
    <w:rsid w:val="00923B9B"/>
    <w:rsid w:val="009247B6"/>
    <w:rsid w:val="00927D18"/>
    <w:rsid w:val="0093179D"/>
    <w:rsid w:val="00932D08"/>
    <w:rsid w:val="00933D82"/>
    <w:rsid w:val="00933E8B"/>
    <w:rsid w:val="00936881"/>
    <w:rsid w:val="00937A10"/>
    <w:rsid w:val="0094185F"/>
    <w:rsid w:val="00945134"/>
    <w:rsid w:val="00951AB0"/>
    <w:rsid w:val="00960F9F"/>
    <w:rsid w:val="00961415"/>
    <w:rsid w:val="0096776C"/>
    <w:rsid w:val="00970BE4"/>
    <w:rsid w:val="0097387E"/>
    <w:rsid w:val="00982DF8"/>
    <w:rsid w:val="00985CF1"/>
    <w:rsid w:val="0099089A"/>
    <w:rsid w:val="009977AB"/>
    <w:rsid w:val="009A671A"/>
    <w:rsid w:val="009B09AD"/>
    <w:rsid w:val="009B499D"/>
    <w:rsid w:val="009B4EB6"/>
    <w:rsid w:val="009B6E3A"/>
    <w:rsid w:val="009C0415"/>
    <w:rsid w:val="009C1E5B"/>
    <w:rsid w:val="009C7643"/>
    <w:rsid w:val="009D1292"/>
    <w:rsid w:val="009D1AB3"/>
    <w:rsid w:val="009D5DAB"/>
    <w:rsid w:val="009D665E"/>
    <w:rsid w:val="009D67D5"/>
    <w:rsid w:val="009E1D62"/>
    <w:rsid w:val="009E3D06"/>
    <w:rsid w:val="009E48E6"/>
    <w:rsid w:val="009F33B8"/>
    <w:rsid w:val="009F7F9F"/>
    <w:rsid w:val="00A017E0"/>
    <w:rsid w:val="00A132BA"/>
    <w:rsid w:val="00A13F6B"/>
    <w:rsid w:val="00A23327"/>
    <w:rsid w:val="00A23B47"/>
    <w:rsid w:val="00A305C8"/>
    <w:rsid w:val="00A31C6E"/>
    <w:rsid w:val="00A322F1"/>
    <w:rsid w:val="00A361BD"/>
    <w:rsid w:val="00A537ED"/>
    <w:rsid w:val="00A575B2"/>
    <w:rsid w:val="00A64383"/>
    <w:rsid w:val="00A663E1"/>
    <w:rsid w:val="00A667B3"/>
    <w:rsid w:val="00A7689E"/>
    <w:rsid w:val="00A77EE2"/>
    <w:rsid w:val="00A86CFB"/>
    <w:rsid w:val="00AA15DF"/>
    <w:rsid w:val="00AA2F58"/>
    <w:rsid w:val="00AA56BC"/>
    <w:rsid w:val="00AA7A20"/>
    <w:rsid w:val="00AB7308"/>
    <w:rsid w:val="00AC3FFE"/>
    <w:rsid w:val="00AD031C"/>
    <w:rsid w:val="00AD782E"/>
    <w:rsid w:val="00AE6586"/>
    <w:rsid w:val="00AF005F"/>
    <w:rsid w:val="00AF30BF"/>
    <w:rsid w:val="00B0782F"/>
    <w:rsid w:val="00B112A6"/>
    <w:rsid w:val="00B11FD5"/>
    <w:rsid w:val="00B14659"/>
    <w:rsid w:val="00B24F5E"/>
    <w:rsid w:val="00B33B67"/>
    <w:rsid w:val="00B421CB"/>
    <w:rsid w:val="00B44656"/>
    <w:rsid w:val="00B47808"/>
    <w:rsid w:val="00B51E09"/>
    <w:rsid w:val="00B532B0"/>
    <w:rsid w:val="00B66B4F"/>
    <w:rsid w:val="00B67051"/>
    <w:rsid w:val="00B747D0"/>
    <w:rsid w:val="00B750C1"/>
    <w:rsid w:val="00B81311"/>
    <w:rsid w:val="00B8355D"/>
    <w:rsid w:val="00B84DD5"/>
    <w:rsid w:val="00B907B8"/>
    <w:rsid w:val="00B90F8D"/>
    <w:rsid w:val="00B923F2"/>
    <w:rsid w:val="00BA1AEF"/>
    <w:rsid w:val="00BB3608"/>
    <w:rsid w:val="00BB5BF6"/>
    <w:rsid w:val="00BC11ED"/>
    <w:rsid w:val="00BC2F88"/>
    <w:rsid w:val="00BC4626"/>
    <w:rsid w:val="00BC7757"/>
    <w:rsid w:val="00BD2E8C"/>
    <w:rsid w:val="00BE0212"/>
    <w:rsid w:val="00BE6784"/>
    <w:rsid w:val="00BF3A90"/>
    <w:rsid w:val="00BF3DF7"/>
    <w:rsid w:val="00C04494"/>
    <w:rsid w:val="00C12CEB"/>
    <w:rsid w:val="00C13DE2"/>
    <w:rsid w:val="00C13FA8"/>
    <w:rsid w:val="00C31C75"/>
    <w:rsid w:val="00C33AC8"/>
    <w:rsid w:val="00C427E7"/>
    <w:rsid w:val="00C635E8"/>
    <w:rsid w:val="00C66839"/>
    <w:rsid w:val="00C73676"/>
    <w:rsid w:val="00C76E0F"/>
    <w:rsid w:val="00C8076A"/>
    <w:rsid w:val="00C808C3"/>
    <w:rsid w:val="00C80D0A"/>
    <w:rsid w:val="00C82BF8"/>
    <w:rsid w:val="00C84933"/>
    <w:rsid w:val="00C901E6"/>
    <w:rsid w:val="00C9045E"/>
    <w:rsid w:val="00C94FBD"/>
    <w:rsid w:val="00C965EE"/>
    <w:rsid w:val="00CB3AC6"/>
    <w:rsid w:val="00CB4331"/>
    <w:rsid w:val="00CB5C39"/>
    <w:rsid w:val="00CB613B"/>
    <w:rsid w:val="00CC4B34"/>
    <w:rsid w:val="00CC5E6F"/>
    <w:rsid w:val="00CD5CCF"/>
    <w:rsid w:val="00CE23B4"/>
    <w:rsid w:val="00CE48A5"/>
    <w:rsid w:val="00CE4CDF"/>
    <w:rsid w:val="00CF6916"/>
    <w:rsid w:val="00D03D24"/>
    <w:rsid w:val="00D04D97"/>
    <w:rsid w:val="00D105F5"/>
    <w:rsid w:val="00D17D1B"/>
    <w:rsid w:val="00D25ECE"/>
    <w:rsid w:val="00D27076"/>
    <w:rsid w:val="00D34269"/>
    <w:rsid w:val="00D34B15"/>
    <w:rsid w:val="00D34E37"/>
    <w:rsid w:val="00D37DEE"/>
    <w:rsid w:val="00D4447D"/>
    <w:rsid w:val="00D46E71"/>
    <w:rsid w:val="00D47BB9"/>
    <w:rsid w:val="00D53395"/>
    <w:rsid w:val="00D55096"/>
    <w:rsid w:val="00D55273"/>
    <w:rsid w:val="00D55C96"/>
    <w:rsid w:val="00D62481"/>
    <w:rsid w:val="00D63D67"/>
    <w:rsid w:val="00D8052C"/>
    <w:rsid w:val="00D80632"/>
    <w:rsid w:val="00D81E83"/>
    <w:rsid w:val="00D82DE8"/>
    <w:rsid w:val="00D86BE2"/>
    <w:rsid w:val="00D93008"/>
    <w:rsid w:val="00DA319B"/>
    <w:rsid w:val="00DB126B"/>
    <w:rsid w:val="00DB5AE6"/>
    <w:rsid w:val="00DB7CB5"/>
    <w:rsid w:val="00DC2082"/>
    <w:rsid w:val="00DC5E99"/>
    <w:rsid w:val="00DC7721"/>
    <w:rsid w:val="00DD72F4"/>
    <w:rsid w:val="00DD7F74"/>
    <w:rsid w:val="00DE4935"/>
    <w:rsid w:val="00DF6AF9"/>
    <w:rsid w:val="00E013CB"/>
    <w:rsid w:val="00E049D2"/>
    <w:rsid w:val="00E06057"/>
    <w:rsid w:val="00E0760E"/>
    <w:rsid w:val="00E159E0"/>
    <w:rsid w:val="00E21BA6"/>
    <w:rsid w:val="00E2418D"/>
    <w:rsid w:val="00E278A5"/>
    <w:rsid w:val="00E3005A"/>
    <w:rsid w:val="00E31695"/>
    <w:rsid w:val="00E340E6"/>
    <w:rsid w:val="00E341D2"/>
    <w:rsid w:val="00E51A7F"/>
    <w:rsid w:val="00E5652C"/>
    <w:rsid w:val="00E63EF7"/>
    <w:rsid w:val="00E667D3"/>
    <w:rsid w:val="00E7021E"/>
    <w:rsid w:val="00E77CEA"/>
    <w:rsid w:val="00E8192C"/>
    <w:rsid w:val="00E953BF"/>
    <w:rsid w:val="00EA5648"/>
    <w:rsid w:val="00EA5681"/>
    <w:rsid w:val="00EA6B72"/>
    <w:rsid w:val="00EA6F61"/>
    <w:rsid w:val="00EB72A7"/>
    <w:rsid w:val="00EC4578"/>
    <w:rsid w:val="00EC7DA4"/>
    <w:rsid w:val="00ED1B78"/>
    <w:rsid w:val="00ED2954"/>
    <w:rsid w:val="00ED5AF7"/>
    <w:rsid w:val="00ED698D"/>
    <w:rsid w:val="00EE01CA"/>
    <w:rsid w:val="00EE3E24"/>
    <w:rsid w:val="00EE4E1D"/>
    <w:rsid w:val="00EE65AE"/>
    <w:rsid w:val="00EF35F8"/>
    <w:rsid w:val="00F113B1"/>
    <w:rsid w:val="00F11FC3"/>
    <w:rsid w:val="00F17BA1"/>
    <w:rsid w:val="00F2303F"/>
    <w:rsid w:val="00F25C75"/>
    <w:rsid w:val="00F34CD6"/>
    <w:rsid w:val="00F4076A"/>
    <w:rsid w:val="00F4099F"/>
    <w:rsid w:val="00F41060"/>
    <w:rsid w:val="00F444E6"/>
    <w:rsid w:val="00F45CA6"/>
    <w:rsid w:val="00F501B3"/>
    <w:rsid w:val="00F520E1"/>
    <w:rsid w:val="00F53C22"/>
    <w:rsid w:val="00F54887"/>
    <w:rsid w:val="00F5517A"/>
    <w:rsid w:val="00F65150"/>
    <w:rsid w:val="00F67A84"/>
    <w:rsid w:val="00F67C42"/>
    <w:rsid w:val="00F67DC9"/>
    <w:rsid w:val="00F72530"/>
    <w:rsid w:val="00F727B6"/>
    <w:rsid w:val="00F77AFE"/>
    <w:rsid w:val="00F8679F"/>
    <w:rsid w:val="00F86B08"/>
    <w:rsid w:val="00FA0C87"/>
    <w:rsid w:val="00FA68FF"/>
    <w:rsid w:val="00FA7C45"/>
    <w:rsid w:val="00FA7F90"/>
    <w:rsid w:val="00FB45FB"/>
    <w:rsid w:val="00FB6672"/>
    <w:rsid w:val="00FD5AE8"/>
    <w:rsid w:val="00FE1644"/>
    <w:rsid w:val="00FE1776"/>
    <w:rsid w:val="00FE297B"/>
    <w:rsid w:val="00FE7D2D"/>
    <w:rsid w:val="00FE7E3C"/>
    <w:rsid w:val="00FF07D5"/>
    <w:rsid w:val="00FF129F"/>
    <w:rsid w:val="00FF2FFE"/>
    <w:rsid w:val="00FF7F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EDD"/>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 w:type="paragraph" w:styleId="Footer">
    <w:name w:val="footer"/>
    <w:basedOn w:val="Normal"/>
    <w:link w:val="FooterChar"/>
    <w:uiPriority w:val="99"/>
    <w:unhideWhenUsed/>
    <w:rsid w:val="00EA5648"/>
    <w:pPr>
      <w:tabs>
        <w:tab w:val="center" w:pos="4680"/>
        <w:tab w:val="right" w:pos="9360"/>
      </w:tabs>
    </w:pPr>
  </w:style>
  <w:style w:type="character" w:customStyle="1" w:styleId="FooterChar">
    <w:name w:val="Footer Char"/>
    <w:basedOn w:val="DefaultParagraphFont"/>
    <w:link w:val="Footer"/>
    <w:uiPriority w:val="99"/>
    <w:rsid w:val="00EA5648"/>
    <w:rPr>
      <w:rFonts w:eastAsiaTheme="minorEastAsia"/>
    </w:rPr>
  </w:style>
  <w:style w:type="character" w:styleId="PageNumber">
    <w:name w:val="page number"/>
    <w:basedOn w:val="DefaultParagraphFont"/>
    <w:uiPriority w:val="99"/>
    <w:semiHidden/>
    <w:unhideWhenUsed/>
    <w:rsid w:val="00EA5648"/>
  </w:style>
  <w:style w:type="character" w:styleId="LineNumber">
    <w:name w:val="line number"/>
    <w:basedOn w:val="DefaultParagraphFont"/>
    <w:uiPriority w:val="99"/>
    <w:semiHidden/>
    <w:unhideWhenUsed/>
    <w:rsid w:val="00006884"/>
  </w:style>
  <w:style w:type="paragraph" w:styleId="Header">
    <w:name w:val="header"/>
    <w:basedOn w:val="Normal"/>
    <w:link w:val="HeaderChar"/>
    <w:uiPriority w:val="99"/>
    <w:unhideWhenUsed/>
    <w:rsid w:val="009C0415"/>
    <w:pPr>
      <w:tabs>
        <w:tab w:val="center" w:pos="4680"/>
        <w:tab w:val="right" w:pos="9360"/>
      </w:tabs>
    </w:pPr>
  </w:style>
  <w:style w:type="character" w:customStyle="1" w:styleId="HeaderChar">
    <w:name w:val="Header Char"/>
    <w:basedOn w:val="DefaultParagraphFont"/>
    <w:link w:val="Header"/>
    <w:uiPriority w:val="99"/>
    <w:rsid w:val="009C0415"/>
    <w:rPr>
      <w:rFonts w:eastAsiaTheme="minorEastAsia"/>
    </w:rPr>
  </w:style>
  <w:style w:type="table" w:styleId="TableGrid">
    <w:name w:val="Table Grid"/>
    <w:basedOn w:val="TableNormal"/>
    <w:uiPriority w:val="39"/>
    <w:rsid w:val="00A36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5F5"/>
    <w:rPr>
      <w:color w:val="666666"/>
    </w:rPr>
  </w:style>
  <w:style w:type="paragraph" w:styleId="Revision">
    <w:name w:val="Revision"/>
    <w:hidden/>
    <w:uiPriority w:val="99"/>
    <w:semiHidden/>
    <w:rsid w:val="00652E49"/>
    <w:rPr>
      <w:rFonts w:eastAsiaTheme="minorEastAsia"/>
    </w:rPr>
  </w:style>
  <w:style w:type="character" w:styleId="CommentReference">
    <w:name w:val="annotation reference"/>
    <w:basedOn w:val="DefaultParagraphFont"/>
    <w:uiPriority w:val="99"/>
    <w:semiHidden/>
    <w:unhideWhenUsed/>
    <w:rsid w:val="006C0617"/>
    <w:rPr>
      <w:sz w:val="16"/>
      <w:szCs w:val="16"/>
    </w:rPr>
  </w:style>
  <w:style w:type="paragraph" w:styleId="CommentText">
    <w:name w:val="annotation text"/>
    <w:basedOn w:val="Normal"/>
    <w:link w:val="CommentTextChar"/>
    <w:uiPriority w:val="99"/>
    <w:semiHidden/>
    <w:unhideWhenUsed/>
    <w:rsid w:val="006C0617"/>
    <w:rPr>
      <w:sz w:val="20"/>
      <w:szCs w:val="18"/>
    </w:rPr>
  </w:style>
  <w:style w:type="character" w:customStyle="1" w:styleId="CommentTextChar">
    <w:name w:val="Comment Text Char"/>
    <w:basedOn w:val="DefaultParagraphFont"/>
    <w:link w:val="CommentText"/>
    <w:uiPriority w:val="99"/>
    <w:semiHidden/>
    <w:rsid w:val="006C0617"/>
    <w:rPr>
      <w:rFonts w:eastAsiaTheme="minorEastAsia"/>
      <w:sz w:val="20"/>
      <w:szCs w:val="18"/>
    </w:rPr>
  </w:style>
  <w:style w:type="paragraph" w:styleId="CommentSubject">
    <w:name w:val="annotation subject"/>
    <w:basedOn w:val="CommentText"/>
    <w:next w:val="CommentText"/>
    <w:link w:val="CommentSubjectChar"/>
    <w:uiPriority w:val="99"/>
    <w:semiHidden/>
    <w:unhideWhenUsed/>
    <w:rsid w:val="006C0617"/>
    <w:rPr>
      <w:b/>
      <w:bCs/>
    </w:rPr>
  </w:style>
  <w:style w:type="character" w:customStyle="1" w:styleId="CommentSubjectChar">
    <w:name w:val="Comment Subject Char"/>
    <w:basedOn w:val="CommentTextChar"/>
    <w:link w:val="CommentSubject"/>
    <w:uiPriority w:val="99"/>
    <w:semiHidden/>
    <w:rsid w:val="006C0617"/>
    <w:rPr>
      <w:rFonts w:eastAsiaTheme="minorEastAsia"/>
      <w:b/>
      <w:bCs/>
      <w:sz w:val="20"/>
      <w:szCs w:val="18"/>
    </w:rPr>
  </w:style>
  <w:style w:type="character" w:styleId="Hyperlink">
    <w:name w:val="Hyperlink"/>
    <w:basedOn w:val="DefaultParagraphFont"/>
    <w:uiPriority w:val="99"/>
    <w:unhideWhenUsed/>
    <w:rsid w:val="00CB5C39"/>
    <w:rPr>
      <w:color w:val="467886" w:themeColor="hyperlink"/>
      <w:u w:val="single"/>
    </w:rPr>
  </w:style>
  <w:style w:type="character" w:styleId="UnresolvedMention">
    <w:name w:val="Unresolved Mention"/>
    <w:basedOn w:val="DefaultParagraphFont"/>
    <w:uiPriority w:val="99"/>
    <w:semiHidden/>
    <w:unhideWhenUsed/>
    <w:rsid w:val="00CB5C39"/>
    <w:rPr>
      <w:color w:val="605E5C"/>
      <w:shd w:val="clear" w:color="auto" w:fill="E1DFDD"/>
    </w:rPr>
  </w:style>
  <w:style w:type="table" w:styleId="GridTable1Light">
    <w:name w:val="Grid Table 1 Light"/>
    <w:basedOn w:val="TableNormal"/>
    <w:uiPriority w:val="46"/>
    <w:rsid w:val="006F39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BC11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pubchem.ncbi.nlm.nih.gov/compound/Doravir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2.png"/><Relationship Id="rId19" Type="http://schemas.openxmlformats.org/officeDocument/2006/relationships/hyperlink" Target="https://www.rcsb.org/structure/4NCG" TargetMode="External"/><Relationship Id="rId4" Type="http://schemas.openxmlformats.org/officeDocument/2006/relationships/settings" Target="settings.xml"/><Relationship Id="rId9" Type="http://schemas.openxmlformats.org/officeDocument/2006/relationships/hyperlink" Target="https://hivdb.stanford.edu/"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1F1C6-25DF-DD47-9772-CF32ACCD4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31988</Words>
  <Characters>182338</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16</cp:revision>
  <dcterms:created xsi:type="dcterms:W3CDTF">2026-07-09T19:41:00Z</dcterms:created>
  <dcterms:modified xsi:type="dcterms:W3CDTF">2026-07-09T21:27:00Z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id="bQDO2zVe"/&gt;&lt;style id="http://www.zotero.org/styles/nature" hasBibliography="1" bibliographyStyleHasBeenSet="1"/&gt;&lt;prefs&gt;&lt;pref name="fieldType" value="Field"/&gt;&lt;/prefs&gt;&lt;/data&gt;</vt:lpwstr>
  </property>
</Properties>
</file>