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2902BBF8"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r w:rsidR="00023D3C">
        <w:rPr>
          <w:rFonts w:ascii="Times New Roman" w:hAnsi="Times New Roman" w:cs="Times New Roman"/>
          <w:b/>
          <w:bCs/>
          <w:sz w:val="28"/>
          <w:szCs w:val="28"/>
        </w:rPr>
      </w:r>
    </w:p>
    <w:p w14:paraId="3FFBCAC2" w14:textId="412A7D23" w:rsidR="00936881" w:rsidRDefault="00936881">
      <w:pPr>
        <w:rPr>
          <w:rFonts w:ascii="Times New Roman" w:hAnsi="Times New Roman" w:cs="Times New Roman"/>
          <w:szCs w:val="24"/>
        </w:rPr>
      </w:pPr>
      <w:r w:rsidRPr="00936881">
        <w:rPr>
          <w:rFonts w:ascii="Times New Roman" w:hAnsi="Times New Roman" w:cs="Times New Roman"/>
          <w:szCs w:val="24"/>
        </w:rPr>
        <w:t>Doravirine (DOR) is a next-generation non-nucleoside reverse transcriptase inhibitor (NNRTI) with durable clinical activity and a distinct resistance profile, but publicly available phenotypic susceptibility data remain limited for many DOR-associated genotypes. We simulated wild-type HIV-1 reverse transcriptase (RT) and 18 mutant genotypes in complex with DOR using 100 ns explicit-solvent molecular dynamics (MD; 3 replicates each) and complemented the panel with nonequilibrium free-energy perturbation (FEP) calculations that remain incomplete for several charge-change and multi-site legs. Local MD descriptors—residue–DOR contact occupancy with replicate confidence intervals, hydrogen-bond occupancy, ligand RMSF, pocket-aligned pose maps, pocket volume, and NNIBP correlated motion—identify mutation-class structural signatures. V106A-containing genotypes reproducibly increase Ser105–DOR contact occupancy; G190E strongly depletes Val179 contact; other draft-highlighted shifts (including Y188L Lys102/Pro225 and V106I+F227C–227) are descriptive under n = 3 replicate tests. Tight-SEM FEP ΔΔG values are internally precise for a subset of genotypes but correlate only weakly with experimental fold-change (Pearson R² ≈ 0.09), and V106M illustrates a binding-versus-phenotype discordance. We do not fit a phenotype-prediction model; the structural stories stand on occupancy and geometry evidence.</w:t>
      </w:r>
      <w:r w:rsidR="00CC5E6F">
        <w:rPr>
          <w:rFonts w:ascii="Times New Roman" w:hAnsi="Times New Roman" w:cs="Times New Roman"/>
          <w:szCs w:val="24"/>
        </w:rPr>
      </w:r>
      <w:r w:rsidRPr="00936881">
        <w:rPr>
          <w:rFonts w:ascii="Times New Roman" w:hAnsi="Times New Roman" w:cs="Times New Roman"/>
          <w:szCs w:val="24"/>
        </w:rPr>
      </w:r>
      <w:r w:rsidR="00276BFB">
        <w:rPr>
          <w:rFonts w:ascii="Times New Roman" w:hAnsi="Times New Roman" w:cs="Times New Roman"/>
          <w:szCs w:val="24"/>
        </w:rPr>
      </w:r>
      <w:r w:rsidRPr="00936881">
        <w:rPr>
          <w:rFonts w:ascii="Times New Roman" w:hAnsi="Times New Roman" w:cs="Times New Roman"/>
          <w:szCs w:val="24"/>
        </w:rPr>
      </w:r>
      <w:r>
        <w:rPr>
          <w:rFonts w:ascii="Times New Roman" w:hAnsi="Times New Roman" w:cs="Times New Roman"/>
          <w:szCs w:val="24"/>
        </w:rPr>
      </w:r>
      <w:r w:rsidRPr="00936881">
        <w:rPr>
          <w:rFonts w:ascii="Times New Roman" w:hAnsi="Times New Roman" w:cs="Times New Roman"/>
          <w:szCs w:val="24"/>
        </w:rPr>
      </w:r>
      <w:r w:rsidR="00652E49">
        <w:rPr>
          <w:rFonts w:ascii="Times New Roman" w:hAnsi="Times New Roman" w:cs="Times New Roman"/>
          <w:szCs w:val="24"/>
        </w:rPr>
      </w:r>
      <w:r w:rsidR="00652E49" w:rsidRPr="00936881">
        <w:rPr>
          <w:rFonts w:ascii="Times New Roman" w:hAnsi="Times New Roman" w:cs="Times New Roman"/>
          <w:szCs w:val="24"/>
        </w:rPr>
      </w:r>
      <w:r w:rsidR="00652E49">
        <w:rPr>
          <w:rFonts w:ascii="Times New Roman" w:hAnsi="Times New Roman" w:cs="Times New Roman"/>
          <w:szCs w:val="24"/>
        </w:rPr>
      </w:r>
      <w:r w:rsidR="00D25ECE">
        <w:rPr>
          <w:rFonts w:ascii="Times New Roman" w:hAnsi="Times New Roman" w:cs="Times New Roman"/>
          <w:szCs w:val="24"/>
        </w:rPr>
      </w:r>
      <w:r w:rsidR="00443B09">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00652E49">
        <w:rPr>
          <w:rFonts w:ascii="Times New Roman" w:hAnsi="Times New Roman" w:cs="Times New Roman"/>
          <w:szCs w:val="24"/>
        </w:rPr>
      </w:r>
      <w:r w:rsidRPr="00936881">
        <w:rPr>
          <w:rFonts w:ascii="Times New Roman" w:hAnsi="Times New Roman" w:cs="Times New Roman"/>
          <w:szCs w:val="24"/>
        </w:rPr>
      </w:r>
      <w:r w:rsidR="00B11FD5">
        <w:rPr>
          <w:rFonts w:ascii="Times New Roman" w:hAnsi="Times New Roman" w:cs="Times New Roman"/>
          <w:szCs w:val="24"/>
        </w:rPr>
      </w:r>
      <w:r w:rsidR="0069357F">
        <w:rPr>
          <w:rFonts w:ascii="Times New Roman" w:hAnsi="Times New Roman" w:cs="Times New Roman"/>
          <w:szCs w:val="24"/>
        </w:rPr>
      </w:r>
      <w:r w:rsidRPr="00936881">
        <w:rPr>
          <w:rFonts w:ascii="Times New Roman" w:hAnsi="Times New Roman" w:cs="Times New Roman"/>
          <w:szCs w:val="24"/>
        </w:rPr>
      </w:r>
      <w:r w:rsidR="009D5DAB">
        <w:rPr>
          <w:rFonts w:ascii="Times New Roman" w:hAnsi="Times New Roman" w:cs="Times New Roman"/>
          <w:szCs w:val="24"/>
        </w:rPr>
      </w:r>
      <w:r w:rsidRPr="00936881">
        <w:rPr>
          <w:rFonts w:ascii="Times New Roman" w:hAnsi="Times New Roman" w:cs="Times New Roman"/>
          <w:szCs w:val="24"/>
        </w:rPr>
      </w:r>
      <w:r w:rsidR="0089367D">
        <w:rPr>
          <w:rFonts w:ascii="Times New Roman" w:hAnsi="Times New Roman" w:cs="Times New Roman"/>
          <w:szCs w:val="24"/>
        </w:rPr>
      </w:r>
      <w:r w:rsidR="00652E49">
        <w:rPr>
          <w:rFonts w:ascii="Times New Roman" w:hAnsi="Times New Roman" w:cs="Times New Roman"/>
          <w:szCs w:val="24"/>
        </w:rPr>
      </w:r>
      <w:r w:rsidR="0089367D">
        <w:rPr>
          <w:rFonts w:ascii="Times New Roman" w:hAnsi="Times New Roman" w:cs="Times New Roman"/>
          <w:szCs w:val="24"/>
        </w:rPr>
      </w:r>
      <w:r w:rsidR="00652E49">
        <w:rPr>
          <w:rFonts w:ascii="Times New Roman" w:hAnsi="Times New Roman" w:cs="Times New Roman"/>
          <w:szCs w:val="24"/>
        </w:rPr>
      </w:r>
      <w:r w:rsidR="00AC3FFE">
        <w:rPr>
          <w:rFonts w:ascii="Times New Roman" w:hAnsi="Times New Roman" w:cs="Times New Roman"/>
          <w:szCs w:val="24"/>
        </w:rPr>
      </w:r>
      <w:r w:rsidR="0069357F">
        <w:rPr>
          <w:rFonts w:ascii="Times New Roman" w:hAnsi="Times New Roman" w:cs="Times New Roman"/>
          <w:szCs w:val="24"/>
        </w:rPr>
      </w:r>
      <w:r w:rsidR="0089367D">
        <w:rPr>
          <w:rFonts w:ascii="Times New Roman" w:hAnsi="Times New Roman" w:cs="Times New Roman"/>
          <w:szCs w:val="24"/>
        </w:rPr>
      </w:r>
      <w:r w:rsidR="0069357F">
        <w:rPr>
          <w:rFonts w:ascii="Times New Roman" w:hAnsi="Times New Roman" w:cs="Times New Roman"/>
          <w:szCs w:val="24"/>
        </w:rPr>
      </w:r>
      <w:r w:rsidRPr="00936881">
        <w:rPr>
          <w:rFonts w:ascii="Times New Roman" w:hAnsi="Times New Roman" w:cs="Times New Roman"/>
          <w:szCs w:val="24"/>
        </w:rPr>
      </w:r>
      <w:r w:rsidR="00AC3FFE">
        <w:rPr>
          <w:rFonts w:ascii="Times New Roman" w:hAnsi="Times New Roman" w:cs="Times New Roman"/>
          <w:szCs w:val="24"/>
        </w:rPr>
      </w:r>
      <w:r w:rsidR="00652E49">
        <w:rPr>
          <w:rFonts w:ascii="Times New Roman" w:hAnsi="Times New Roman" w:cs="Times New Roman"/>
          <w:szCs w:val="24"/>
        </w:rPr>
      </w:r>
      <w:r w:rsidRPr="00936881">
        <w:rPr>
          <w:rFonts w:ascii="Times New Roman" w:hAnsi="Times New Roman" w:cs="Times New Roman"/>
          <w:szCs w:val="24"/>
        </w:rPr>
      </w:r>
      <w:r w:rsidR="00A86CFB">
        <w:rPr>
          <w:rFonts w:ascii="Times New Roman" w:hAnsi="Times New Roman" w:cs="Times New Roman"/>
          <w:szCs w:val="24"/>
        </w:rPr>
      </w:r>
      <w:r w:rsidR="00D25ECE">
        <w:rPr>
          <w:rFonts w:ascii="Times New Roman" w:hAnsi="Times New Roman" w:cs="Times New Roman"/>
          <w:szCs w:val="24"/>
        </w:rPr>
      </w:r>
      <w:r w:rsidR="00D25ECE" w:rsidRPr="00936881">
        <w:rPr>
          <w:rFonts w:ascii="Times New Roman" w:hAnsi="Times New Roman" w:cs="Times New Roman"/>
          <w:szCs w:val="24"/>
        </w:rPr>
      </w:r>
      <w:r w:rsidRPr="00936881">
        <w:rPr>
          <w:rFonts w:ascii="Times New Roman" w:hAnsi="Times New Roman" w:cs="Times New Roman"/>
          <w:szCs w:val="24"/>
        </w:rPr>
      </w:r>
      <w:r w:rsidR="002B34C5">
        <w:rPr>
          <w:rFonts w:ascii="Times New Roman" w:hAnsi="Times New Roman" w:cs="Times New Roman"/>
          <w:szCs w:val="24"/>
        </w:rPr>
      </w:r>
      <w:r w:rsidRPr="00936881">
        <w:rPr>
          <w:rFonts w:ascii="Times New Roman" w:hAnsi="Times New Roman" w:cs="Times New Roman"/>
          <w:szCs w:val="24"/>
        </w:rPr>
      </w:r>
      <w:r w:rsidR="00AD031C">
        <w:rPr>
          <w:rFonts w:ascii="Times New Roman" w:hAnsi="Times New Roman" w:cs="Times New Roman"/>
          <w:szCs w:val="24"/>
        </w:rPr>
      </w:r>
      <w:r w:rsidRPr="00936881">
        <w:rPr>
          <w:rFonts w:ascii="Times New Roman" w:hAnsi="Times New Roman" w:cs="Times New Roman"/>
          <w:szCs w:val="24"/>
        </w:rPr>
      </w:r>
      <w:r w:rsidR="00A86CFB">
        <w:rPr>
          <w:rFonts w:ascii="Times New Roman" w:hAnsi="Times New Roman" w:cs="Times New Roman"/>
          <w:szCs w:val="24"/>
        </w:rPr>
      </w:r>
      <w:r w:rsidRPr="00936881">
        <w:rPr>
          <w:rFonts w:ascii="Times New Roman" w:hAnsi="Times New Roman" w:cs="Times New Roman"/>
          <w:szCs w:val="24"/>
        </w:rPr>
      </w:r>
      <w:r w:rsidR="00AC3FFE">
        <w:rPr>
          <w:rFonts w:ascii="Times New Roman" w:hAnsi="Times New Roman" w:cs="Times New Roman"/>
          <w:szCs w:val="24"/>
        </w:rPr>
      </w:r>
      <w:r w:rsidRPr="00936881">
        <w:rPr>
          <w:rFonts w:ascii="Times New Roman" w:hAnsi="Times New Roman" w:cs="Times New Roman"/>
          <w:szCs w:val="24"/>
        </w:rPr>
      </w:r>
      <w:r w:rsidR="00232CAE">
        <w:rPr>
          <w:rFonts w:ascii="Times New Roman" w:hAnsi="Times New Roman" w:cs="Times New Roman"/>
          <w:szCs w:val="24"/>
        </w:rPr>
      </w:r>
      <w:r w:rsidRPr="00936881">
        <w:rPr>
          <w:rFonts w:ascii="Times New Roman" w:hAnsi="Times New Roman" w:cs="Times New Roman"/>
          <w:szCs w:val="24"/>
        </w:rPr>
      </w:r>
      <w:r w:rsidR="00652E49">
        <w:rPr>
          <w:rFonts w:ascii="Times New Roman" w:hAnsi="Times New Roman" w:cs="Times New Roman"/>
          <w:szCs w:val="24"/>
        </w:rPr>
      </w:r>
      <w:r w:rsidR="00230A01" w:rsidRPr="00230A01">
        <w:rPr>
          <w:rFonts w:ascii="Times New Roman" w:hAnsi="Times New Roman" w:cs="Times New Roman"/>
          <w:szCs w:val="24"/>
        </w:rPr>
      </w:r>
      <w:r w:rsidR="00276BFB">
        <w:rPr>
          <w:rFonts w:ascii="Times New Roman" w:hAnsi="Times New Roman" w:cs="Times New Roman"/>
          <w:szCs w:val="24"/>
        </w:rPr>
      </w:r>
      <w:r w:rsidR="00230A01" w:rsidRPr="00230A01">
        <w:rPr>
          <w:rFonts w:ascii="Times New Roman" w:hAnsi="Times New Roman" w:cs="Times New Roman"/>
          <w:szCs w:val="24"/>
        </w:rPr>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2114770" w14:textId="77777777" w:rsidR="001A726C" w:rsidRDefault="001A726C">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7A7D7FB3" w14:textId="77777777" w:rsidR="00A322F1" w:rsidRDefault="00A322F1">
      <w:pPr>
        <w:rPr>
          <w:rFonts w:ascii="Times New Roman" w:hAnsi="Times New Roman" w:cs="Times New Roman"/>
          <w:szCs w:val="24"/>
        </w:rPr>
      </w:pPr>
    </w:p>
    <w:p w14:paraId="50C12824" w14:textId="77777777" w:rsidR="00A322F1" w:rsidRDefault="00A322F1">
      <w:pPr>
        <w:rPr>
          <w:rFonts w:ascii="Times New Roman" w:hAnsi="Times New Roman" w:cs="Times New Roman"/>
          <w:szCs w:val="24"/>
        </w:rPr>
      </w:pPr>
    </w:p>
    <w:p w14:paraId="0AC37390" w14:textId="7D7C0BCD" w:rsidR="00A322F1" w:rsidRDefault="000366F8" w:rsidP="009977AB">
      <w:pPr>
        <w:rPr>
          <w:rFonts w:ascii="Times New Roman" w:hAnsi="Times New Roman" w:cs="Times New Roman"/>
          <w:szCs w:val="24"/>
        </w:rPr>
      </w:pPr>
      <w:r>
        <w:rPr>
          <w:rFonts w:ascii="Times New Roman" w:hAnsi="Times New Roman" w:cs="Times New Roman"/>
          <w:b/>
          <w:bCs/>
          <w:sz w:val="28"/>
          <w:szCs w:val="28"/>
        </w:rPr>
        <w:t>Introduction</w:t>
      </w:r>
      <w:r w:rsidR="00023D3C">
        <w:rPr>
          <w:rFonts w:ascii="Times New Roman" w:hAnsi="Times New Roman" w:cs="Times New Roman"/>
          <w:b/>
          <w:bCs/>
          <w:sz w:val="28"/>
          <w:szCs w:val="28"/>
        </w:rPr>
      </w:r>
    </w:p>
    <w:p w14:paraId="02F83E54" w14:textId="67B4BA2E" w:rsidR="00EE4E1D" w:rsidRDefault="00907754" w:rsidP="005F0819">
      <w:pPr>
        <w:spacing w:after="240"/>
        <w:rPr>
          <w:rFonts w:ascii="Times New Roman" w:hAnsi="Times New Roman" w:cs="Times New Roman"/>
          <w:szCs w:val="24"/>
        </w:rPr>
      </w:pPr>
      <w:r>
        <w:rPr>
          <w:rFonts w:ascii="Times New Roman" w:hAnsi="Times New Roman" w:cs="Times New Roman"/>
          <w:szCs w:val="24"/>
        </w:rPr>
        <w:t xml:space="preserve">NNRTIs noncompetitively </w:t>
      </w:r>
      <w:r w:rsidR="00ED5AF7">
        <w:rPr>
          <w:rFonts w:ascii="Times New Roman" w:hAnsi="Times New Roman" w:cs="Times New Roman"/>
          <w:szCs w:val="24"/>
        </w:rPr>
        <w:t xml:space="preserve">inhibit </w:t>
      </w:r>
      <w:r w:rsidR="00D25ECE">
        <w:rPr>
          <w:rFonts w:ascii="Times New Roman" w:hAnsi="Times New Roman" w:cs="Times New Roman"/>
          <w:szCs w:val="24"/>
        </w:rPr>
        <w:t xml:space="preserve">the </w:t>
      </w:r>
      <w:r>
        <w:rPr>
          <w:rFonts w:ascii="Times New Roman" w:hAnsi="Times New Roman" w:cs="Times New Roman"/>
          <w:szCs w:val="24"/>
        </w:rPr>
        <w:t>HIV-1 Reverse Transcriptase (RT) enzyme</w:t>
      </w:r>
      <w:r w:rsidR="00CE48A5">
        <w:rPr>
          <w:rFonts w:ascii="Times New Roman" w:hAnsi="Times New Roman" w:cs="Times New Roman"/>
          <w:szCs w:val="24"/>
        </w:rPr>
        <w:t xml:space="preserve"> </w:t>
      </w:r>
      <w:r w:rsidR="00ED5AF7">
        <w:rPr>
          <w:rFonts w:ascii="Times New Roman" w:hAnsi="Times New Roman" w:cs="Times New Roman"/>
          <w:szCs w:val="24"/>
        </w:rPr>
        <w:t xml:space="preserve">by binding </w:t>
      </w:r>
      <w:r w:rsidR="00D25ECE">
        <w:rPr>
          <w:rFonts w:ascii="Times New Roman" w:hAnsi="Times New Roman" w:cs="Times New Roman"/>
          <w:szCs w:val="24"/>
        </w:rPr>
        <w:t xml:space="preserve">to </w:t>
      </w:r>
      <w:r w:rsidR="00ED5AF7">
        <w:rPr>
          <w:rFonts w:ascii="Times New Roman" w:hAnsi="Times New Roman" w:cs="Times New Roman"/>
          <w:szCs w:val="24"/>
        </w:rPr>
        <w:t xml:space="preserve">the </w:t>
      </w:r>
      <w:r w:rsidR="00CE48A5">
        <w:rPr>
          <w:rFonts w:ascii="Times New Roman" w:hAnsi="Times New Roman" w:cs="Times New Roman"/>
          <w:szCs w:val="24"/>
        </w:rPr>
        <w:t>allosteric</w:t>
      </w:r>
      <w:r w:rsidR="00ED5AF7">
        <w:rPr>
          <w:rFonts w:ascii="Times New Roman" w:hAnsi="Times New Roman" w:cs="Times New Roman"/>
          <w:szCs w:val="24"/>
        </w:rPr>
        <w:t xml:space="preserve"> NNRTI binding</w:t>
      </w:r>
      <w:r w:rsidR="00CE48A5">
        <w:rPr>
          <w:rFonts w:ascii="Times New Roman" w:hAnsi="Times New Roman" w:cs="Times New Roman"/>
          <w:szCs w:val="24"/>
        </w:rPr>
        <w:t xml:space="preserve"> pocket</w:t>
      </w:r>
      <w:r w:rsidR="00ED5AF7">
        <w:rPr>
          <w:rFonts w:ascii="Times New Roman" w:hAnsi="Times New Roman" w:cs="Times New Roman"/>
          <w:szCs w:val="24"/>
        </w:rPr>
        <w:t xml:space="preserve"> (NNIBP)</w:t>
      </w:r>
      <w:r w:rsidR="00CE48A5">
        <w:rPr>
          <w:rFonts w:ascii="Times New Roman" w:hAnsi="Times New Roman" w:cs="Times New Roman"/>
          <w:szCs w:val="24"/>
        </w:rPr>
        <w:t>,</w:t>
      </w:r>
      <w:r w:rsidR="00CE48A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w:t>
      </w:r>
      <w:r w:rsidR="00CE48A5">
        <w:rPr>
          <w:rFonts w:ascii="Times New Roman" w:hAnsi="Times New Roman" w:cs="Times New Roman"/>
          <w:szCs w:val="24"/>
        </w:rPr>
        <w:fldChar w:fldCharType="end"/>
      </w:r>
      <w:r w:rsidR="002E2CAD">
        <w:rPr>
          <w:rFonts w:ascii="Times New Roman" w:hAnsi="Times New Roman" w:cs="Times New Roman"/>
          <w:szCs w:val="24"/>
        </w:rPr>
        <w:t xml:space="preserve">. </w:t>
      </w:r>
      <w:r w:rsidR="00724AC1">
        <w:rPr>
          <w:rFonts w:ascii="Times New Roman" w:hAnsi="Times New Roman" w:cs="Times New Roman"/>
          <w:szCs w:val="24"/>
        </w:rPr>
        <w:t>Th</w:t>
      </w:r>
      <w:r w:rsidR="00ED5AF7">
        <w:rPr>
          <w:rFonts w:ascii="Times New Roman" w:hAnsi="Times New Roman" w:cs="Times New Roman"/>
          <w:szCs w:val="24"/>
        </w:rPr>
        <w:t>e</w:t>
      </w:r>
      <w:r w:rsidR="00724AC1">
        <w:rPr>
          <w:rFonts w:ascii="Times New Roman" w:hAnsi="Times New Roman" w:cs="Times New Roman"/>
          <w:szCs w:val="24"/>
        </w:rPr>
        <w:t xml:space="preserve">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3,4</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835458">
        <w:rPr>
          <w:rFonts w:ascii="Times New Roman" w:hAnsi="Times New Roman" w:cs="Times New Roman"/>
          <w:szCs w:val="24"/>
        </w:rPr>
        <w:t xml:space="preserve">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w:t>
      </w:r>
      <w:r w:rsidR="00ED5AF7">
        <w:rPr>
          <w:rFonts w:ascii="Times New Roman" w:hAnsi="Times New Roman" w:cs="Times New Roman"/>
          <w:szCs w:val="24"/>
        </w:rPr>
        <w:t>occurs commonly if virological suppression is not complete in patients receiving an NNRTI</w:t>
      </w:r>
      <w:r w:rsidR="00D25ECE">
        <w:rPr>
          <w:rFonts w:ascii="Times New Roman" w:hAnsi="Times New Roman" w:cs="Times New Roman"/>
          <w:szCs w:val="24"/>
        </w:rPr>
        <w:t>.</w:t>
      </w:r>
      <w:r w:rsidR="00B747D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5,6</w:t>
      </w:r>
      <w:r w:rsidR="00B747D0">
        <w:rPr>
          <w:rFonts w:ascii="Times New Roman" w:hAnsi="Times New Roman" w:cs="Times New Roman"/>
          <w:szCs w:val="24"/>
        </w:rPr>
        <w:fldChar w:fldCharType="end"/>
      </w:r>
    </w:p>
    <w:p w14:paraId="0A2D5673" w14:textId="05688176"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7</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134A97">
        <w:rPr>
          <w:rFonts w:ascii="Times New Roman" w:hAnsi="Times New Roman" w:cs="Times New Roman"/>
          <w:szCs w:val="24"/>
        </w:rPr>
        <w:t>alter</w:t>
      </w:r>
      <w:r w:rsidR="00ED5AF7">
        <w:rPr>
          <w:rFonts w:ascii="Times New Roman" w:hAnsi="Times New Roman" w:cs="Times New Roman"/>
          <w:szCs w:val="24"/>
        </w:rPr>
        <w:t>s</w:t>
      </w:r>
      <w:r w:rsidR="00134A97">
        <w:rPr>
          <w:rFonts w:ascii="Times New Roman" w:hAnsi="Times New Roman" w:cs="Times New Roman"/>
          <w:szCs w:val="24"/>
        </w:rPr>
        <w:t xml:space="preserve">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8</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Y181C remove</w:t>
      </w:r>
      <w:r w:rsidR="00ED5AF7">
        <w:rPr>
          <w:rFonts w:ascii="Times New Roman" w:hAnsi="Times New Roman" w:cs="Times New Roman"/>
          <w:szCs w:val="24"/>
        </w:rPr>
        <w:t>s</w:t>
      </w:r>
      <w:r w:rsidR="00214355">
        <w:rPr>
          <w:rFonts w:ascii="Times New Roman" w:hAnsi="Times New Roman" w:cs="Times New Roman"/>
          <w:szCs w:val="24"/>
        </w:rPr>
        <w:t xml:space="preser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10,11</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add</w:t>
      </w:r>
      <w:r w:rsidR="00ED5AF7">
        <w:rPr>
          <w:rFonts w:ascii="Times New Roman" w:hAnsi="Times New Roman" w:cs="Times New Roman"/>
          <w:szCs w:val="24"/>
        </w:rPr>
        <w:t>s</w:t>
      </w:r>
      <w:r w:rsidR="00DF6AF9">
        <w:rPr>
          <w:rFonts w:ascii="Times New Roman" w:hAnsi="Times New Roman" w:cs="Times New Roman"/>
          <w:szCs w:val="24"/>
        </w:rPr>
        <w:t xml:space="preserve"> a bulge in a compact binding region, causing steric conflict with the NNRTI.</w:t>
      </w:r>
      <w:r w:rsidR="00D55C96">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ED5AF7">
        <w:rPr>
          <w:rFonts w:ascii="Times New Roman" w:hAnsi="Times New Roman" w:cs="Times New Roman"/>
          <w:szCs w:val="24"/>
        </w:rPr>
        <w:t>The s</w:t>
      </w:r>
      <w:r w:rsidR="005F5ED0">
        <w:rPr>
          <w:rFonts w:ascii="Times New Roman" w:hAnsi="Times New Roman" w:cs="Times New Roman"/>
          <w:szCs w:val="24"/>
        </w:rPr>
        <w:t>econd generation NNRTIs</w:t>
      </w:r>
      <w:r w:rsidR="00D25ECE">
        <w:rPr>
          <w:rFonts w:ascii="Times New Roman" w:hAnsi="Times New Roman" w:cs="Times New Roman"/>
          <w:szCs w:val="24"/>
        </w:rPr>
        <w:t xml:space="preserve"> Etravirine</w:t>
      </w:r>
      <w:r w:rsidR="005F5ED0">
        <w:rPr>
          <w:rFonts w:ascii="Times New Roman" w:hAnsi="Times New Roman" w:cs="Times New Roman"/>
          <w:szCs w:val="24"/>
        </w:rPr>
        <w:t xml:space="preserve"> </w:t>
      </w:r>
      <w:r w:rsidR="00D25ECE">
        <w:rPr>
          <w:rFonts w:ascii="Times New Roman" w:hAnsi="Times New Roman" w:cs="Times New Roman"/>
          <w:szCs w:val="24"/>
        </w:rPr>
        <w:t>(</w:t>
      </w:r>
      <w:r w:rsidR="005F5ED0">
        <w:rPr>
          <w:rFonts w:ascii="Times New Roman" w:hAnsi="Times New Roman" w:cs="Times New Roman"/>
          <w:szCs w:val="24"/>
        </w:rPr>
        <w:t>ETR</w:t>
      </w:r>
      <w:r w:rsidR="00D25ECE">
        <w:rPr>
          <w:rFonts w:ascii="Times New Roman" w:hAnsi="Times New Roman" w:cs="Times New Roman"/>
          <w:szCs w:val="24"/>
        </w:rPr>
        <w:t>)</w:t>
      </w:r>
      <w:r w:rsidR="005F5ED0">
        <w:rPr>
          <w:rFonts w:ascii="Times New Roman" w:hAnsi="Times New Roman" w:cs="Times New Roman"/>
          <w:szCs w:val="24"/>
        </w:rPr>
        <w:t xml:space="preserve"> and </w:t>
      </w:r>
      <w:r w:rsidR="00D25ECE">
        <w:rPr>
          <w:rFonts w:ascii="Times New Roman" w:hAnsi="Times New Roman" w:cs="Times New Roman"/>
          <w:szCs w:val="24"/>
        </w:rPr>
        <w:t>Rilpivirine (</w:t>
      </w:r>
      <w:r w:rsidR="005F5ED0">
        <w:rPr>
          <w:rFonts w:ascii="Times New Roman" w:hAnsi="Times New Roman" w:cs="Times New Roman"/>
          <w:szCs w:val="24"/>
        </w:rPr>
        <w:t>RPV</w:t>
      </w:r>
      <w:r w:rsidR="00D25ECE">
        <w:rPr>
          <w:rFonts w:ascii="Times New Roman" w:hAnsi="Times New Roman" w:cs="Times New Roman"/>
          <w:szCs w:val="24"/>
        </w:rPr>
        <w:t>)</w:t>
      </w:r>
      <w:r w:rsidR="005F5ED0">
        <w:rPr>
          <w:rFonts w:ascii="Times New Roman" w:hAnsi="Times New Roman" w:cs="Times New Roman"/>
          <w:szCs w:val="24"/>
        </w:rPr>
        <w:t xml:space="preserve"> counteract such common NNRTI resistance mutations by introducing positional and conformational flexibility</w:t>
      </w:r>
      <w:r w:rsidR="00DB126B">
        <w:rPr>
          <w:rFonts w:ascii="Times New Roman" w:hAnsi="Times New Roman" w:cs="Times New Roman"/>
          <w:szCs w:val="24"/>
        </w:rPr>
        <w:t>.</w:t>
      </w:r>
      <w:r w:rsidR="00AA7A2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12,13</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w:t>
      </w:r>
      <w:r w:rsidR="00ED5AF7">
        <w:rPr>
          <w:rFonts w:ascii="Times New Roman" w:hAnsi="Times New Roman" w:cs="Times New Roman"/>
          <w:szCs w:val="24"/>
        </w:rPr>
        <w:t xml:space="preserve"> ETR and RPV</w:t>
      </w:r>
      <w:r w:rsidR="00AA7A20" w:rsidRPr="00AA7A20">
        <w:rPr>
          <w:rFonts w:ascii="Times New Roman" w:hAnsi="Times New Roman" w:cs="Times New Roman"/>
          <w:szCs w:val="24"/>
        </w:rPr>
        <w:t xml:space="preserve">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71856806" w:rsid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14</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15</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w:t>
      </w:r>
      <w:r w:rsidR="00907EEB">
        <w:rPr>
          <w:rFonts w:ascii="Times New Roman" w:hAnsi="Times New Roman" w:cs="Times New Roman"/>
          <w:szCs w:val="24"/>
        </w:rPr>
        <w:t>, which is often mutated to alanine in viruses from patients with virological failure receiving DOR and which results in reduced DOR susceptibility</w:t>
      </w:r>
      <w:r w:rsidR="00B24F5E">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16,17</w:t>
      </w:r>
      <w:r w:rsidR="00B24F5E">
        <w:rPr>
          <w:rFonts w:ascii="Times New Roman" w:hAnsi="Times New Roman" w:cs="Times New Roman"/>
          <w:szCs w:val="24"/>
        </w:rPr>
        <w:fldChar w:fldCharType="end"/>
      </w:r>
      <w:r w:rsidR="00907EEB">
        <w:rPr>
          <w:rFonts w:ascii="Times New Roman" w:hAnsi="Times New Roman" w:cs="Times New Roman"/>
          <w:szCs w:val="24"/>
        </w:rPr>
        <w:t>.</w:t>
      </w:r>
      <w:r w:rsidRPr="005F0819">
        <w:rPr>
          <w:rFonts w:ascii="Times New Roman" w:hAnsi="Times New Roman" w:cs="Times New Roman"/>
          <w:szCs w:val="24"/>
        </w:rPr>
        <w:t xml:space="preserve"> Similarly, combinations of V106A/I with F227C/L, L234I, and P225H cause &gt;100-fold reduction</w:t>
      </w:r>
      <w:r w:rsidR="00907EEB">
        <w:rPr>
          <w:rFonts w:ascii="Times New Roman" w:hAnsi="Times New Roman" w:cs="Times New Roman"/>
          <w:szCs w:val="24"/>
        </w:rPr>
        <w:t>s</w:t>
      </w:r>
      <w:r w:rsidRPr="005F0819">
        <w:rPr>
          <w:rFonts w:ascii="Times New Roman" w:hAnsi="Times New Roman" w:cs="Times New Roman"/>
          <w:szCs w:val="24"/>
        </w:rPr>
        <w:t xml:space="preserve">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18</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w:t>
      </w:r>
    </w:p>
    <w:p w14:paraId="09AA43E8" w14:textId="05ABDC38" w:rsidR="00547C65" w:rsidRPr="005F0819" w:rsidRDefault="00DB126B" w:rsidP="009977AB">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w:t>
      </w:r>
      <w:r>
        <w:rPr>
          <w:rFonts w:ascii="Times New Roman" w:hAnsi="Times New Roman" w:cs="Times New Roman"/>
          <w:szCs w:val="24"/>
        </w:rPr>
        <w:t>antiretroviral therapy (</w:t>
      </w:r>
      <w:r w:rsidRPr="005F0819">
        <w:rPr>
          <w:rFonts w:ascii="Times New Roman" w:hAnsi="Times New Roman" w:cs="Times New Roman"/>
          <w:szCs w:val="24"/>
        </w:rPr>
        <w:t>ART</w:t>
      </w:r>
      <w:r>
        <w:rPr>
          <w:rFonts w:ascii="Times New Roman" w:hAnsi="Times New Roman" w:cs="Times New Roman"/>
          <w:szCs w:val="24"/>
        </w:rPr>
        <w:t>)</w:t>
      </w:r>
      <w:r w:rsidRPr="005F0819">
        <w:rPr>
          <w:rFonts w:ascii="Times New Roman" w:hAnsi="Times New Roman" w:cs="Times New Roman"/>
          <w:szCs w:val="24"/>
        </w:rPr>
        <w:t>.</w:t>
      </w:r>
      <w:r w:rsidR="004D470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4D470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19–22</w:t>
      </w:r>
      <w:r w:rsidR="004D4709">
        <w:rPr>
          <w:rFonts w:ascii="Times New Roman" w:hAnsi="Times New Roman" w:cs="Times New Roman"/>
          <w:szCs w:val="24"/>
        </w:rPr>
        <w:fldChar w:fldCharType="end"/>
      </w:r>
      <w:r w:rsidRPr="005F0819">
        <w:rPr>
          <w:rFonts w:ascii="Times New Roman" w:hAnsi="Times New Roman" w:cs="Times New Roman"/>
          <w:szCs w:val="24"/>
        </w:rPr>
        <w:t xml:space="preserve"> Yet limited availability of DOR-resistance data has </w:t>
      </w:r>
      <w:r>
        <w:rPr>
          <w:rFonts w:ascii="Times New Roman" w:hAnsi="Times New Roman" w:cs="Times New Roman"/>
          <w:szCs w:val="24"/>
        </w:rPr>
        <w:t>complicated</w:t>
      </w:r>
      <w:r w:rsidRPr="005F0819">
        <w:rPr>
          <w:rFonts w:ascii="Times New Roman" w:hAnsi="Times New Roman" w:cs="Times New Roman"/>
          <w:szCs w:val="24"/>
        </w:rPr>
        <w:t xml:space="preserve"> its use in 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sidR="00B31666">
        <w:rPr>
          <w:rFonts w:ascii="Times New Roman" w:hAnsi="Times New Roman" w:cs="Times New Roman"/>
          <w:szCs w:val="24"/>
        </w:rPr>
        <w:t>….</w:t>
      </w:r>
    </w:p>
    <w:p w14:paraId="09AA43E8" w14:textId="05ABDC38" w:rsidR="00547C65" w:rsidRPr="005F0819" w:rsidRDefault="00DB126B" w:rsidP="009977AB">
      <w:pPr>
        <w:spacing w:before="240" w:after="240"/>
        <w:rPr>
          <w:rFonts w:ascii="Times New Roman" w:hAnsi="Times New Roman" w:cs="Times New Roman"/>
          <w:szCs w:val="24"/>
        </w:rPr>
      </w:pPr>
      <w:r>
        <w:t>Alchemical free-energy methods provide a complementary route to relative binding free energies (ΔΔG) for point mutations. Nonequilibrium work protocols with Crooks/BAR estimators, as implemented in pmx and related pipelines (Gapsys et al., 2020; Aldeghi et al., 2018/2019), have been used to rank NNRTI resistance mutations (Hauser et al., 2018). In this study we report an incomplete pmx/GROMACS FEP panel for DOR: protocol trust is established with a V106A walkthrough, and we discuss only genotypes whose replicate SEM is ≲ 0.6 kcal/mol. We treat weak ΔΔG–phenotype correlation and genotype-specific discordances (notably V106M) as scientific findings rather than pipeline failures, and we do not wait on unfinished charge-change legs before analyzing the MD structural suite.</w:t>
      </w:r>
    </w:p>
    <w:p w14:paraId="481974F7" w14:textId="305B5C46" w:rsidR="00165F8F" w:rsidRDefault="00E013CB" w:rsidP="00165F8F">
      <w:pPr>
        <w:spacing w:after="240"/>
        <w:rPr>
          <w:rFonts w:ascii="Times New Roman" w:hAnsi="Times New Roman" w:cs="Times New Roman"/>
          <w:b/>
          <w:bCs/>
          <w:sz w:val="28"/>
          <w:szCs w:val="28"/>
        </w:rPr>
      </w:pPr>
      <w:r>
        <w:rPr>
          <w:rFonts w:ascii="Times New Roman" w:hAnsi="Times New Roman" w:cs="Times New Roman"/>
          <w:b/>
          <w:bCs/>
          <w:noProof/>
          <w:sz w:val="22"/>
          <w:szCs w:val="22"/>
        </w:rPr>
        <w:lastRenderedPageBreak/>
        <w:drawing>
          <wp:inline distT="0" distB="0" distL="0" distR="0" wp14:anchorId="3BEFC67E" wp14:editId="29CAD9E5">
            <wp:extent cx="5943600" cy="6109335"/>
            <wp:effectExtent l="0" t="0" r="0" b="0"/>
            <wp:docPr id="1309979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249" name="Picture 1309979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r w:rsidR="000156E3"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000156E3" w:rsidRPr="00B44656">
        <w:rPr>
          <w:rFonts w:ascii="Times New Roman" w:hAnsi="Times New Roman" w:cs="Times New Roman"/>
          <w:b/>
          <w:bCs/>
          <w:sz w:val="22"/>
          <w:szCs w:val="22"/>
        </w:rPr>
        <w:t>: Crystal structure of DOR bound to WT RT (PDB ID: 4NCG).</w:t>
      </w:r>
      <w:r w:rsidR="000156E3"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000156E3"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71D162A3" w14:textId="1C6E21F5"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52DB8799" w:rsidR="00471553" w:rsidRP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lastRenderedPageBreak/>
        <w:t>Susceptible 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209FEB8E" w:rsid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t>Resistant</w:t>
      </w:r>
      <w:r w:rsidRPr="00471553">
        <w:rPr>
          <w:rFonts w:ascii="Times New Roman" w:hAnsi="Times New Roman" w:cs="Times New Roman"/>
          <w:i/>
          <w:iCs/>
          <w:szCs w:val="24"/>
        </w:rPr>
        <w:t xml:space="preserve"> </w:t>
      </w:r>
      <w:r>
        <w:rPr>
          <w:rFonts w:ascii="Times New Roman" w:hAnsi="Times New Roman" w:cs="Times New Roman"/>
          <w:i/>
          <w:iCs/>
          <w:szCs w:val="24"/>
        </w:rPr>
        <w:t>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07BD26B3"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7E825805"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hyperlink r:id="rId9" w:history="1">
        <w:r w:rsidR="00CB5C39" w:rsidRPr="00FF6404">
          <w:rPr>
            <w:rStyle w:val="Hyperlink"/>
            <w:rFonts w:ascii="Times New Roman" w:hAnsi="Times New Roman" w:cs="Times New Roman"/>
            <w:szCs w:val="24"/>
          </w:rPr>
          <w:t>https://hivdb.stanford.edu/</w:t>
        </w:r>
      </w:hyperlink>
      <w:r w:rsidR="00CB5C39">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w:t>
      </w:r>
      <w:r w:rsidR="00CB5C39">
        <w:rPr>
          <w:rFonts w:ascii="Times New Roman" w:hAnsi="Times New Roman" w:cs="Times New Roman"/>
          <w:szCs w:val="24"/>
        </w:rPr>
        <w:t>se</w:t>
      </w:r>
      <w:r w:rsidR="005F6D6C">
        <w:rPr>
          <w:rFonts w:ascii="Times New Roman" w:hAnsi="Times New Roman" w:cs="Times New Roman"/>
          <w:szCs w:val="24"/>
        </w:rPr>
        <w:t xml:space="preserve"> susceptibility data were derived from assays performed using the</w:t>
      </w:r>
      <w:r w:rsidR="00C965EE" w:rsidRPr="00C965EE">
        <w:rPr>
          <w:rFonts w:ascii="Times New Roman" w:hAnsi="Times New Roman" w:cs="Times New Roman"/>
          <w:szCs w:val="24"/>
        </w:rPr>
        <w:t xml:space="preserve"> Monogram PhenoSense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19FBFF28" w:rsidR="00A361BD"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w:t>
            </w:r>
            <w:r w:rsidR="004D4709">
              <w:rPr>
                <w:rFonts w:ascii="Times New Roman" w:hAnsi="Times New Roman" w:cs="Times New Roman"/>
                <w:b/>
                <w:bCs/>
                <w:color w:val="000000"/>
                <w:sz w:val="22"/>
                <w:szCs w:val="22"/>
              </w:rPr>
              <w:t>e</w:t>
            </w:r>
            <w:r>
              <w:rPr>
                <w:rFonts w:ascii="Times New Roman" w:hAnsi="Times New Roman" w:cs="Times New Roman"/>
                <w:b/>
                <w:bCs/>
                <w:color w:val="000000"/>
                <w:sz w:val="22"/>
                <w:szCs w:val="22"/>
              </w:rPr>
              <w:t>ptible</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608E8998"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2A92F123"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7350F404"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59BABF21"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23F5516" w:rsidR="008D0480"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029A126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{"citationID":"EX1gvYm7","properties":{"unsorted":false,"formattedCitation":"\\super 23\\nosupersub{}","plainCitation":"23","noteIndex":0},"citationItems":[{"id":131,"uris":["http://zotero.org/users/19404620/items/B8KKE9VH"],"itemData":{"id":131,"type":"article-journal","abstract":"Clinical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23</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77245B4F"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17</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53785E66"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{"citationID":"A8Oinhsw","properties":{"unsorted":false,"formattedCitation":"\\super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73B14AC1"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{"citationID":"lcT7Ijjb","properties":{"unsorted":false,"formattedCitation":"\\super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64073D13"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63842FC1"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{"citationID":"iEuvspek","properties":{"unsorted":false,"formattedCitation":"\\super 25\\nosupersub{}","plainCitation":"25","noteIndex":0},"citationItems":[{"id":210,"uris":["http://zotero.org/users/19404620/items/JW4TMFXK"],"itemData":{"id":210,"type":"webpage","publisher":"22nd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{"citationID":"r5HkVSPs","properties":{"unsorted":false,"formattedCitation":"\\super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155257AF"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{"citationID":"y9MGbkL3","properties":{"unsorted":false,"formattedCitation":"\\super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58AA1097"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{"citationID":"DnX8jZfI","properties":{"unsorted":false,"formattedCitation":"\\super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{"citationID":"jt8k6vke","properties":{"unsorted":false,"formattedCitation":"\\super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r>
              <w:t>Resistant</w:t>
            </w: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50F5FD7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{"citationID":"0N5BrjjB","properties":{"unsorted":false,"formattedCitation":"\\super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32B01764"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 xml:space="preserve">Uncertain </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4DD2E45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29D20C2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1F423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01A10B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7E97AF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{"citationID":"clMt889n","properties":{"unsorted":false,"formattedCitation":"\\super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0AA48431"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End-point MM/GBSA totals are replicate-noisy and do not track DOR phenotype</w:t>
      </w:r>
      <w:r w:rsidR="001A726C">
        <w:rPr>
          <w:rFonts w:ascii="Times New Roman" w:hAnsi="Times New Roman" w:cs="Times New Roman"/>
          <w:b/>
          <w:bCs/>
          <w:szCs w:val="24"/>
          <w:u w:val="single"/>
        </w:rPr>
      </w:r>
      <w:r w:rsidRPr="00D55273">
        <w:rPr>
          <w:rFonts w:ascii="Times New Roman" w:hAnsi="Times New Roman" w:cs="Times New Roman"/>
          <w:b/>
          <w:bCs/>
          <w:szCs w:val="24"/>
          <w:u w:val="single"/>
        </w:rPr>
      </w:r>
      <w:r w:rsidR="001A726C">
        <w:rPr>
          <w:rFonts w:ascii="Times New Roman" w:hAnsi="Times New Roman" w:cs="Times New Roman"/>
          <w:b/>
          <w:bCs/>
          <w:szCs w:val="24"/>
          <w:u w:val="single"/>
        </w:rPr>
      </w:r>
      <w:r w:rsidRPr="00D55273">
        <w:rPr>
          <w:rFonts w:ascii="Times New Roman" w:hAnsi="Times New Roman" w:cs="Times New Roman"/>
          <w:b/>
          <w:bCs/>
          <w:szCs w:val="24"/>
          <w:u w:val="single"/>
        </w:rPr>
      </w:r>
      <w:r>
        <w:rPr>
          <w:rFonts w:ascii="Times New Roman" w:hAnsi="Times New Roman" w:cs="Times New Roman"/>
          <w:b/>
          <w:bCs/>
          <w:szCs w:val="24"/>
          <w:u w:val="single"/>
        </w:rPr>
      </w:r>
      <w:r w:rsidR="00B31666">
        <w:rPr>
          <w:rFonts w:ascii="Times New Roman" w:hAnsi="Times New Roman" w:cs="Times New Roman"/>
          <w:b/>
          <w:bCs/>
          <w:szCs w:val="24"/>
          <w:u w:val="single"/>
        </w:rPr>
      </w:r>
      <w:r>
        <w:rPr>
          <w:rFonts w:ascii="Times New Roman" w:hAnsi="Times New Roman" w:cs="Times New Roman"/>
          <w:b/>
          <w:bCs/>
          <w:szCs w:val="24"/>
          <w:u w:val="single"/>
        </w:rPr>
      </w:r>
      <w:r w:rsidRPr="00D55273">
        <w:rPr>
          <w:rFonts w:ascii="Times New Roman" w:hAnsi="Times New Roman" w:cs="Times New Roman"/>
          <w:b/>
          <w:bCs/>
          <w:szCs w:val="24"/>
          <w:u w:val="single"/>
        </w:rPr>
      </w:r>
    </w:p>
    <w:p w14:paraId="5976F625" w14:textId="1F2A97C3" w:rsidR="00B67051" w:rsidRDefault="000156E3" w:rsidP="00574ECC">
      <w:pPr>
        <w:rPr>
          <w:rFonts w:ascii="Times New Roman" w:hAnsi="Times New Roman" w:cs="Times New Roman"/>
          <w:szCs w:val="24"/>
        </w:rPr>
      </w:pPr>
      <w:r w:rsidRPr="00985CF1">
        <w:rPr>
          <w:rFonts w:ascii="Times New Roman" w:hAnsi="Times New Roman" w:cs="Times New Roman"/>
          <w:szCs w:val="24"/>
        </w:rPr>
        <w:t>We first asked whether mutation-induced changes in RT:DOR binding free energy derived from MD simulations could recapitulate the phenotypic DOR susceptibility landscape. Starting from the published X-ray crystal structure of WT RT bound to DOR (Figure 1), we introduced each mutation in silico to generate 18 mutant RT-DOR complex structures corresponding to the curated genotype panel described above. The RT variant sequences simulated in this study are provided in Supplementary Table 2. For each mutant system, we generated bound-state snapshots of both holo (DOR bound) and apo (DOR unbound) configurations. ran three independent end-point windows all-atom, explicit-solvent production simulations and calculated the average MM/GBSA energy over the final 20 frames of each trajectory, corresponding to approximately the final 10ns. For each mutant genotype, we then computed WT-referenced energetic changes, ΔΔG, for the total MM/GBSA energy (∆∆GTotal) and for four individual energy components: van der Waals (∆∆GvdW), electrostatic (∆∆Gelec), generalized Born polar solvation (∆∆GGB), and nonpolar surface area (∆∆GSA) contributions. In this framework, a positive WT-referenced energy shift, ∆∆G, represents a global destabilization of the bound RT-DOR complex. The results are summarized in Table 2 and Supplementary Table 3.</w:t>
      </w:r>
      <w:r w:rsidR="000B0142">
        <w:rPr>
          <w:rFonts w:ascii="Times New Roman" w:hAnsi="Times New Roman" w:cs="Times New Roman"/>
          <w:szCs w:val="24"/>
        </w:rPr>
      </w:r>
      <w:r w:rsidR="000328EB">
        <w:rPr>
          <w:rFonts w:ascii="Times New Roman" w:hAnsi="Times New Roman" w:cs="Times New Roman"/>
          <w:szCs w:val="24"/>
        </w:rPr>
      </w:r>
      <w:r w:rsidRPr="00985CF1">
        <w:rPr>
          <w:rFonts w:ascii="Times New Roman" w:hAnsi="Times New Roman" w:cs="Times New Roman"/>
          <w:szCs w:val="24"/>
        </w:rPr>
      </w:r>
      <w:r>
        <w:rPr>
          <w:rFonts w:ascii="Times New Roman" w:hAnsi="Times New Roman" w:cs="Times New Roman"/>
          <w:szCs w:val="24"/>
        </w:rPr>
      </w:r>
      <w:r w:rsidRPr="00985CF1">
        <w:rPr>
          <w:rFonts w:ascii="Times New Roman" w:hAnsi="Times New Roman" w:cs="Times New Roman"/>
          <w:szCs w:val="24"/>
        </w:rPr>
      </w:r>
      <w:r>
        <w:rPr>
          <w:rFonts w:ascii="Times New Roman" w:hAnsi="Times New Roman" w:cs="Times New Roman"/>
          <w:szCs w:val="24"/>
        </w:rPr>
      </w:r>
      <w:r w:rsidRPr="00985CF1">
        <w:rPr>
          <w:rFonts w:ascii="Times New Roman" w:hAnsi="Times New Roman" w:cs="Times New Roman"/>
          <w:szCs w:val="24"/>
        </w:rPr>
      </w:r>
      <w:r w:rsidRPr="007A2B2E">
        <w:rPr>
          <w:rFonts w:ascii="Times New Roman" w:hAnsi="Times New Roman" w:cs="Times New Roman"/>
          <w:i/>
          <w:iCs/>
          <w:szCs w:val="24"/>
        </w:rPr>
      </w:r>
      <w:r w:rsidRPr="00985CF1">
        <w:rPr>
          <w:rFonts w:ascii="Times New Roman" w:hAnsi="Times New Roman" w:cs="Times New Roman"/>
          <w:szCs w:val="24"/>
        </w:rPr>
      </w:r>
      <w:r w:rsidR="00574ECC">
        <w:rPr>
          <w:rFonts w:ascii="Times New Roman" w:hAnsi="Times New Roman" w:cs="Times New Roman"/>
          <w:szCs w:val="24"/>
        </w:rPr>
      </w:r>
      <w:r w:rsidR="00B67051" w:rsidRPr="00985CF1">
        <w:rPr>
          <w:rFonts w:ascii="Times New Roman" w:hAnsi="Times New Roman" w:cs="Times New Roman"/>
          <w:szCs w:val="24"/>
        </w:rPr>
      </w:r>
      <w:r w:rsidR="004F6D77">
        <w:rPr>
          <w:rFonts w:ascii="Times New Roman" w:hAnsi="Times New Roman" w:cs="Times New Roman"/>
          <w:szCs w:val="24"/>
        </w:rPr>
      </w:r>
      <w:r w:rsidR="00B67051" w:rsidRPr="00985CF1">
        <w:rPr>
          <w:rFonts w:ascii="Times New Roman" w:hAnsi="Times New Roman" w:cs="Times New Roman"/>
          <w:szCs w:val="24"/>
        </w:rPr>
      </w:r>
      <w:r w:rsidR="004F6D77">
        <w:rPr>
          <w:rFonts w:ascii="Times New Roman" w:hAnsi="Times New Roman" w:cs="Times New Roman"/>
          <w:szCs w:val="24"/>
        </w:rPr>
      </w:r>
      <w:r w:rsidR="000B0142">
        <w:rPr>
          <w:rFonts w:ascii="Times New Roman" w:hAnsi="Times New Roman" w:cs="Times New Roman"/>
          <w:szCs w:val="24"/>
        </w:rPr>
      </w:r>
      <w:proofErr w:type="spellStart"/>
      <w:r w:rsidR="000B0142">
        <w:rPr>
          <w:rFonts w:ascii="Times New Roman" w:hAnsi="Times New Roman" w:cs="Times New Roman"/>
          <w:i/>
          <w:iCs/>
          <w:szCs w:val="24"/>
        </w:rPr>
      </w:r>
      <w:proofErr w:type="spellEnd"/>
      <w:r w:rsidR="000B0142">
        <w:rPr>
          <w:rFonts w:ascii="Times New Roman" w:hAnsi="Times New Roman" w:cs="Times New Roman"/>
          <w:i/>
          <w:iCs/>
          <w:szCs w:val="24"/>
        </w:rPr>
      </w:r>
      <w:r w:rsidR="000B0142">
        <w:rPr>
          <w:rFonts w:ascii="Times New Roman" w:hAnsi="Times New Roman" w:cs="Times New Roman"/>
          <w:szCs w:val="24"/>
        </w:rPr>
      </w:r>
      <w:r w:rsidR="000B0142">
        <w:rPr>
          <w:rFonts w:ascii="Times New Roman" w:hAnsi="Times New Roman" w:cs="Times New Roman"/>
          <w:i/>
          <w:iCs/>
          <w:szCs w:val="24"/>
        </w:rPr>
      </w:r>
      <w:r w:rsidR="000B0142">
        <w:rPr>
          <w:rFonts w:ascii="Times New Roman" w:hAnsi="Times New Roman" w:cs="Times New Roman"/>
          <w:szCs w:val="24"/>
        </w:rPr>
      </w:r>
      <w:r w:rsidR="004F6D77">
        <w:rPr>
          <w:rFonts w:ascii="Times New Roman" w:hAnsi="Times New Roman" w:cs="Times New Roman"/>
          <w:szCs w:val="24"/>
        </w:rPr>
      </w:r>
      <w:r w:rsidR="00B67051" w:rsidRPr="00985CF1">
        <w:rPr>
          <w:rFonts w:ascii="Times New Roman" w:hAnsi="Times New Roman" w:cs="Times New Roman"/>
          <w:szCs w:val="24"/>
        </w:rPr>
      </w:r>
      <w:r w:rsidR="00164182">
        <w:rPr>
          <w:rFonts w:ascii="Times New Roman" w:hAnsi="Times New Roman" w:cs="Times New Roman"/>
          <w:szCs w:val="24"/>
        </w:rPr>
      </w:r>
      <w:r w:rsidR="00B67051" w:rsidRPr="00985CF1">
        <w:rPr>
          <w:rFonts w:ascii="Times New Roman" w:hAnsi="Times New Roman" w:cs="Times New Roman"/>
          <w:szCs w:val="24"/>
        </w:rPr>
      </w:r>
      <w:r w:rsidR="00B67051" w:rsidRPr="000644BD">
        <w:rPr>
          <w:rFonts w:ascii="Times New Roman" w:hAnsi="Times New Roman" w:cs="Times New Roman"/>
          <w:szCs w:val="24"/>
        </w:rPr>
      </w:r>
      <w:r w:rsidR="000644BD">
        <w:rPr>
          <w:rFonts w:ascii="Times New Roman" w:hAnsi="Times New Roman" w:cs="Times New Roman"/>
          <w:szCs w:val="24"/>
        </w:rPr>
      </w:r>
      <w:proofErr w:type="spellStart"/>
      <w:r w:rsidR="000644BD">
        <w:rPr>
          <w:rFonts w:ascii="Times New Roman" w:hAnsi="Times New Roman" w:cs="Times New Roman"/>
          <w:szCs w:val="24"/>
        </w:rPr>
      </w:r>
      <w:r w:rsidR="000644BD">
        <w:rPr>
          <w:rFonts w:ascii="Times New Roman" w:hAnsi="Times New Roman" w:cs="Times New Roman"/>
          <w:szCs w:val="24"/>
          <w:vertAlign w:val="subscript"/>
        </w:rPr>
      </w:r>
      <w:proofErr w:type="spellEnd"/>
      <w:r w:rsidR="000644BD">
        <w:rPr>
          <w:rFonts w:ascii="Times New Roman" w:hAnsi="Times New Roman" w:cs="Times New Roman"/>
          <w:szCs w:val="24"/>
        </w:rPr>
      </w:r>
      <w:r w:rsidR="00B67051" w:rsidRPr="000644BD">
        <w:rPr>
          <w:rFonts w:ascii="Times New Roman" w:hAnsi="Times New Roman" w:cs="Times New Roman"/>
          <w:szCs w:val="24"/>
        </w:rPr>
      </w:r>
      <w:r w:rsidR="000644BD" w:rsidRPr="000644BD">
        <w:rPr>
          <w:rFonts w:ascii="Times New Roman" w:hAnsi="Times New Roman" w:cs="Times New Roman"/>
          <w:szCs w:val="24"/>
        </w:rPr>
      </w:r>
      <w:r w:rsidR="000644BD" w:rsidRPr="009977AB">
        <w:rPr>
          <w:rFonts w:ascii="Times New Roman" w:hAnsi="Times New Roman" w:cs="Times New Roman"/>
        </w:rPr>
      </w:r>
      <w:proofErr w:type="spellStart"/>
      <w:r w:rsidR="000644BD" w:rsidRPr="009977AB">
        <w:rPr>
          <w:rFonts w:ascii="Times New Roman" w:hAnsi="Times New Roman" w:cs="Times New Roman"/>
        </w:rPr>
      </w:r>
      <w:r w:rsidR="000644BD" w:rsidRPr="009977AB">
        <w:rPr>
          <w:rFonts w:ascii="Times New Roman" w:hAnsi="Times New Roman" w:cs="Times New Roman"/>
          <w:vertAlign w:val="subscript"/>
        </w:rPr>
      </w:r>
      <w:proofErr w:type="spellEnd"/>
      <w:r w:rsidR="000644BD" w:rsidRPr="000644BD">
        <w:rPr>
          <w:rFonts w:ascii="Times New Roman" w:hAnsi="Times New Roman" w:cs="Times New Roman"/>
          <w:szCs w:val="24"/>
        </w:rPr>
      </w:r>
      <w:r w:rsidR="00B67051" w:rsidRPr="000644BD">
        <w:rPr>
          <w:rFonts w:ascii="Times New Roman" w:hAnsi="Times New Roman" w:cs="Times New Roman"/>
          <w:szCs w:val="24"/>
        </w:rPr>
      </w:r>
      <w:r w:rsidR="000644BD">
        <w:rPr>
          <w:rFonts w:ascii="Times New Roman" w:hAnsi="Times New Roman" w:cs="Times New Roman"/>
          <w:szCs w:val="24"/>
        </w:rPr>
      </w:r>
      <w:proofErr w:type="spellStart"/>
      <w:r w:rsidR="000644BD">
        <w:rPr>
          <w:rFonts w:ascii="Times New Roman" w:hAnsi="Times New Roman" w:cs="Times New Roman"/>
          <w:szCs w:val="24"/>
        </w:rPr>
      </w:r>
      <w:r w:rsidR="000644BD" w:rsidRPr="003D40B4">
        <w:rPr>
          <w:rFonts w:ascii="Times New Roman" w:hAnsi="Times New Roman" w:cs="Times New Roman"/>
          <w:szCs w:val="24"/>
          <w:vertAlign w:val="subscript"/>
        </w:rPr>
      </w:r>
      <w:proofErr w:type="spellEnd"/>
      <w:r w:rsidR="000644BD">
        <w:rPr>
          <w:rFonts w:ascii="Times New Roman" w:hAnsi="Times New Roman" w:cs="Times New Roman"/>
          <w:szCs w:val="24"/>
        </w:rPr>
      </w:r>
      <w:r w:rsidR="00B67051" w:rsidRPr="00985CF1">
        <w:rPr>
          <w:rFonts w:ascii="Times New Roman" w:hAnsi="Times New Roman" w:cs="Times New Roman"/>
          <w:szCs w:val="24"/>
        </w:rPr>
      </w:r>
      <w:r w:rsidR="000644BD">
        <w:rPr>
          <w:rFonts w:ascii="Times New Roman" w:hAnsi="Times New Roman" w:cs="Times New Roman"/>
          <w:szCs w:val="24"/>
        </w:rPr>
      </w:r>
      <w:r w:rsidR="000644BD">
        <w:rPr>
          <w:rFonts w:ascii="Times New Roman" w:hAnsi="Times New Roman" w:cs="Times New Roman"/>
          <w:szCs w:val="24"/>
          <w:vertAlign w:val="subscript"/>
        </w:rPr>
      </w:r>
      <w:r w:rsidR="000644BD">
        <w:rPr>
          <w:rFonts w:ascii="Times New Roman" w:hAnsi="Times New Roman" w:cs="Times New Roman"/>
          <w:szCs w:val="24"/>
        </w:rPr>
      </w:r>
      <w:r w:rsidR="00B67051" w:rsidRPr="00985CF1">
        <w:rPr>
          <w:rFonts w:ascii="Times New Roman" w:hAnsi="Times New Roman" w:cs="Times New Roman"/>
          <w:szCs w:val="24"/>
        </w:rPr>
      </w:r>
      <w:r w:rsidR="000644BD">
        <w:rPr>
          <w:rFonts w:ascii="Times New Roman" w:hAnsi="Times New Roman" w:cs="Times New Roman"/>
          <w:szCs w:val="24"/>
        </w:rPr>
      </w:r>
      <w:r w:rsidR="000644BD">
        <w:rPr>
          <w:rFonts w:ascii="Times New Roman" w:hAnsi="Times New Roman" w:cs="Times New Roman"/>
          <w:szCs w:val="24"/>
          <w:vertAlign w:val="subscript"/>
        </w:rPr>
      </w:r>
      <w:r w:rsidR="000644BD">
        <w:rPr>
          <w:rFonts w:ascii="Times New Roman" w:hAnsi="Times New Roman" w:cs="Times New Roman"/>
          <w:szCs w:val="24"/>
        </w:rPr>
      </w:r>
      <w:r w:rsidR="00B67051" w:rsidRPr="00985CF1">
        <w:rPr>
          <w:rFonts w:ascii="Times New Roman" w:hAnsi="Times New Roman" w:cs="Times New Roman"/>
          <w:szCs w:val="24"/>
        </w:rPr>
      </w:r>
      <w:r w:rsidR="00B67051">
        <w:rPr>
          <w:rFonts w:ascii="Times New Roman" w:hAnsi="Times New Roman" w:cs="Times New Roman"/>
          <w:szCs w:val="24"/>
        </w:rPr>
      </w:r>
      <w:r w:rsidR="00434DCE">
        <w:rPr>
          <w:rFonts w:ascii="Times New Roman" w:hAnsi="Times New Roman" w:cs="Times New Roman"/>
          <w:szCs w:val="24"/>
        </w:rPr>
      </w:r>
      <w:r w:rsidR="00434DCE" w:rsidRPr="00985CF1">
        <w:rPr>
          <w:rFonts w:ascii="Times New Roman" w:hAnsi="Times New Roman" w:cs="Times New Roman"/>
          <w:szCs w:val="24"/>
        </w:rPr>
      </w:r>
      <w:r w:rsidR="00434DCE">
        <w:rPr>
          <w:rFonts w:ascii="Times New Roman" w:hAnsi="Times New Roman" w:cs="Times New Roman"/>
          <w:szCs w:val="24"/>
        </w:rPr>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48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1172"/>
        <w:gridCol w:w="1261"/>
        <w:gridCol w:w="1261"/>
        <w:gridCol w:w="1261"/>
        <w:gridCol w:w="1442"/>
        <w:gridCol w:w="1352"/>
      </w:tblGrid>
      <w:tr w:rsidR="006F396D" w:rsidRPr="00A361BD" w14:paraId="24D30954" w14:textId="59F95949" w:rsidTr="009977AB">
        <w:trPr>
          <w:trHeight w:val="539"/>
        </w:trPr>
        <w:tc>
          <w:tcPr>
            <w:tcW w:w="1345" w:type="dxa"/>
            <w:tcBorders>
              <w:top w:val="single" w:sz="4" w:space="0" w:color="auto"/>
              <w:bottom w:val="single" w:sz="4" w:space="0" w:color="auto"/>
            </w:tcBorders>
            <w:hideMark/>
          </w:tcPr>
          <w:p w14:paraId="34239A01" w14:textId="77777777" w:rsidR="006F396D" w:rsidRPr="00FB45FB" w:rsidRDefault="006F396D" w:rsidP="006F396D">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170" w:type="dxa"/>
            <w:tcBorders>
              <w:top w:val="single" w:sz="4" w:space="0" w:color="auto"/>
              <w:bottom w:val="single" w:sz="4" w:space="0" w:color="auto"/>
            </w:tcBorders>
            <w:hideMark/>
          </w:tcPr>
          <w:p w14:paraId="54D7E9F6" w14:textId="77777777" w:rsidR="006F396D" w:rsidRPr="00FB45FB" w:rsidRDefault="006F396D" w:rsidP="006F396D">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260" w:type="dxa"/>
            <w:tcBorders>
              <w:top w:val="single" w:sz="4" w:space="0" w:color="auto"/>
              <w:bottom w:val="single" w:sz="4" w:space="0" w:color="auto"/>
            </w:tcBorders>
            <w:hideMark/>
          </w:tcPr>
          <w:p w14:paraId="7A3754C9" w14:textId="26332B3D"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37BC9BBB" w14:textId="7FF9FB66"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59AF2063" w14:textId="6B6ABA0E"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c>
          <w:tcPr>
            <w:tcW w:w="1440" w:type="dxa"/>
            <w:tcBorders>
              <w:top w:val="single" w:sz="4" w:space="0" w:color="auto"/>
              <w:bottom w:val="single" w:sz="4" w:space="0" w:color="auto"/>
            </w:tcBorders>
          </w:tcPr>
          <w:p w14:paraId="00A538BF" w14:textId="254B4FAA"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GB</w:t>
            </w:r>
            <w:r>
              <w:rPr>
                <w:rFonts w:ascii="Times New Roman" w:hAnsi="Times New Roman" w:cs="Times New Roman"/>
                <w:b/>
                <w:bCs/>
                <w:color w:val="000000"/>
                <w:sz w:val="22"/>
                <w:szCs w:val="22"/>
              </w:rPr>
              <w:t xml:space="preserve"> (kJ/mol)</w:t>
            </w:r>
          </w:p>
        </w:tc>
        <w:tc>
          <w:tcPr>
            <w:tcW w:w="1351" w:type="dxa"/>
            <w:tcBorders>
              <w:top w:val="single" w:sz="4" w:space="0" w:color="auto"/>
              <w:bottom w:val="single" w:sz="4" w:space="0" w:color="auto"/>
            </w:tcBorders>
          </w:tcPr>
          <w:p w14:paraId="4DE31983" w14:textId="7467E727"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SA</w:t>
            </w:r>
            <w:r>
              <w:rPr>
                <w:rFonts w:ascii="Times New Roman" w:hAnsi="Times New Roman" w:cs="Times New Roman"/>
                <w:b/>
                <w:bCs/>
                <w:color w:val="000000"/>
                <w:sz w:val="22"/>
                <w:szCs w:val="22"/>
              </w:rPr>
              <w:t xml:space="preserve"> (kJ/mol)</w:t>
            </w:r>
          </w:p>
        </w:tc>
      </w:tr>
      <w:tr w:rsidR="006F396D" w:rsidRPr="00A361BD" w14:paraId="44966014" w14:textId="1C56A82F" w:rsidTr="009977AB">
        <w:trPr>
          <w:trHeight w:val="340"/>
        </w:trPr>
        <w:tc>
          <w:tcPr>
            <w:tcW w:w="1345" w:type="dxa"/>
            <w:vMerge w:val="restart"/>
            <w:tcBorders>
              <w:top w:val="single" w:sz="4" w:space="0" w:color="auto"/>
            </w:tcBorders>
            <w:hideMark/>
          </w:tcPr>
          <w:p w14:paraId="4F19AE89" w14:textId="287E2E79" w:rsidR="006F396D" w:rsidRPr="00FB45FB"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Susceptible</w:t>
            </w:r>
          </w:p>
        </w:tc>
        <w:tc>
          <w:tcPr>
            <w:tcW w:w="1170" w:type="dxa"/>
            <w:tcBorders>
              <w:top w:val="single" w:sz="4" w:space="0" w:color="auto"/>
            </w:tcBorders>
            <w:hideMark/>
          </w:tcPr>
          <w:p w14:paraId="2749A180"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260" w:type="dxa"/>
            <w:tcBorders>
              <w:top w:val="single" w:sz="4" w:space="0" w:color="auto"/>
            </w:tcBorders>
            <w:hideMark/>
          </w:tcPr>
          <w:p w14:paraId="4EC57C46" w14:textId="224FAC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-78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93</w:t>
            </w:r>
          </w:p>
        </w:tc>
        <w:tc>
          <w:tcPr>
            <w:tcW w:w="1260" w:type="dxa"/>
            <w:tcBorders>
              <w:top w:val="single" w:sz="4" w:space="0" w:color="auto"/>
            </w:tcBorders>
            <w:hideMark/>
          </w:tcPr>
          <w:p w14:paraId="093D5BEE" w14:textId="66B7BF83"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260" w:type="dxa"/>
            <w:tcBorders>
              <w:top w:val="single" w:sz="4" w:space="0" w:color="auto"/>
            </w:tcBorders>
            <w:hideMark/>
          </w:tcPr>
          <w:p w14:paraId="11FC6C6A" w14:textId="11F2F881"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top w:val="single" w:sz="4" w:space="0" w:color="auto"/>
            </w:tcBorders>
          </w:tcPr>
          <w:p w14:paraId="5CAD71A4" w14:textId="417ACBD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11.5</w:t>
            </w:r>
          </w:p>
        </w:tc>
        <w:tc>
          <w:tcPr>
            <w:tcW w:w="1351" w:type="dxa"/>
            <w:tcBorders>
              <w:top w:val="single" w:sz="4" w:space="0" w:color="auto"/>
            </w:tcBorders>
          </w:tcPr>
          <w:p w14:paraId="437ED4A3" w14:textId="5AD98AB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2E5B7A0A" w14:textId="73B04894" w:rsidTr="009977AB">
        <w:trPr>
          <w:trHeight w:val="340"/>
        </w:trPr>
        <w:tc>
          <w:tcPr>
            <w:tcW w:w="1345" w:type="dxa"/>
            <w:vMerge/>
            <w:hideMark/>
          </w:tcPr>
          <w:p w14:paraId="57F0AADE"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46D7EB0D"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260" w:type="dxa"/>
            <w:hideMark/>
          </w:tcPr>
          <w:p w14:paraId="64613AD8" w14:textId="53B7523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1260" w:type="dxa"/>
            <w:hideMark/>
          </w:tcPr>
          <w:p w14:paraId="011B6A9B" w14:textId="55CCC7D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1260" w:type="dxa"/>
            <w:hideMark/>
          </w:tcPr>
          <w:p w14:paraId="13D572A2" w14:textId="61C99206"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c>
          <w:tcPr>
            <w:tcW w:w="1440" w:type="dxa"/>
          </w:tcPr>
          <w:p w14:paraId="28F94474" w14:textId="1AFC237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22.5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11.4</w:t>
            </w:r>
          </w:p>
        </w:tc>
        <w:tc>
          <w:tcPr>
            <w:tcW w:w="1351" w:type="dxa"/>
          </w:tcPr>
          <w:p w14:paraId="4CDD4E06" w14:textId="72DD3CA5"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12856804" w14:textId="61072A8C" w:rsidTr="009977AB">
        <w:trPr>
          <w:trHeight w:val="340"/>
        </w:trPr>
        <w:tc>
          <w:tcPr>
            <w:tcW w:w="1345" w:type="dxa"/>
            <w:vMerge/>
            <w:hideMark/>
          </w:tcPr>
          <w:p w14:paraId="06659659"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0245771A"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260" w:type="dxa"/>
            <w:hideMark/>
          </w:tcPr>
          <w:p w14:paraId="3DF6DEB6" w14:textId="0CDAE6CF" w:rsidR="006F396D" w:rsidRPr="00FB45FB" w:rsidRDefault="00001714" w:rsidP="006F396D">
            <w:pPr>
              <w:jc w:val="center"/>
              <w:rPr>
                <w:rFonts w:ascii="Times New Roman" w:hAnsi="Times New Roman" w:cs="Times New Roman"/>
                <w:color w:val="000000"/>
                <w:sz w:val="22"/>
                <w:szCs w:val="22"/>
              </w:rPr>
            </w:pPr>
            <w:r>
              <w:rPr>
                <w:rFonts w:ascii="Times New Roman" w:hAnsi="Times New Roman" w:cs="Times New Roman"/>
                <w:sz w:val="22"/>
                <w:szCs w:val="22"/>
              </w:rPr>
              <w:t>-</w:t>
            </w:r>
            <w:r w:rsidR="006F396D">
              <w:rPr>
                <w:rFonts w:ascii="Times New Roman" w:hAnsi="Times New Roman" w:cs="Times New Roman"/>
                <w:sz w:val="22"/>
                <w:szCs w:val="22"/>
              </w:rPr>
              <w:t>5</w:t>
            </w:r>
            <w:r w:rsidR="006F396D">
              <w:rPr>
                <w:rFonts w:ascii="Times New Roman" w:hAnsi="Times New Roman" w:cs="Times New Roman"/>
                <w:color w:val="000000"/>
                <w:sz w:val="22"/>
                <w:szCs w:val="22"/>
              </w:rPr>
              <w:t xml:space="preserve"> </w:t>
            </w:r>
            <w:r w:rsidR="006F396D">
              <w:rPr>
                <w:rFonts w:ascii="Times New Roman" w:hAnsi="Times New Roman" w:cs="Times New Roman"/>
                <w:color w:val="000000"/>
                <w:sz w:val="22"/>
                <w:szCs w:val="22"/>
              </w:rPr>
              <w:sym w:font="Symbol" w:char="F0B1"/>
            </w:r>
            <w:r w:rsidR="006F396D">
              <w:rPr>
                <w:rFonts w:ascii="Times New Roman" w:hAnsi="Times New Roman" w:cs="Times New Roman"/>
                <w:color w:val="000000"/>
                <w:sz w:val="22"/>
                <w:szCs w:val="22"/>
              </w:rPr>
              <w:t xml:space="preserve"> 79</w:t>
            </w:r>
          </w:p>
        </w:tc>
        <w:tc>
          <w:tcPr>
            <w:tcW w:w="1260" w:type="dxa"/>
            <w:hideMark/>
          </w:tcPr>
          <w:p w14:paraId="42CAC3C9" w14:textId="4FC1877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1260" w:type="dxa"/>
            <w:hideMark/>
          </w:tcPr>
          <w:p w14:paraId="77C5D46D" w14:textId="58AD070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c>
          <w:tcPr>
            <w:tcW w:w="1440" w:type="dxa"/>
          </w:tcPr>
          <w:p w14:paraId="5F0E568C" w14:textId="49849D80"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16.4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351" w:type="dxa"/>
          </w:tcPr>
          <w:p w14:paraId="6AF82C0D" w14:textId="6CD2C2C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3E17992D" w14:textId="4DBEDDD7" w:rsidTr="009977AB">
        <w:trPr>
          <w:trHeight w:val="359"/>
        </w:trPr>
        <w:tc>
          <w:tcPr>
            <w:tcW w:w="1345" w:type="dxa"/>
            <w:vMerge/>
            <w:tcBorders>
              <w:bottom w:val="single" w:sz="4" w:space="0" w:color="auto"/>
            </w:tcBorders>
            <w:hideMark/>
          </w:tcPr>
          <w:p w14:paraId="22F42737" w14:textId="77777777" w:rsidR="006F396D" w:rsidRPr="00FB45FB" w:rsidRDefault="006F396D" w:rsidP="006F396D">
            <w:pPr>
              <w:rPr>
                <w:rFonts w:ascii="Times New Roman" w:hAnsi="Times New Roman" w:cs="Times New Roman"/>
                <w:color w:val="000000"/>
                <w:sz w:val="22"/>
                <w:szCs w:val="22"/>
              </w:rPr>
            </w:pPr>
          </w:p>
        </w:tc>
        <w:tc>
          <w:tcPr>
            <w:tcW w:w="1170" w:type="dxa"/>
            <w:tcBorders>
              <w:bottom w:val="single" w:sz="4" w:space="0" w:color="auto"/>
            </w:tcBorders>
            <w:hideMark/>
          </w:tcPr>
          <w:p w14:paraId="0B912095"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260" w:type="dxa"/>
            <w:tcBorders>
              <w:bottom w:val="single" w:sz="4" w:space="0" w:color="auto"/>
            </w:tcBorders>
            <w:hideMark/>
          </w:tcPr>
          <w:p w14:paraId="599B9F10" w14:textId="29E69A0F"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260" w:type="dxa"/>
            <w:tcBorders>
              <w:bottom w:val="single" w:sz="4" w:space="0" w:color="auto"/>
            </w:tcBorders>
            <w:hideMark/>
          </w:tcPr>
          <w:p w14:paraId="423205B9" w14:textId="438C228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1260" w:type="dxa"/>
            <w:tcBorders>
              <w:bottom w:val="single" w:sz="4" w:space="0" w:color="auto"/>
            </w:tcBorders>
            <w:hideMark/>
          </w:tcPr>
          <w:p w14:paraId="14126D0A" w14:textId="2E8EFA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bottom w:val="single" w:sz="4" w:space="0" w:color="auto"/>
            </w:tcBorders>
          </w:tcPr>
          <w:p w14:paraId="5EABE30F" w14:textId="07E0815B"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7.5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Borders>
              <w:bottom w:val="single" w:sz="4" w:space="0" w:color="auto"/>
            </w:tcBorders>
          </w:tcPr>
          <w:p w14:paraId="2E516955" w14:textId="1E53B932"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087B21" w:rsidRPr="00A361BD" w14:paraId="2552917A" w14:textId="0442AEC2" w:rsidTr="009977AB">
        <w:trPr>
          <w:trHeight w:val="340"/>
        </w:trPr>
        <w:tc>
          <w:tcPr>
            <w:tcW w:w="1345" w:type="dxa"/>
            <w:vMerge w:val="restart"/>
            <w:tcBorders>
              <w:top w:val="single" w:sz="4" w:space="0" w:color="auto"/>
            </w:tcBorders>
            <w:hideMark/>
          </w:tcPr>
          <w:p w14:paraId="2A5C282B" w14:textId="0BC994F4" w:rsidR="00087B21" w:rsidRPr="00FB45FB" w:rsidRDefault="00087B21" w:rsidP="00087B21">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170" w:type="dxa"/>
            <w:tcBorders>
              <w:top w:val="single" w:sz="4" w:space="0" w:color="auto"/>
            </w:tcBorders>
            <w:hideMark/>
          </w:tcPr>
          <w:p w14:paraId="2C7DC4C7"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260" w:type="dxa"/>
            <w:tcBorders>
              <w:top w:val="single" w:sz="4" w:space="0" w:color="auto"/>
            </w:tcBorders>
            <w:hideMark/>
          </w:tcPr>
          <w:p w14:paraId="6FF2C0E2" w14:textId="47DF76BB"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1260" w:type="dxa"/>
            <w:tcBorders>
              <w:top w:val="single" w:sz="4" w:space="0" w:color="auto"/>
            </w:tcBorders>
            <w:hideMark/>
          </w:tcPr>
          <w:p w14:paraId="4EDE9FF4" w14:textId="04D36D53"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1260" w:type="dxa"/>
            <w:tcBorders>
              <w:top w:val="single" w:sz="4" w:space="0" w:color="auto"/>
            </w:tcBorders>
            <w:hideMark/>
          </w:tcPr>
          <w:p w14:paraId="4DAB253D" w14:textId="759576FA"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c>
          <w:tcPr>
            <w:tcW w:w="1440" w:type="dxa"/>
            <w:tcBorders>
              <w:top w:val="single" w:sz="4" w:space="0" w:color="auto"/>
            </w:tcBorders>
          </w:tcPr>
          <w:p w14:paraId="47ADA358" w14:textId="495F555C"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5.6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14.7</w:t>
            </w:r>
          </w:p>
        </w:tc>
        <w:tc>
          <w:tcPr>
            <w:tcW w:w="1351" w:type="dxa"/>
            <w:tcBorders>
              <w:top w:val="single" w:sz="4" w:space="0" w:color="auto"/>
            </w:tcBorders>
          </w:tcPr>
          <w:p w14:paraId="0D3709E4" w14:textId="775017B1"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r w:rsidR="00087B21" w:rsidRPr="00A361BD" w14:paraId="52DF051B" w14:textId="13833943" w:rsidTr="009977AB">
        <w:trPr>
          <w:trHeight w:val="340"/>
        </w:trPr>
        <w:tc>
          <w:tcPr>
            <w:tcW w:w="1345" w:type="dxa"/>
            <w:vMerge/>
            <w:hideMark/>
          </w:tcPr>
          <w:p w14:paraId="6BA3C0B2"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04246288"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260" w:type="dxa"/>
            <w:hideMark/>
          </w:tcPr>
          <w:p w14:paraId="02E4A43F" w14:textId="1B103396"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260" w:type="dxa"/>
            <w:hideMark/>
          </w:tcPr>
          <w:p w14:paraId="187DB824" w14:textId="0BC94EB9"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2A0DF9D9" w14:textId="781ECDE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c>
          <w:tcPr>
            <w:tcW w:w="1440" w:type="dxa"/>
          </w:tcPr>
          <w:p w14:paraId="68C5554D" w14:textId="67C37849"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12.5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13.7</w:t>
            </w:r>
          </w:p>
        </w:tc>
        <w:tc>
          <w:tcPr>
            <w:tcW w:w="1351" w:type="dxa"/>
          </w:tcPr>
          <w:p w14:paraId="2C38731E" w14:textId="1D1A5B9E"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087B21" w:rsidRPr="00A361BD" w14:paraId="7239B8E5" w14:textId="0CA50D15" w:rsidTr="009977AB">
        <w:trPr>
          <w:trHeight w:val="340"/>
        </w:trPr>
        <w:tc>
          <w:tcPr>
            <w:tcW w:w="1345" w:type="dxa"/>
            <w:vMerge/>
            <w:hideMark/>
          </w:tcPr>
          <w:p w14:paraId="50D3B3F3"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64AB54A1"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260" w:type="dxa"/>
            <w:hideMark/>
          </w:tcPr>
          <w:p w14:paraId="1BDA9F26" w14:textId="070C1E67"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1260" w:type="dxa"/>
            <w:hideMark/>
          </w:tcPr>
          <w:p w14:paraId="2D18358B" w14:textId="58AC000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1260" w:type="dxa"/>
            <w:hideMark/>
          </w:tcPr>
          <w:p w14:paraId="14CAECF1" w14:textId="5B1571C8"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c>
          <w:tcPr>
            <w:tcW w:w="1440" w:type="dxa"/>
          </w:tcPr>
          <w:p w14:paraId="71649A78" w14:textId="4EDB7EC3" w:rsidR="00087B21" w:rsidRDefault="001C6753" w:rsidP="00087B21">
            <w:pPr>
              <w:jc w:val="center"/>
              <w:rPr>
                <w:rFonts w:ascii="Times New Roman" w:hAnsi="Times New Roman" w:cs="Times New Roman"/>
                <w:sz w:val="22"/>
                <w:szCs w:val="22"/>
              </w:rPr>
            </w:pPr>
            <w:r>
              <w:rPr>
                <w:rFonts w:ascii="Times New Roman" w:hAnsi="Times New Roman" w:cs="Times New Roman"/>
                <w:color w:val="000000"/>
                <w:sz w:val="22"/>
                <w:szCs w:val="22"/>
              </w:rPr>
              <w:t>25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0</w:t>
            </w:r>
            <w:r w:rsidR="00087B21">
              <w:rPr>
                <w:rFonts w:ascii="Times New Roman" w:hAnsi="Times New Roman" w:cs="Times New Roman"/>
                <w:color w:val="000000"/>
                <w:sz w:val="22"/>
                <w:szCs w:val="22"/>
              </w:rPr>
              <w:t xml:space="preserve"> </w:t>
            </w:r>
            <w:r w:rsidR="00087B21">
              <w:rPr>
                <w:rFonts w:ascii="Times New Roman" w:hAnsi="Times New Roman" w:cs="Times New Roman"/>
                <w:color w:val="000000"/>
                <w:sz w:val="22"/>
                <w:szCs w:val="22"/>
              </w:rPr>
              <w:sym w:font="Symbol" w:char="F0B1"/>
            </w:r>
            <w:r w:rsidR="00087B21">
              <w:rPr>
                <w:rFonts w:ascii="Times New Roman" w:hAnsi="Times New Roman" w:cs="Times New Roman"/>
                <w:color w:val="000000"/>
                <w:sz w:val="22"/>
                <w:szCs w:val="22"/>
              </w:rPr>
              <w:t xml:space="preserve"> </w:t>
            </w:r>
            <w:r>
              <w:rPr>
                <w:rFonts w:ascii="Times New Roman" w:hAnsi="Times New Roman" w:cs="Times New Roman"/>
                <w:color w:val="000000"/>
                <w:sz w:val="22"/>
                <w:szCs w:val="22"/>
              </w:rPr>
              <w:t>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3</w:t>
            </w:r>
          </w:p>
        </w:tc>
        <w:tc>
          <w:tcPr>
            <w:tcW w:w="1351" w:type="dxa"/>
          </w:tcPr>
          <w:p w14:paraId="32F3A789" w14:textId="0D95F3EB"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-0.0</w:t>
            </w:r>
            <w:r w:rsidR="001C6753">
              <w:rPr>
                <w:rFonts w:ascii="Times New Roman" w:hAnsi="Times New Roman" w:cs="Times New Roman"/>
                <w:color w:val="000000"/>
                <w:sz w:val="22"/>
                <w:szCs w:val="22"/>
              </w:rPr>
              <w:t>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w:t>
            </w:r>
            <w:r w:rsidR="001C6753">
              <w:rPr>
                <w:rFonts w:ascii="Times New Roman" w:hAnsi="Times New Roman" w:cs="Times New Roman"/>
                <w:color w:val="000000"/>
                <w:sz w:val="22"/>
                <w:szCs w:val="22"/>
              </w:rPr>
              <w:t>1</w:t>
            </w:r>
          </w:p>
        </w:tc>
      </w:tr>
      <w:tr w:rsidR="001C6753" w:rsidRPr="00A361BD" w14:paraId="4708B274" w14:textId="486F027E" w:rsidTr="009977AB">
        <w:trPr>
          <w:trHeight w:val="340"/>
        </w:trPr>
        <w:tc>
          <w:tcPr>
            <w:tcW w:w="1345" w:type="dxa"/>
            <w:vMerge/>
            <w:hideMark/>
          </w:tcPr>
          <w:p w14:paraId="2B7711CB"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11F2621B"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260" w:type="dxa"/>
            <w:hideMark/>
          </w:tcPr>
          <w:p w14:paraId="1AAA529E" w14:textId="487ACBCB"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33042B4" w14:textId="2DF1572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1260" w:type="dxa"/>
            <w:hideMark/>
          </w:tcPr>
          <w:p w14:paraId="3D7BBBEC" w14:textId="63C9AE7A"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c>
          <w:tcPr>
            <w:tcW w:w="1440" w:type="dxa"/>
          </w:tcPr>
          <w:p w14:paraId="42D6376D" w14:textId="152C147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15.0</w:t>
            </w:r>
          </w:p>
        </w:tc>
        <w:tc>
          <w:tcPr>
            <w:tcW w:w="1351" w:type="dxa"/>
          </w:tcPr>
          <w:p w14:paraId="65BF7FCD" w14:textId="71EA5F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3E2C60F1" w14:textId="7E96C81D" w:rsidTr="009977AB">
        <w:trPr>
          <w:trHeight w:val="340"/>
        </w:trPr>
        <w:tc>
          <w:tcPr>
            <w:tcW w:w="1345" w:type="dxa"/>
            <w:vMerge/>
            <w:hideMark/>
          </w:tcPr>
          <w:p w14:paraId="33B2F6E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B742A0"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260" w:type="dxa"/>
            <w:hideMark/>
          </w:tcPr>
          <w:p w14:paraId="5883E93D" w14:textId="47BA477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7979F67" w14:textId="2D35E05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1260" w:type="dxa"/>
            <w:hideMark/>
          </w:tcPr>
          <w:p w14:paraId="6ECB0EE0" w14:textId="74DE3415"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c>
          <w:tcPr>
            <w:tcW w:w="1440" w:type="dxa"/>
          </w:tcPr>
          <w:p w14:paraId="7186D2FD" w14:textId="0E1F16F7"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6.8</w:t>
            </w:r>
          </w:p>
        </w:tc>
        <w:tc>
          <w:tcPr>
            <w:tcW w:w="1351" w:type="dxa"/>
          </w:tcPr>
          <w:p w14:paraId="79880F45" w14:textId="7EB376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FA49CB6" w14:textId="73BECB51" w:rsidTr="009977AB">
        <w:trPr>
          <w:trHeight w:val="340"/>
        </w:trPr>
        <w:tc>
          <w:tcPr>
            <w:tcW w:w="1345" w:type="dxa"/>
            <w:vMerge/>
            <w:hideMark/>
          </w:tcPr>
          <w:p w14:paraId="478FDFEE"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58E9A41"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260" w:type="dxa"/>
            <w:hideMark/>
          </w:tcPr>
          <w:p w14:paraId="7AC0A5EC" w14:textId="691DA7E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1260" w:type="dxa"/>
            <w:hideMark/>
          </w:tcPr>
          <w:p w14:paraId="4BAA47BE" w14:textId="4F91893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1260" w:type="dxa"/>
            <w:hideMark/>
          </w:tcPr>
          <w:p w14:paraId="5E8F2B59" w14:textId="4342BF5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c>
          <w:tcPr>
            <w:tcW w:w="1440" w:type="dxa"/>
          </w:tcPr>
          <w:p w14:paraId="63F7BC4D" w14:textId="4491CE1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8.0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18.7</w:t>
            </w:r>
          </w:p>
        </w:tc>
        <w:tc>
          <w:tcPr>
            <w:tcW w:w="1351" w:type="dxa"/>
          </w:tcPr>
          <w:p w14:paraId="798AC900" w14:textId="2CF49050"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0.07</w:t>
            </w:r>
          </w:p>
        </w:tc>
      </w:tr>
      <w:tr w:rsidR="001C6753" w:rsidRPr="00A361BD" w14:paraId="6D85E728" w14:textId="5C4DF877" w:rsidTr="009977AB">
        <w:trPr>
          <w:trHeight w:val="340"/>
        </w:trPr>
        <w:tc>
          <w:tcPr>
            <w:tcW w:w="1345" w:type="dxa"/>
            <w:vMerge/>
            <w:hideMark/>
          </w:tcPr>
          <w:p w14:paraId="491CDD6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67098A"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260" w:type="dxa"/>
            <w:hideMark/>
          </w:tcPr>
          <w:p w14:paraId="52E5F1C3" w14:textId="1AF37F6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1260" w:type="dxa"/>
            <w:hideMark/>
          </w:tcPr>
          <w:p w14:paraId="5A789EA1" w14:textId="721AD7C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606A69B1" w14:textId="1484C11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c>
          <w:tcPr>
            <w:tcW w:w="1440" w:type="dxa"/>
          </w:tcPr>
          <w:p w14:paraId="3D0AC211" w14:textId="2D5EE75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-11.6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3.6</w:t>
            </w:r>
          </w:p>
        </w:tc>
        <w:tc>
          <w:tcPr>
            <w:tcW w:w="1351" w:type="dxa"/>
          </w:tcPr>
          <w:p w14:paraId="3641C3A0" w14:textId="7933ED9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4C965806" w14:textId="13FA952A" w:rsidTr="009977AB">
        <w:trPr>
          <w:trHeight w:val="386"/>
        </w:trPr>
        <w:tc>
          <w:tcPr>
            <w:tcW w:w="1345" w:type="dxa"/>
            <w:vMerge/>
            <w:hideMark/>
          </w:tcPr>
          <w:p w14:paraId="4501E696"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4F7E87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260" w:type="dxa"/>
            <w:hideMark/>
          </w:tcPr>
          <w:p w14:paraId="659E5DF2" w14:textId="34772807"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0786EDA6" w14:textId="35EC9C8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E57BFE3" w14:textId="3EF55C7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c>
          <w:tcPr>
            <w:tcW w:w="1440" w:type="dxa"/>
          </w:tcPr>
          <w:p w14:paraId="5362030D" w14:textId="7FA82C81"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Pr>
          <w:p w14:paraId="0F391D0A" w14:textId="60A94E89"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100D1F91" w14:textId="1D1BC5A0" w:rsidTr="009977AB">
        <w:trPr>
          <w:trHeight w:val="386"/>
        </w:trPr>
        <w:tc>
          <w:tcPr>
            <w:tcW w:w="1345" w:type="dxa"/>
            <w:tcBorders>
              <w:bottom w:val="single" w:sz="4" w:space="0" w:color="auto"/>
            </w:tcBorders>
          </w:tcPr>
          <w:p w14:paraId="3EBBBF36" w14:textId="77777777" w:rsidR="001C6753" w:rsidRPr="00FB45FB" w:rsidRDefault="001C6753" w:rsidP="001C6753">
            <w:pPr>
              <w:rPr>
                <w:rFonts w:ascii="Times New Roman" w:hAnsi="Times New Roman" w:cs="Times New Roman"/>
                <w:color w:val="000000"/>
                <w:sz w:val="22"/>
                <w:szCs w:val="22"/>
              </w:rPr>
            </w:pPr>
          </w:p>
        </w:tc>
        <w:tc>
          <w:tcPr>
            <w:tcW w:w="1170" w:type="dxa"/>
            <w:tcBorders>
              <w:bottom w:val="single" w:sz="4" w:space="0" w:color="auto"/>
            </w:tcBorders>
          </w:tcPr>
          <w:p w14:paraId="43A35D13"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260" w:type="dxa"/>
            <w:tcBorders>
              <w:bottom w:val="single" w:sz="4" w:space="0" w:color="auto"/>
            </w:tcBorders>
          </w:tcPr>
          <w:p w14:paraId="6D366F4D" w14:textId="0E6374A5"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1260" w:type="dxa"/>
            <w:tcBorders>
              <w:bottom w:val="single" w:sz="4" w:space="0" w:color="auto"/>
            </w:tcBorders>
          </w:tcPr>
          <w:p w14:paraId="5C58CF29" w14:textId="42A80A19"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1260" w:type="dxa"/>
            <w:tcBorders>
              <w:bottom w:val="single" w:sz="4" w:space="0" w:color="auto"/>
            </w:tcBorders>
          </w:tcPr>
          <w:p w14:paraId="56105134" w14:textId="1A1336D0"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6.4</w:t>
            </w:r>
          </w:p>
        </w:tc>
        <w:tc>
          <w:tcPr>
            <w:tcW w:w="1440" w:type="dxa"/>
            <w:tcBorders>
              <w:bottom w:val="single" w:sz="4" w:space="0" w:color="auto"/>
            </w:tcBorders>
          </w:tcPr>
          <w:p w14:paraId="3229C62B" w14:textId="58E8172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2.9</w:t>
            </w:r>
          </w:p>
        </w:tc>
        <w:tc>
          <w:tcPr>
            <w:tcW w:w="1351" w:type="dxa"/>
            <w:tcBorders>
              <w:bottom w:val="single" w:sz="4" w:space="0" w:color="auto"/>
            </w:tcBorders>
          </w:tcPr>
          <w:p w14:paraId="4D795F6B" w14:textId="120992A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723DB524" w14:textId="444E72F9" w:rsidTr="009977AB">
        <w:trPr>
          <w:trHeight w:val="340"/>
        </w:trPr>
        <w:tc>
          <w:tcPr>
            <w:tcW w:w="1345" w:type="dxa"/>
            <w:vMerge w:val="restart"/>
            <w:tcBorders>
              <w:top w:val="single" w:sz="4" w:space="0" w:color="auto"/>
            </w:tcBorders>
            <w:hideMark/>
          </w:tcPr>
          <w:p w14:paraId="6280A96F" w14:textId="4F640292" w:rsidR="001C6753" w:rsidRPr="00FB45FB" w:rsidRDefault="001C6753" w:rsidP="001C6753">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Uncertain </w:t>
            </w:r>
          </w:p>
        </w:tc>
        <w:tc>
          <w:tcPr>
            <w:tcW w:w="1170" w:type="dxa"/>
            <w:tcBorders>
              <w:top w:val="single" w:sz="4" w:space="0" w:color="auto"/>
            </w:tcBorders>
            <w:hideMark/>
          </w:tcPr>
          <w:p w14:paraId="7CF0E42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260" w:type="dxa"/>
            <w:tcBorders>
              <w:top w:val="single" w:sz="4" w:space="0" w:color="auto"/>
            </w:tcBorders>
            <w:hideMark/>
          </w:tcPr>
          <w:p w14:paraId="406DD4C2" w14:textId="22F859F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1260" w:type="dxa"/>
            <w:tcBorders>
              <w:top w:val="single" w:sz="4" w:space="0" w:color="auto"/>
            </w:tcBorders>
            <w:hideMark/>
          </w:tcPr>
          <w:p w14:paraId="5087E47A" w14:textId="6C68B3C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1260" w:type="dxa"/>
            <w:tcBorders>
              <w:top w:val="single" w:sz="4" w:space="0" w:color="auto"/>
            </w:tcBorders>
            <w:hideMark/>
          </w:tcPr>
          <w:p w14:paraId="0854F989" w14:textId="555AEBE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c>
          <w:tcPr>
            <w:tcW w:w="1440" w:type="dxa"/>
            <w:tcBorders>
              <w:top w:val="single" w:sz="4" w:space="0" w:color="auto"/>
            </w:tcBorders>
          </w:tcPr>
          <w:p w14:paraId="4009CEE3" w14:textId="25C58FE8"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-9.0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7.1</w:t>
            </w:r>
          </w:p>
        </w:tc>
        <w:tc>
          <w:tcPr>
            <w:tcW w:w="1351" w:type="dxa"/>
            <w:tcBorders>
              <w:top w:val="single" w:sz="4" w:space="0" w:color="auto"/>
            </w:tcBorders>
          </w:tcPr>
          <w:p w14:paraId="109D91E7" w14:textId="27FCA66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9957CE4" w14:textId="07F2FD6C" w:rsidTr="009977AB">
        <w:trPr>
          <w:trHeight w:val="467"/>
        </w:trPr>
        <w:tc>
          <w:tcPr>
            <w:tcW w:w="1345" w:type="dxa"/>
            <w:vMerge/>
            <w:hideMark/>
          </w:tcPr>
          <w:p w14:paraId="445B2B8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78A1A0D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260" w:type="dxa"/>
            <w:hideMark/>
          </w:tcPr>
          <w:p w14:paraId="6BA4979F" w14:textId="6C19F34C"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1260" w:type="dxa"/>
            <w:hideMark/>
          </w:tcPr>
          <w:p w14:paraId="24599318" w14:textId="0233866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B6CBB97" w14:textId="6706B28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c>
          <w:tcPr>
            <w:tcW w:w="1440" w:type="dxa"/>
          </w:tcPr>
          <w:p w14:paraId="271B232A" w14:textId="6165E12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2.6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12.9</w:t>
            </w:r>
          </w:p>
        </w:tc>
        <w:tc>
          <w:tcPr>
            <w:tcW w:w="1351" w:type="dxa"/>
          </w:tcPr>
          <w:p w14:paraId="0FF0DC0C" w14:textId="67EB8A7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766F957" w14:textId="26367A99" w:rsidTr="009977AB">
        <w:trPr>
          <w:trHeight w:val="521"/>
        </w:trPr>
        <w:tc>
          <w:tcPr>
            <w:tcW w:w="1345" w:type="dxa"/>
            <w:vMerge/>
            <w:hideMark/>
          </w:tcPr>
          <w:p w14:paraId="46E4E24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55C9F1D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260" w:type="dxa"/>
            <w:hideMark/>
          </w:tcPr>
          <w:p w14:paraId="3F4FD7D1" w14:textId="495BBD4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1260" w:type="dxa"/>
            <w:hideMark/>
          </w:tcPr>
          <w:p w14:paraId="7517396D" w14:textId="1E12E0C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1702F5E6" w14:textId="6CD766D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c>
          <w:tcPr>
            <w:tcW w:w="1440" w:type="dxa"/>
          </w:tcPr>
          <w:p w14:paraId="20809596" w14:textId="7003564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17.9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351" w:type="dxa"/>
          </w:tcPr>
          <w:p w14:paraId="130A08F1" w14:textId="74499CE5"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A077A22" w14:textId="0305B25D" w:rsidTr="009977AB">
        <w:trPr>
          <w:trHeight w:val="350"/>
        </w:trPr>
        <w:tc>
          <w:tcPr>
            <w:tcW w:w="1345" w:type="dxa"/>
            <w:vMerge/>
            <w:hideMark/>
          </w:tcPr>
          <w:p w14:paraId="1478310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61FDE31C"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260" w:type="dxa"/>
            <w:hideMark/>
          </w:tcPr>
          <w:p w14:paraId="63FE95E4" w14:textId="6ED5CD4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1260" w:type="dxa"/>
            <w:hideMark/>
          </w:tcPr>
          <w:p w14:paraId="38C93B2C" w14:textId="1D41BCF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1AEFDDAE" w14:textId="3165CE2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c>
          <w:tcPr>
            <w:tcW w:w="1440" w:type="dxa"/>
          </w:tcPr>
          <w:p w14:paraId="5123E928" w14:textId="0F94F04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39.9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5.5</w:t>
            </w:r>
          </w:p>
        </w:tc>
        <w:tc>
          <w:tcPr>
            <w:tcW w:w="1351" w:type="dxa"/>
          </w:tcPr>
          <w:p w14:paraId="0C983EBA" w14:textId="62F355C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1E1577C4" w14:textId="47AB2E1A" w:rsidTr="009977AB">
        <w:trPr>
          <w:trHeight w:val="350"/>
        </w:trPr>
        <w:tc>
          <w:tcPr>
            <w:tcW w:w="1345" w:type="dxa"/>
            <w:vMerge/>
            <w:tcBorders>
              <w:bottom w:val="single" w:sz="4" w:space="0" w:color="auto"/>
            </w:tcBorders>
          </w:tcPr>
          <w:p w14:paraId="6BE54F4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tcBorders>
              <w:bottom w:val="single" w:sz="4" w:space="0" w:color="auto"/>
            </w:tcBorders>
          </w:tcPr>
          <w:p w14:paraId="571F4A55"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260" w:type="dxa"/>
            <w:tcBorders>
              <w:bottom w:val="single" w:sz="4" w:space="0" w:color="auto"/>
            </w:tcBorders>
          </w:tcPr>
          <w:p w14:paraId="66737C2A" w14:textId="73BC16B6"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1260" w:type="dxa"/>
            <w:tcBorders>
              <w:bottom w:val="single" w:sz="4" w:space="0" w:color="auto"/>
            </w:tcBorders>
          </w:tcPr>
          <w:p w14:paraId="776F3690" w14:textId="4E6C2754"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1260" w:type="dxa"/>
            <w:tcBorders>
              <w:bottom w:val="single" w:sz="4" w:space="0" w:color="auto"/>
            </w:tcBorders>
          </w:tcPr>
          <w:p w14:paraId="008D3451" w14:textId="0242B5A8"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c>
          <w:tcPr>
            <w:tcW w:w="1440" w:type="dxa"/>
            <w:tcBorders>
              <w:bottom w:val="single" w:sz="4" w:space="0" w:color="auto"/>
            </w:tcBorders>
          </w:tcPr>
          <w:p w14:paraId="4DB5E61D" w14:textId="79A644D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45.7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17.1</w:t>
            </w:r>
          </w:p>
        </w:tc>
        <w:tc>
          <w:tcPr>
            <w:tcW w:w="1351" w:type="dxa"/>
            <w:tcBorders>
              <w:bottom w:val="single" w:sz="4" w:space="0" w:color="auto"/>
            </w:tcBorders>
          </w:tcPr>
          <w:p w14:paraId="0D1485B0" w14:textId="55EC46F0"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bl>
    <w:p w14:paraId="664B779F" w14:textId="5B207E58" w:rsidR="00434DCE" w:rsidRDefault="002D1287" w:rsidP="00A77EE2">
      <w:pPr>
        <w:spacing w:after="240"/>
        <w:rPr>
          <w:rFonts w:ascii="Times New Roman" w:eastAsia="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Values are averages</w:t>
      </w:r>
      <w:r w:rsidR="006F396D">
        <w:rPr>
          <w:rFonts w:ascii="Times New Roman" w:hAnsi="Times New Roman" w:cs="Times New Roman"/>
          <w:sz w:val="22"/>
          <w:szCs w:val="22"/>
        </w:rPr>
        <w:t xml:space="preserve"> </w:t>
      </w:r>
      <w:r w:rsidR="00321E53" w:rsidRPr="00F41060">
        <w:rPr>
          <w:rFonts w:ascii="Times New Roman" w:hAnsi="Times New Roman" w:cs="Times New Roman"/>
          <w:sz w:val="22"/>
          <w:szCs w:val="22"/>
        </w:rPr>
        <w:t xml:space="preserve">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w:t>
      </w:r>
      <w:r w:rsidR="006F396D">
        <w:rPr>
          <w:rFonts w:ascii="Times New Roman" w:hAnsi="Times New Roman" w:cs="Times New Roman"/>
          <w:sz w:val="22"/>
          <w:szCs w:val="22"/>
        </w:rPr>
        <w:t>. Errors are computed as standard errors of the mean (SEM) over the 3 replicates.</w:t>
      </w:r>
    </w:p>
    <w:p w14:paraId="2F43C2EF" w14:textId="358CDB94" w:rsidR="00D17D1B" w:rsidRDefault="00001714" w:rsidP="00434DCE">
      <w:pPr>
        <w:spacing w:after="240"/>
        <w:rPr>
          <w:rFonts w:ascii="Times New Roman" w:hAnsi="Times New Roman" w:cs="Times New Roman"/>
          <w:szCs w:val="24"/>
        </w:rPr>
      </w:pPr>
      <w:r>
        <w:rPr>
          <w:rFonts w:ascii="Times New Roman" w:hAnsi="Times New Roman" w:cs="Times New Roman"/>
          <w:color w:val="000000"/>
          <w:szCs w:val="24"/>
        </w:rPr>
        <w:t>First</w:t>
      </w:r>
      <w:r w:rsidR="00D17D1B">
        <w:rPr>
          <w:rFonts w:ascii="Times New Roman" w:hAnsi="Times New Roman" w:cs="Times New Roman"/>
          <w:color w:val="000000"/>
          <w:szCs w:val="24"/>
        </w:rPr>
        <w:t>, we observed huge trajectory to trajectory variability in the ∆∆G values. For reference, the average</w:t>
      </w:r>
      <w:r>
        <w:rPr>
          <w:rFonts w:ascii="Times New Roman" w:hAnsi="Times New Roman" w:cs="Times New Roman"/>
          <w:color w:val="000000"/>
          <w:szCs w:val="24"/>
        </w:rPr>
        <w:t xml:space="preserve"> of the non-negative</w:t>
      </w:r>
      <w:r w:rsidR="00D17D1B">
        <w:rPr>
          <w:rFonts w:ascii="Times New Roman" w:hAnsi="Times New Roman" w:cs="Times New Roman"/>
          <w:color w:val="000000"/>
          <w:szCs w:val="24"/>
        </w:rPr>
        <w:t xml:space="preserv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color w:val="000000"/>
          <w:szCs w:val="24"/>
        </w:rPr>
        <w:t xml:space="preserve"> </w:t>
      </w:r>
      <w:r>
        <w:rPr>
          <w:rFonts w:ascii="Times New Roman" w:hAnsi="Times New Roman" w:cs="Times New Roman"/>
          <w:color w:val="000000"/>
          <w:szCs w:val="24"/>
        </w:rPr>
        <w:t xml:space="preserve">values </w:t>
      </w:r>
      <w:r w:rsidR="00D17D1B">
        <w:rPr>
          <w:rFonts w:ascii="Times New Roman" w:hAnsi="Times New Roman" w:cs="Times New Roman"/>
          <w:color w:val="000000"/>
          <w:szCs w:val="24"/>
        </w:rPr>
        <w:t xml:space="preserve">across the panel was </w:t>
      </w:r>
      <w:r>
        <w:rPr>
          <w:rFonts w:ascii="Times New Roman" w:hAnsi="Times New Roman" w:cs="Times New Roman"/>
          <w:color w:val="000000"/>
          <w:szCs w:val="24"/>
        </w:rPr>
        <w:t>77</w:t>
      </w:r>
      <w:r w:rsidR="00D17D1B">
        <w:rPr>
          <w:rFonts w:ascii="Times New Roman" w:hAnsi="Times New Roman" w:cs="Times New Roman"/>
          <w:color w:val="000000"/>
          <w:szCs w:val="24"/>
        </w:rPr>
        <w:t xml:space="preserve"> kJ/mol, while </w:t>
      </w:r>
      <w:r>
        <w:rPr>
          <w:rFonts w:ascii="Times New Roman" w:hAnsi="Times New Roman" w:cs="Times New Roman"/>
          <w:color w:val="000000"/>
          <w:szCs w:val="24"/>
        </w:rPr>
        <w:t xml:space="preserve">the average of their standard error was 126 kJ/mol. </w:t>
      </w:r>
      <w:r w:rsidR="00D17D1B">
        <w:rPr>
          <w:rFonts w:ascii="Times New Roman" w:hAnsi="Times New Roman" w:cs="Times New Roman"/>
          <w:color w:val="000000"/>
          <w:szCs w:val="24"/>
        </w:rPr>
        <w:t>The only three genotypes that exhibited global destabilization of RT-DOR complex relative to WT were V106I+F227C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183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116</w:t>
      </w:r>
      <w:r w:rsidR="00D17D1B">
        <w:rPr>
          <w:rFonts w:ascii="Times New Roman" w:hAnsi="Times New Roman" w:cs="Times New Roman"/>
          <w:color w:val="000000"/>
          <w:szCs w:val="24"/>
        </w:rPr>
        <w:t xml:space="preserve"> kJ/mol), G190E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141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86</w:t>
      </w:r>
      <w:r w:rsidR="00D17D1B">
        <w:rPr>
          <w:rFonts w:ascii="Times New Roman" w:hAnsi="Times New Roman" w:cs="Times New Roman"/>
          <w:color w:val="000000"/>
          <w:szCs w:val="24"/>
        </w:rPr>
        <w:t xml:space="preserve"> kJ/mol), and K103N+M230L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szCs w:val="24"/>
        </w:rPr>
        <w:t xml:space="preserve">83 </w:t>
      </w:r>
      <w:r w:rsidR="00D17D1B" w:rsidRPr="00676923">
        <w:rPr>
          <w:rFonts w:ascii="Times New Roman" w:hAnsi="Times New Roman" w:cs="Times New Roman"/>
          <w:szCs w:val="24"/>
        </w:rPr>
        <w:sym w:font="Symbol" w:char="F0B1"/>
      </w:r>
      <w:r w:rsidR="00D17D1B" w:rsidRPr="00676923">
        <w:rPr>
          <w:rFonts w:ascii="Times New Roman" w:hAnsi="Times New Roman" w:cs="Times New Roman"/>
          <w:szCs w:val="24"/>
        </w:rPr>
        <w:t xml:space="preserve"> 40</w:t>
      </w:r>
      <w:r w:rsidR="00D17D1B">
        <w:rPr>
          <w:rFonts w:ascii="Times New Roman" w:hAnsi="Times New Roman" w:cs="Times New Roman"/>
          <w:szCs w:val="24"/>
        </w:rPr>
        <w:t xml:space="preserve"> </w:t>
      </w:r>
      <w:r w:rsidR="00D17D1B">
        <w:rPr>
          <w:rFonts w:ascii="Times New Roman" w:hAnsi="Times New Roman" w:cs="Times New Roman"/>
          <w:color w:val="000000"/>
          <w:szCs w:val="24"/>
        </w:rPr>
        <w:t>kJ/mol). For all other genotypes, the WT-referenced total energy shift was zero or near zero within error.</w:t>
      </w:r>
    </w:p>
    <w:p w14:paraId="57E78857" w14:textId="69D4E0DC" w:rsidR="00BD2E8C" w:rsidRDefault="001C6753" w:rsidP="00434DCE">
      <w:pPr>
        <w:spacing w:after="240"/>
        <w:rPr>
          <w:rFonts w:ascii="Times New Roman" w:hAnsi="Times New Roman" w:cs="Times New Roman"/>
          <w:color w:val="000000"/>
          <w:szCs w:val="24"/>
        </w:rPr>
      </w:pPr>
      <w:r>
        <w:rPr>
          <w:rFonts w:ascii="Times New Roman" w:hAnsi="Times New Roman" w:cs="Times New Roman"/>
          <w:szCs w:val="24"/>
        </w:rPr>
        <w:t>We found that t</w:t>
      </w:r>
      <w:r w:rsidR="00BD2E8C">
        <w:rPr>
          <w:rFonts w:ascii="Times New Roman" w:hAnsi="Times New Roman" w:cs="Times New Roman"/>
          <w:szCs w:val="24"/>
        </w:rPr>
        <w:t xml:space="preserve">he van der Waals component </w:t>
      </w:r>
      <w:r>
        <w:rPr>
          <w:rFonts w:ascii="Times New Roman" w:hAnsi="Times New Roman" w:cs="Times New Roman"/>
          <w:szCs w:val="24"/>
        </w:rPr>
        <w:t xml:space="preserve">generally </w:t>
      </w:r>
      <w:r w:rsidR="00BD2E8C">
        <w:rPr>
          <w:rFonts w:ascii="Times New Roman" w:hAnsi="Times New Roman" w:cs="Times New Roman"/>
          <w:szCs w:val="24"/>
        </w:rPr>
        <w:t xml:space="preserve">dominated </w:t>
      </w:r>
      <w:r>
        <w:rPr>
          <w:rFonts w:ascii="Times New Roman" w:hAnsi="Times New Roman" w:cs="Times New Roman"/>
          <w:szCs w:val="24"/>
        </w:rPr>
        <w:t xml:space="preserve">over </w:t>
      </w:r>
      <w:r w:rsidR="00BD2E8C">
        <w:rPr>
          <w:rFonts w:ascii="Times New Roman" w:hAnsi="Times New Roman" w:cs="Times New Roman"/>
          <w:szCs w:val="24"/>
        </w:rPr>
        <w:t>the other components</w:t>
      </w:r>
      <w:r w:rsidR="00577ABC">
        <w:rPr>
          <w:rFonts w:ascii="Times New Roman" w:hAnsi="Times New Roman" w:cs="Times New Roman"/>
          <w:szCs w:val="24"/>
        </w:rPr>
        <w:t>, both</w:t>
      </w:r>
      <w:r w:rsidR="00BD2E8C">
        <w:rPr>
          <w:rFonts w:ascii="Times New Roman" w:hAnsi="Times New Roman" w:cs="Times New Roman"/>
          <w:szCs w:val="24"/>
        </w:rPr>
        <w:t xml:space="preserve"> in terms of absolute contribution to </w:t>
      </w:r>
      <w:r w:rsidR="00577ABC">
        <w:rPr>
          <w:rFonts w:ascii="Times New Roman" w:hAnsi="Times New Roman" w:cs="Times New Roman"/>
          <w:szCs w:val="24"/>
        </w:rPr>
        <w:t xml:space="preserve">and the overall variation across replicates of the </w:t>
      </w:r>
      <w:r w:rsidR="00BD2E8C">
        <w:rPr>
          <w:rFonts w:ascii="Times New Roman" w:hAnsi="Times New Roman" w:cs="Times New Roman"/>
          <w:szCs w:val="24"/>
        </w:rPr>
        <w:t>total binding energy changes</w:t>
      </w:r>
      <w:r>
        <w:rPr>
          <w:rFonts w:ascii="Times New Roman" w:hAnsi="Times New Roman" w:cs="Times New Roman"/>
          <w:szCs w:val="24"/>
        </w:rPr>
        <w:t xml:space="preserve"> w</w:t>
      </w:r>
      <w:r w:rsidR="00021A9F">
        <w:rPr>
          <w:rFonts w:ascii="Times New Roman" w:hAnsi="Times New Roman" w:cs="Times New Roman"/>
          <w:szCs w:val="24"/>
        </w:rPr>
        <w:t>ith respect to</w:t>
      </w:r>
      <w:r>
        <w:rPr>
          <w:rFonts w:ascii="Times New Roman" w:hAnsi="Times New Roman" w:cs="Times New Roman"/>
          <w:szCs w:val="24"/>
        </w:rPr>
        <w:t xml:space="preserve"> W</w:t>
      </w:r>
      <w:r w:rsidR="00577ABC">
        <w:rPr>
          <w:rFonts w:ascii="Times New Roman" w:hAnsi="Times New Roman" w:cs="Times New Roman"/>
          <w:szCs w:val="24"/>
        </w:rPr>
        <w:t>T. For example, for the well-known DOR associated mutation Y188L, WT-referenced total energy shift was ∆∆</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Total</w:t>
      </w:r>
      <w:proofErr w:type="spellEnd"/>
      <w:r w:rsidR="00577ABC">
        <w:rPr>
          <w:rFonts w:ascii="Times New Roman" w:hAnsi="Times New Roman" w:cs="Times New Roman"/>
          <w:szCs w:val="24"/>
        </w:rPr>
        <w:t xml:space="preserve"> = </w:t>
      </w:r>
      <w:r w:rsidR="00577ABC" w:rsidRPr="009977AB">
        <w:rPr>
          <w:rFonts w:ascii="Times New Roman" w:hAnsi="Times New Roman" w:cs="Times New Roman"/>
          <w:szCs w:val="24"/>
        </w:rPr>
        <w:t>82</w:t>
      </w:r>
      <w:r w:rsidR="00577ABC" w:rsidRPr="009977AB">
        <w:rPr>
          <w:rFonts w:ascii="Times New Roman" w:hAnsi="Times New Roman" w:cs="Times New Roman"/>
          <w:color w:val="000000"/>
          <w:szCs w:val="24"/>
        </w:rPr>
        <w:t xml:space="preserve"> </w:t>
      </w:r>
      <w:r w:rsidR="00577ABC" w:rsidRPr="009977AB">
        <w:rPr>
          <w:rFonts w:ascii="Times New Roman" w:hAnsi="Times New Roman" w:cs="Times New Roman"/>
          <w:color w:val="000000"/>
          <w:szCs w:val="24"/>
        </w:rPr>
        <w:sym w:font="Symbol" w:char="F0B1"/>
      </w:r>
      <w:r w:rsidR="00577ABC" w:rsidRPr="009977AB">
        <w:rPr>
          <w:rFonts w:ascii="Times New Roman" w:hAnsi="Times New Roman" w:cs="Times New Roman"/>
          <w:color w:val="000000"/>
          <w:szCs w:val="24"/>
        </w:rPr>
        <w:t xml:space="preserve"> 213</w:t>
      </w:r>
      <w:r w:rsidR="00577ABC">
        <w:rPr>
          <w:rFonts w:ascii="Times New Roman" w:hAnsi="Times New Roman" w:cs="Times New Roman"/>
          <w:color w:val="000000"/>
          <w:szCs w:val="24"/>
        </w:rPr>
        <w:t xml:space="preserve"> kJ/mol with the van der Waals component </w:t>
      </w:r>
      <w:r w:rsidR="00577ABC">
        <w:rPr>
          <w:rFonts w:ascii="Times New Roman" w:hAnsi="Times New Roman" w:cs="Times New Roman"/>
          <w:szCs w:val="24"/>
        </w:rPr>
        <w:t>∆∆</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vdW</w:t>
      </w:r>
      <w:proofErr w:type="spellEnd"/>
      <w:r w:rsidR="00577ABC">
        <w:rPr>
          <w:rFonts w:ascii="Times New Roman" w:hAnsi="Times New Roman" w:cs="Times New Roman"/>
          <w:szCs w:val="24"/>
        </w:rPr>
        <w:t xml:space="preserve"> = 64</w:t>
      </w:r>
      <w:r w:rsidR="00577ABC" w:rsidRPr="00595432">
        <w:rPr>
          <w:rFonts w:ascii="Times New Roman" w:hAnsi="Times New Roman" w:cs="Times New Roman"/>
          <w:color w:val="000000"/>
          <w:szCs w:val="24"/>
        </w:rPr>
        <w:t xml:space="preserve"> </w:t>
      </w:r>
      <w:r w:rsidR="00577ABC" w:rsidRPr="00595432">
        <w:rPr>
          <w:rFonts w:ascii="Times New Roman" w:hAnsi="Times New Roman" w:cs="Times New Roman"/>
          <w:color w:val="000000"/>
          <w:szCs w:val="24"/>
        </w:rPr>
        <w:sym w:font="Symbol" w:char="F0B1"/>
      </w:r>
      <w:r w:rsidR="00577ABC" w:rsidRPr="00595432">
        <w:rPr>
          <w:rFonts w:ascii="Times New Roman" w:hAnsi="Times New Roman" w:cs="Times New Roman"/>
          <w:color w:val="000000"/>
          <w:szCs w:val="24"/>
        </w:rPr>
        <w:t xml:space="preserve"> </w:t>
      </w:r>
      <w:r w:rsidR="00577ABC">
        <w:rPr>
          <w:rFonts w:ascii="Times New Roman" w:hAnsi="Times New Roman" w:cs="Times New Roman"/>
          <w:color w:val="000000"/>
          <w:szCs w:val="24"/>
        </w:rPr>
        <w:t xml:space="preserve">189 kJ/mol. Thus, on average, Y188L was found to destabilize the RT-DOR complex by 82 kJ/mol with 64 kJ/mol (78%) being contributed by the van der Waals component. However, independent simulations suggested a </w:t>
      </w:r>
      <w:r w:rsidR="008E42CA">
        <w:rPr>
          <w:rFonts w:ascii="Times New Roman" w:hAnsi="Times New Roman" w:cs="Times New Roman"/>
          <w:color w:val="000000"/>
          <w:szCs w:val="24"/>
        </w:rPr>
        <w:t xml:space="preserve">large </w:t>
      </w:r>
      <w:r w:rsidR="00104796">
        <w:rPr>
          <w:rFonts w:ascii="Times New Roman" w:hAnsi="Times New Roman" w:cs="Times New Roman"/>
          <w:color w:val="000000"/>
          <w:szCs w:val="24"/>
        </w:rPr>
        <w:t>variation in these numbers, with the standard deviation for total WT-referenced energy shift being 369 kJ/mol and for the van der Waals component being 327 kJ/mol.</w:t>
      </w:r>
      <w:r w:rsidR="00577ABC">
        <w:rPr>
          <w:rFonts w:ascii="Times New Roman" w:hAnsi="Times New Roman" w:cs="Times New Roman"/>
          <w:color w:val="000000"/>
          <w:szCs w:val="24"/>
        </w:rPr>
        <w:t xml:space="preserve"> </w:t>
      </w:r>
      <w:r w:rsidR="00CB613B" w:rsidRPr="00CB613B">
        <w:rPr>
          <w:rFonts w:ascii="Times New Roman" w:hAnsi="Times New Roman" w:cs="Times New Roman"/>
          <w:color w:val="000000"/>
          <w:szCs w:val="24"/>
        </w:rPr>
        <w:t>Visual inspection</w:t>
      </w:r>
      <w:r w:rsidR="00001714">
        <w:rPr>
          <w:rFonts w:ascii="Times New Roman" w:hAnsi="Times New Roman" w:cs="Times New Roman"/>
          <w:color w:val="000000"/>
          <w:szCs w:val="24"/>
        </w:rPr>
        <w:t xml:space="preserve"> of the structures</w:t>
      </w:r>
      <w:r w:rsidR="00CB613B" w:rsidRPr="00CB613B">
        <w:rPr>
          <w:rFonts w:ascii="Times New Roman" w:hAnsi="Times New Roman" w:cs="Times New Roman"/>
          <w:color w:val="000000"/>
          <w:szCs w:val="24"/>
        </w:rPr>
        <w:t xml:space="preserve"> indicated that this variation </w:t>
      </w:r>
      <w:r w:rsidR="00CB613B">
        <w:rPr>
          <w:rFonts w:ascii="Times New Roman" w:hAnsi="Times New Roman" w:cs="Times New Roman"/>
          <w:color w:val="000000"/>
          <w:szCs w:val="24"/>
        </w:rPr>
        <w:t xml:space="preserve">may have </w:t>
      </w:r>
      <w:r w:rsidR="00CB613B" w:rsidRPr="00CB613B">
        <w:rPr>
          <w:rFonts w:ascii="Times New Roman" w:hAnsi="Times New Roman" w:cs="Times New Roman"/>
          <w:color w:val="000000"/>
          <w:szCs w:val="24"/>
        </w:rPr>
        <w:t>ar</w:t>
      </w:r>
      <w:r w:rsidR="00CB613B">
        <w:rPr>
          <w:rFonts w:ascii="Times New Roman" w:hAnsi="Times New Roman" w:cs="Times New Roman"/>
          <w:color w:val="000000"/>
          <w:szCs w:val="24"/>
        </w:rPr>
        <w:t>isen</w:t>
      </w:r>
      <w:r w:rsidR="00CB613B" w:rsidRPr="00CB613B">
        <w:rPr>
          <w:rFonts w:ascii="Times New Roman" w:hAnsi="Times New Roman" w:cs="Times New Roman"/>
          <w:color w:val="000000"/>
          <w:szCs w:val="24"/>
        </w:rPr>
        <w:t xml:space="preserve"> from alternate conformations of Leu188, which produced distinct DOR packing arrangements across replicates, some resembling </w:t>
      </w:r>
      <w:r w:rsidR="00676923">
        <w:rPr>
          <w:rFonts w:ascii="Times New Roman" w:hAnsi="Times New Roman" w:cs="Times New Roman"/>
          <w:color w:val="000000"/>
          <w:szCs w:val="24"/>
        </w:rPr>
        <w:t xml:space="preserve">Tyr188 in </w:t>
      </w:r>
      <w:r w:rsidR="00CB613B" w:rsidRPr="00CB613B">
        <w:rPr>
          <w:rFonts w:ascii="Times New Roman" w:hAnsi="Times New Roman" w:cs="Times New Roman"/>
          <w:color w:val="000000"/>
          <w:szCs w:val="24"/>
        </w:rPr>
        <w:t>WT and others deviating substantially from it.</w:t>
      </w:r>
    </w:p>
    <w:p w14:paraId="71CBC707" w14:textId="0994526D" w:rsidR="00434DCE" w:rsidRDefault="00434DCE" w:rsidP="00434DCE">
      <w:pPr>
        <w:spacing w:after="240"/>
        <w:rPr>
          <w:rFonts w:ascii="Times New Roman" w:hAnsi="Times New Roman" w:cs="Times New Roman"/>
          <w:szCs w:val="24"/>
        </w:rPr>
      </w:pPr>
      <w:r w:rsidRPr="00985CF1">
        <w:rPr>
          <w:rFonts w:ascii="Times New Roman" w:hAnsi="Times New Roman" w:cs="Times New Roman"/>
          <w:szCs w:val="24"/>
        </w:rPr>
        <w:t xml:space="preserve">From the perspective of WT-referenced electrostatic </w:t>
      </w:r>
      <w:r w:rsidR="00CB613B">
        <w:rPr>
          <w:rFonts w:ascii="Times New Roman" w:hAnsi="Times New Roman" w:cs="Times New Roman"/>
          <w:szCs w:val="24"/>
        </w:rPr>
        <w:t xml:space="preserve">energy </w:t>
      </w:r>
      <w:r w:rsidRPr="00985CF1">
        <w:rPr>
          <w:rFonts w:ascii="Times New Roman" w:hAnsi="Times New Roman" w:cs="Times New Roman"/>
          <w:szCs w:val="24"/>
        </w:rPr>
        <w:t xml:space="preserve">shifts, all </w:t>
      </w:r>
      <w:r>
        <w:rPr>
          <w:rFonts w:ascii="Times New Roman" w:hAnsi="Times New Roman" w:cs="Times New Roman"/>
          <w:szCs w:val="24"/>
        </w:rPr>
        <w:t>susceptible</w:t>
      </w:r>
      <w:r w:rsidRPr="00985CF1">
        <w:rPr>
          <w:rFonts w:ascii="Times New Roman" w:hAnsi="Times New Roman" w:cs="Times New Roman"/>
          <w:szCs w:val="24"/>
        </w:rPr>
        <w:t xml:space="preserve">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w:t>
      </w:r>
      <w:r w:rsidRPr="00434DCE">
        <w:rPr>
          <w:rFonts w:ascii="Times New Roman" w:hAnsi="Times New Roman" w:cs="Times New Roman"/>
          <w:szCs w:val="24"/>
        </w:rPr>
        <w:t xml:space="preserve">7.9 </w:t>
      </w:r>
      <w:r w:rsidRPr="009977AB">
        <w:rPr>
          <w:rFonts w:ascii="Times New Roman" w:hAnsi="Times New Roman" w:cs="Times New Roman"/>
          <w:color w:val="000000"/>
          <w:szCs w:val="24"/>
        </w:rPr>
        <w:sym w:font="Symbol" w:char="F0B1"/>
      </w:r>
      <w:r w:rsidRPr="009977AB">
        <w:rPr>
          <w:rFonts w:ascii="Times New Roman" w:hAnsi="Times New Roman" w:cs="Times New Roman"/>
          <w:color w:val="000000"/>
          <w:szCs w:val="24"/>
        </w:rPr>
        <w:t xml:space="preserve"> 3.3</w:t>
      </w:r>
      <w:r>
        <w:rPr>
          <w:rFonts w:ascii="Times New Roman" w:hAnsi="Times New Roman" w:cs="Times New Roman"/>
          <w:szCs w:val="24"/>
        </w:rPr>
        <w:t xml:space="preserve"> kJ/mol). </w:t>
      </w:r>
      <w:r w:rsidRPr="00985CF1">
        <w:rPr>
          <w:rFonts w:ascii="Times New Roman" w:hAnsi="Times New Roman" w:cs="Times New Roman"/>
          <w:szCs w:val="24"/>
        </w:rPr>
        <w:t xml:space="preserve">In contrast, four of the </w:t>
      </w:r>
      <w:r>
        <w:rPr>
          <w:rFonts w:ascii="Times New Roman" w:hAnsi="Times New Roman" w:cs="Times New Roman"/>
          <w:szCs w:val="24"/>
        </w:rPr>
        <w:t>nine</w:t>
      </w:r>
      <w:r w:rsidRPr="00985CF1">
        <w:rPr>
          <w:rFonts w:ascii="Times New Roman" w:hAnsi="Times New Roman" w:cs="Times New Roman"/>
          <w:szCs w:val="24"/>
        </w:rPr>
        <w:t xml:space="preserve"> </w:t>
      </w:r>
      <w:r>
        <w:rPr>
          <w:rFonts w:ascii="Times New Roman" w:hAnsi="Times New Roman" w:cs="Times New Roman"/>
          <w:szCs w:val="24"/>
        </w:rPr>
        <w:t>resistant</w:t>
      </w:r>
      <w:r w:rsidRPr="00985CF1">
        <w:rPr>
          <w:rFonts w:ascii="Times New Roman" w:hAnsi="Times New Roman" w:cs="Times New Roman"/>
          <w:szCs w:val="24"/>
        </w:rPr>
        <w:t xml:space="preserve">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 xml:space="preserve">values within error, consistent with reduced electrostatic stability relative to WT. Among the </w:t>
      </w:r>
      <w:r>
        <w:rPr>
          <w:rFonts w:ascii="Times New Roman" w:hAnsi="Times New Roman" w:cs="Times New Roman"/>
          <w:szCs w:val="24"/>
        </w:rPr>
        <w:t>five</w:t>
      </w:r>
      <w:r w:rsidRPr="00985CF1">
        <w:rPr>
          <w:rFonts w:ascii="Times New Roman" w:hAnsi="Times New Roman" w:cs="Times New Roman"/>
          <w:szCs w:val="24"/>
        </w:rPr>
        <w:t xml:space="preserve"> mutations with uncertain phenotype, G190S and G190E were electrostatically less stable than WT, whereas </w:t>
      </w:r>
      <w:r w:rsidR="00CB613B">
        <w:rPr>
          <w:rFonts w:ascii="Times New Roman" w:hAnsi="Times New Roman" w:cs="Times New Roman"/>
          <w:szCs w:val="24"/>
        </w:rPr>
        <w:t xml:space="preserve">V106M, </w:t>
      </w:r>
      <w:r w:rsidRPr="00985CF1">
        <w:rPr>
          <w:rFonts w:ascii="Times New Roman" w:hAnsi="Times New Roman" w:cs="Times New Roman"/>
          <w:szCs w:val="24"/>
        </w:rPr>
        <w:t>K103N+L100I</w:t>
      </w:r>
      <w:r w:rsidR="00CB613B">
        <w:rPr>
          <w:rFonts w:ascii="Times New Roman" w:hAnsi="Times New Roman" w:cs="Times New Roman"/>
          <w:szCs w:val="24"/>
        </w:rPr>
        <w:t>, and K103N+P225H</w:t>
      </w:r>
      <w:r w:rsidRPr="00985CF1">
        <w:rPr>
          <w:rFonts w:ascii="Times New Roman" w:hAnsi="Times New Roman" w:cs="Times New Roman"/>
          <w:szCs w:val="24"/>
        </w:rPr>
        <w:t xml:space="preserve"> </w:t>
      </w:r>
      <w:r>
        <w:rPr>
          <w:rFonts w:ascii="Times New Roman" w:hAnsi="Times New Roman" w:cs="Times New Roman"/>
          <w:szCs w:val="24"/>
        </w:rPr>
        <w:t>w</w:t>
      </w:r>
      <w:r w:rsidR="00CB613B">
        <w:rPr>
          <w:rFonts w:ascii="Times New Roman" w:hAnsi="Times New Roman" w:cs="Times New Roman"/>
          <w:szCs w:val="24"/>
        </w:rPr>
        <w:t>ere equally or</w:t>
      </w:r>
      <w:r w:rsidRPr="00985CF1">
        <w:rPr>
          <w:rFonts w:ascii="Times New Roman" w:hAnsi="Times New Roman" w:cs="Times New Roman"/>
          <w:szCs w:val="24"/>
        </w:rPr>
        <w:t xml:space="preserve"> more stable </w:t>
      </w:r>
      <w:r w:rsidR="00CB613B">
        <w:rPr>
          <w:rFonts w:ascii="Times New Roman" w:hAnsi="Times New Roman" w:cs="Times New Roman"/>
          <w:szCs w:val="24"/>
        </w:rPr>
        <w:t>than</w:t>
      </w:r>
      <w:r w:rsidRPr="00985CF1">
        <w:rPr>
          <w:rFonts w:ascii="Times New Roman" w:hAnsi="Times New Roman" w:cs="Times New Roman"/>
          <w:szCs w:val="24"/>
        </w:rPr>
        <w:t xml:space="preserve"> WT.</w:t>
      </w:r>
    </w:p>
    <w:p w14:paraId="497965FF" w14:textId="79910AD6" w:rsidR="00434DCE" w:rsidRPr="009E1D62" w:rsidRDefault="00434DCE" w:rsidP="009977AB">
      <w:pPr>
        <w:pStyle w:val="NormalWeb"/>
      </w:pPr>
      <w:r w:rsidRPr="00985CF1">
        <w:t xml:space="preserve">Overall, neither the total WT-referenced energetic shifts nor most individual energy components correlated with </w:t>
      </w:r>
      <w:r w:rsidR="00D37DEE">
        <w:t>published</w:t>
      </w:r>
      <w:r w:rsidRPr="00985CF1">
        <w:t xml:space="preserve"> phenotypic fold-change data (</w:t>
      </w:r>
      <w:r w:rsidR="00CB613B">
        <w:t>Table 2 and Supplementary Table 3</w:t>
      </w:r>
      <w:r w:rsidRPr="00985CF1">
        <w:t xml:space="preserve">). The main exception was the electrostatic component, which showed a weak but statistically </w:t>
      </w:r>
      <w:r w:rsidR="00D37DEE">
        <w:t>non-</w:t>
      </w:r>
      <w:r w:rsidRPr="00985CF1">
        <w:t xml:space="preserve">significant correlation with fold-change values among the </w:t>
      </w:r>
      <w:r w:rsidR="00CB613B">
        <w:t>susceptible</w:t>
      </w:r>
      <w:r w:rsidRPr="00985CF1">
        <w:t xml:space="preserve"> and </w:t>
      </w:r>
      <w:r w:rsidR="00CB613B">
        <w:t>resistant</w:t>
      </w:r>
      <w:r w:rsidRPr="00985CF1">
        <w:t xml:space="preserve"> mutations </w:t>
      </w:r>
      <w:r w:rsidRPr="00985CF1">
        <w:lastRenderedPageBreak/>
        <w:t xml:space="preserve">(Figure </w:t>
      </w:r>
      <w:r>
        <w:t>2</w:t>
      </w:r>
      <w:r w:rsidRPr="00985CF1">
        <w:t xml:space="preserve">). </w:t>
      </w:r>
      <w:r w:rsidR="00A667B3">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may be better captured by localized structural rearrangements than by aggregate binding energy shifts with respect to the WT complex.</w:t>
      </w:r>
    </w:p>
    <w:p w14:paraId="3BE4B21C" w14:textId="2AF1EDCB" w:rsidR="0061294B" w:rsidRPr="00A77EE2" w:rsidRDefault="00B421CB" w:rsidP="00165F8F">
      <w:pPr>
        <w:spacing w:after="240"/>
        <w:rPr>
          <w:rFonts w:ascii="Times New Roman" w:hAnsi="Times New Roman" w:cs="Times New Roman"/>
          <w:sz w:val="21"/>
        </w:rPr>
      </w:pPr>
      <w:r>
        <w:t>Figure 2: Changes in the electrostatic component of the RT–DOR binding energy versus WT correlate only weakly with phenotypic DOR susceptibility among susceptible and resistant genotypes (no fitted line). MM/GBSA totals are reported as a negative control; see Supplementary Table for component values.</w:t>
      </w:r>
    </w:p>
    <w:p w14:paraId="3BE4B21C" w14:textId="2AF1EDCB" w:rsidR="0061294B" w:rsidRPr="00A77EE2" w:rsidRDefault="00B421CB" w:rsidP="00165F8F">
      <w:pPr>
        <w:spacing w:after="240"/>
        <w:rPr>
          <w:rFonts w:ascii="Times New Roman" w:hAnsi="Times New Roman" w:cs="Times New Roman"/>
          <w:sz w:val="21"/>
        </w:rPr>
      </w:pPr>
      <w:r>
        <w:t>Nonequilibrium FEP yields precise ΔΔG for a subset of genotypes but does not recover the phenotypic landscape</w:t>
      </w:r>
    </w:p>
    <w:p w14:paraId="3BE4B21C" w14:textId="2AF1EDCB" w:rsidR="0061294B" w:rsidRPr="00A77EE2" w:rsidRDefault="00B421CB" w:rsidP="00165F8F">
      <w:pPr>
        <w:spacing w:after="240"/>
        <w:rPr>
          <w:rFonts w:ascii="Times New Roman" w:hAnsi="Times New Roman" w:cs="Times New Roman"/>
          <w:sz w:val="21"/>
        </w:rPr>
      </w:pPr>
      <w:r>
        <w:t>We computed relative DOR binding free-energy changes with a dual-topology nonequilibrium protocol (hybrid WT→mutant topologies on holo and apo legs; 5 ns endpoint equilibration; 100 snapshots; 500 ps forward/reverse switches; Crooks Gaussian intersection, BAR, and Jarzynski estimators; 3 replicates). A V106A protocol figure series documents the thermodynamic cycle, hybrid topology, work distributions, λ profiles where available, and estimator agreement. The completed panel is incomplete: charge-change and several compound genotypes lack reliable main-text point estimates (K103N SEM 2.19 kcal/mol; G190E charge protocol; missing K103N+M230L, K103N+L100I, and K103N+P225H). Across n = 14 completed comparisons, ΔΔG_bind versus log10(experimental fold-change) shows Pearson R² ≈ 0.09 (p ≈ 0.28); we plot the scatter without a fitted line. Genotypes with SEM ≤ 0.6 kcal/mol (G190A, G190S, V106A, Y318F, Y188L, V106M) are discussed as precise relative binding estimates. V106M (+6.10 ± 0.16 kcal/mol) is tight yet far larger than its modest experimental fold (~3.4), a binding-versus-phenotype finding. MM/GBSA end-point totals from the same 100 ns trajectories remain highly replicate-noisy and are reported only as a brief negative control (Supplementary Table); they are not used for mechanistic claims.</w:t>
      </w:r>
    </w:p>
    <w:p w14:paraId="3BE4B21C" w14:textId="2AF1EDCB" w:rsidR="0061294B" w:rsidRPr="00A77EE2" w:rsidRDefault="00B421CB" w:rsidP="00165F8F">
      <w:pPr>
        <w:spacing w:after="240"/>
        <w:rPr>
          <w:rFonts w:ascii="Times New Roman" w:hAnsi="Times New Roman" w:cs="Times New Roman"/>
          <w:sz w:val="21"/>
        </w:rPr>
      </w:pPr>
      <w:r>
        <w:t>Local NNIBP structure and dynamics across the genotype panel</w:t>
      </w:r>
    </w:p>
    <w:p w14:paraId="3BE4B21C" w14:textId="2AF1EDCB" w:rsidR="0061294B" w:rsidRPr="00A77EE2" w:rsidRDefault="00B421CB" w:rsidP="00165F8F">
      <w:pPr>
        <w:spacing w:after="240"/>
        <w:rPr>
          <w:rFonts w:ascii="Times New Roman" w:hAnsi="Times New Roman" w:cs="Times New Roman"/>
          <w:sz w:val="21"/>
        </w:rPr>
      </w:pPr>
      <w:r>
        <w:t>Beyond residue–DOR contact occupancy, we computed a pocket descriptor suite on PBC-corrected trajectories with MDAnalysis/mdtraj: DOR–protein hydrogen-bond occupancy (Lys103 backbone remains high across F227C backgrounds when mutation-site artifacts are masked), ligand RMSF after NNIBP Cα alignment, frame-level DOR pose PCA after NNIBP alignment and ligand-COM centering, ligand COM in a common WT NNIBP frame (depth r and polar angle α from the WT mean COM axis), pocket-volume proxies, NNIBP Cα motion PCA, DCCM difference maps, and residue–residue contact-frequency networks. These descriptors support the mechanism case studies below and are shown as panel-wide SI figures with story callouts in the main text.</w:t>
      </w:r>
    </w:p>
    <w:p w14:paraId="4EC9C74B" w14:textId="21E14FB6"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6C10256C"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{"citationID":"cdbL7NMl","properties":{"unsorted":false,"formattedCitation":"\\super 9,27,28\\nosupersub{}","plainCitation":"9,27,28","noteIndex":0},"citationItems":[{"id":92,"uris":["http://zotero.org/users/19404620/items/W528QLF7"],"itemData":{"id":92,"type":"article-journal","abstract":"Inhibitors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9,27,28</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0DC74B72" w14:textId="77777777" w:rsidR="004D758D" w:rsidRDefault="004D758D" w:rsidP="004D758D">
      <w:pPr>
        <w:pStyle w:val="NormalWeb"/>
      </w:pPr>
      <w:r>
        <w:lastRenderedPageBreak/>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4DAA3D68" w14:textId="5A18958A" w:rsidR="00920AD4" w:rsidRPr="004E3CAD" w:rsidRDefault="00A132BA" w:rsidP="001D0F7D">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7C2DB482" wp14:editId="56FB00F8">
            <wp:extent cx="5943600" cy="3837305"/>
            <wp:effectExtent l="0" t="0" r="0" b="0"/>
            <wp:docPr id="7370219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21976" name="Picture 737021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r w:rsidR="00FA7F90"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00FA7F90" w:rsidRPr="00920AD4">
        <w:rPr>
          <w:rFonts w:ascii="Times New Roman" w:hAnsi="Times New Roman" w:cs="Times New Roman"/>
          <w:b/>
          <w:bCs/>
          <w:sz w:val="22"/>
          <w:szCs w:val="22"/>
        </w:rPr>
        <w:t>: Local trajectory-level contact analysis between DOR and NNIBP residues in WT RT-DOR simulations.</w:t>
      </w:r>
      <w:r w:rsidR="00FA7F90" w:rsidRPr="00920AD4">
        <w:rPr>
          <w:rFonts w:ascii="Times New Roman" w:hAnsi="Times New Roman" w:cs="Times New Roman"/>
          <w:sz w:val="22"/>
          <w:szCs w:val="22"/>
        </w:rPr>
        <w:t xml:space="preserve"> </w:t>
      </w:r>
      <w:r w:rsidR="00FA7F90" w:rsidRPr="00920AD4">
        <w:rPr>
          <w:rFonts w:ascii="Times New Roman" w:hAnsi="Times New Roman" w:cs="Times New Roman"/>
          <w:i/>
          <w:iCs/>
          <w:sz w:val="22"/>
          <w:szCs w:val="22"/>
        </w:rPr>
        <w:t xml:space="preserve">Top panel: </w:t>
      </w:r>
      <w:r w:rsidR="00FA7F90" w:rsidRPr="00920AD4">
        <w:rPr>
          <w:rFonts w:ascii="Times New Roman" w:hAnsi="Times New Roman" w:cs="Times New Roman"/>
          <w:sz w:val="22"/>
          <w:szCs w:val="22"/>
        </w:rPr>
        <w:t xml:space="preserve">Trajectories of minimum heavy atom distances between DOR and two exemplary NNIBP residues, </w:t>
      </w:r>
      <w:r w:rsidR="004D758D">
        <w:rPr>
          <w:rFonts w:ascii="Times New Roman" w:hAnsi="Times New Roman" w:cs="Times New Roman"/>
          <w:sz w:val="22"/>
          <w:szCs w:val="22"/>
        </w:rPr>
        <w:t>Ser105</w:t>
      </w:r>
      <w:r w:rsidR="004D758D" w:rsidRPr="00920AD4">
        <w:rPr>
          <w:rFonts w:ascii="Times New Roman" w:hAnsi="Times New Roman" w:cs="Times New Roman"/>
          <w:sz w:val="22"/>
          <w:szCs w:val="22"/>
        </w:rPr>
        <w:t xml:space="preserve"> </w:t>
      </w:r>
      <w:r w:rsidR="00FA7F90" w:rsidRPr="00920AD4">
        <w:rPr>
          <w:rFonts w:ascii="Times New Roman" w:hAnsi="Times New Roman" w:cs="Times New Roman"/>
          <w:sz w:val="22"/>
          <w:szCs w:val="22"/>
        </w:rPr>
        <w:t xml:space="preserve">and </w:t>
      </w:r>
      <w:r w:rsidR="004D758D">
        <w:rPr>
          <w:rFonts w:ascii="Times New Roman" w:hAnsi="Times New Roman" w:cs="Times New Roman"/>
          <w:sz w:val="22"/>
          <w:szCs w:val="22"/>
        </w:rPr>
        <w:t>Val179</w:t>
      </w:r>
      <w:r w:rsidR="00FA7F90" w:rsidRPr="00920AD4">
        <w:rPr>
          <w:rFonts w:ascii="Times New Roman" w:hAnsi="Times New Roman" w:cs="Times New Roman"/>
          <w:sz w:val="22"/>
          <w:szCs w:val="22"/>
        </w:rPr>
        <w:t>, observed in 100ns MD simulations of the WT DOR-RT complex performed in triplicates.</w:t>
      </w:r>
      <w:r w:rsidR="00FA7F90" w:rsidRPr="00920AD4">
        <w:rPr>
          <w:sz w:val="32"/>
          <w:szCs w:val="24"/>
        </w:rPr>
        <w:t xml:space="preserve"> </w:t>
      </w:r>
      <w:r w:rsidR="00FA7F90" w:rsidRPr="00920AD4">
        <w:rPr>
          <w:rFonts w:ascii="Times New Roman" w:hAnsi="Times New Roman" w:cs="Times New Roman"/>
          <w:sz w:val="22"/>
          <w:szCs w:val="22"/>
        </w:rPr>
        <w:t xml:space="preserve">Solid lines indicate the mean trajectory and lighter color bands show the standard error of the mean across </w:t>
      </w:r>
      <w:r w:rsidR="00FA7F90" w:rsidRPr="00920AD4">
        <w:rPr>
          <w:rFonts w:ascii="Times New Roman" w:hAnsi="Times New Roman" w:cs="Times New Roman"/>
          <w:i/>
          <w:iCs/>
          <w:sz w:val="22"/>
          <w:szCs w:val="22"/>
        </w:rPr>
        <w:t>N</w:t>
      </w:r>
      <w:r w:rsidR="00FA7F90"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00FA7F90" w:rsidRPr="00920AD4">
        <w:rPr>
          <w:rFonts w:ascii="Times New Roman" w:hAnsi="Times New Roman" w:cs="Times New Roman"/>
          <w:i/>
          <w:iCs/>
          <w:sz w:val="22"/>
          <w:szCs w:val="22"/>
        </w:rPr>
        <w:t xml:space="preserve">Bottom panel: </w:t>
      </w:r>
      <w:r w:rsidR="00FA7F90"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00FA7F90"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00FA7F90" w:rsidRPr="00920AD4">
        <w:rPr>
          <w:rFonts w:ascii="Times New Roman" w:hAnsi="Times New Roman" w:cs="Times New Roman"/>
          <w:sz w:val="22"/>
          <w:szCs w:val="22"/>
        </w:rPr>
        <w:t xml:space="preserve">).   </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w:t>
      </w:r>
      <w:r>
        <w:lastRenderedPageBreak/>
        <w:t>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50B2E348"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residues whose DOR-contact behavior changed in specific mutation backgrounds. For each mutant genotype, we compared residue-level mean occupancy against the WT reference profile, thereby generating a mutation-associated occupancy shift map across the NNIBP</w:t>
      </w:r>
      <w:r w:rsidR="004D758D">
        <w:rPr>
          <w:rFonts w:ascii="Times New Roman" w:hAnsi="Times New Roman" w:cs="Times New Roman"/>
          <w:szCs w:val="24"/>
        </w:rPr>
        <w:t xml:space="preserve"> </w:t>
      </w:r>
      <w:r w:rsidR="004D758D" w:rsidRPr="00361EA7">
        <w:rPr>
          <w:rFonts w:ascii="Times New Roman" w:hAnsi="Times New Roman" w:cs="Times New Roman"/>
          <w:szCs w:val="24"/>
        </w:rPr>
        <w:t>(Figure 4)</w:t>
      </w:r>
      <w:r w:rsidRPr="00361EA7">
        <w:rPr>
          <w:rFonts w:ascii="Times New Roman" w:hAnsi="Times New Roman" w:cs="Times New Roman"/>
          <w:szCs w:val="24"/>
        </w:rPr>
        <w:t>.</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01F85F15"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w:t>
      </w:r>
      <w:r w:rsidR="001E4DE8">
        <w:rPr>
          <w:rFonts w:ascii="Times New Roman" w:hAnsi="Times New Roman" w:cs="Times New Roman"/>
          <w:szCs w:val="24"/>
        </w:rPr>
        <w:t xml:space="preserve">DOR </w:t>
      </w:r>
      <w:r w:rsidR="004D758D">
        <w:rPr>
          <w:rFonts w:ascii="Times New Roman" w:hAnsi="Times New Roman" w:cs="Times New Roman"/>
          <w:szCs w:val="24"/>
        </w:rPr>
        <w:t>resistant</w:t>
      </w:r>
      <w:r w:rsidR="004D758D" w:rsidRPr="00361EA7">
        <w:rPr>
          <w:rFonts w:ascii="Times New Roman" w:hAnsi="Times New Roman" w:cs="Times New Roman"/>
          <w:szCs w:val="24"/>
        </w:rPr>
        <w:t xml:space="preserve"> </w:t>
      </w:r>
      <w:r w:rsidRPr="00361EA7">
        <w:rPr>
          <w:rFonts w:ascii="Times New Roman" w:hAnsi="Times New Roman" w:cs="Times New Roman"/>
          <w:szCs w:val="24"/>
        </w:rPr>
        <w:t xml:space="preserve">and </w:t>
      </w:r>
      <w:r w:rsidR="004D758D">
        <w:rPr>
          <w:rFonts w:ascii="Times New Roman" w:hAnsi="Times New Roman" w:cs="Times New Roman"/>
          <w:szCs w:val="24"/>
        </w:rPr>
        <w:t xml:space="preserve">susceptible </w:t>
      </w:r>
      <w:r w:rsidRPr="00361EA7">
        <w:rPr>
          <w:rFonts w:ascii="Times New Roman" w:hAnsi="Times New Roman" w:cs="Times New Roman"/>
          <w:szCs w:val="24"/>
        </w:rPr>
        <w:t xml:space="preserve">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w:t>
      </w:r>
      <w:r w:rsidR="004D758D">
        <w:rPr>
          <w:rFonts w:ascii="Times New Roman" w:hAnsi="Times New Roman" w:cs="Times New Roman"/>
          <w:szCs w:val="24"/>
        </w:rPr>
        <w:t xml:space="preserve">in the biophysics literature </w:t>
      </w:r>
      <w:r w:rsidRPr="00361EA7">
        <w:rPr>
          <w:rFonts w:ascii="Times New Roman" w:hAnsi="Times New Roman" w:cs="Times New Roman"/>
          <w:szCs w:val="24"/>
        </w:rPr>
        <w:t>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{"citationID":"YpwHDAJ1","properties":{"unsorted":false,"formattedCitation":"\\super 29\\uc0\\u8211{}31\\nosupersub{}","plainCitation":"29–31","noteIndex":0},"citationItems":[{"id":103,"uris":["http://zotero.org/users/19404620/items/5YHD9Q4I"],"itemData":{"id":103,"type":"article-journal","abstract":"EXPERIMENTAL1–6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29–31</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w:t>
      </w:r>
      <w:r w:rsidR="004D758D">
        <w:rPr>
          <w:rFonts w:ascii="Times New Roman" w:hAnsi="Times New Roman" w:cs="Times New Roman"/>
          <w:szCs w:val="24"/>
        </w:rPr>
        <w:t>case</w:t>
      </w:r>
      <w:r w:rsidRPr="00361EA7">
        <w:rPr>
          <w:rFonts w:ascii="Times New Roman" w:hAnsi="Times New Roman" w:cs="Times New Roman"/>
          <w:szCs w:val="24"/>
        </w:rPr>
        <w:t>, reporter coordinates are residue-level DOR-contact features whose occupancy changes reflect mutation-associated remodeling in the NNIBP or DOR pose fluctuations.</w:t>
      </w:r>
    </w:p>
    <w:p w14:paraId="6B9452B7" w14:textId="15CF423E" w:rsidR="00361EA7" w:rsidRDefault="00361EA7" w:rsidP="009977AB">
      <w:pPr>
        <w:spacing w:before="240" w:after="240"/>
        <w:rPr>
          <w:rFonts w:ascii="Times New Roman" w:hAnsi="Times New Roman" w:cs="Times New Roman"/>
          <w:b/>
          <w:bCs/>
          <w:sz w:val="20"/>
          <w:szCs w:val="20"/>
        </w:rPr>
      </w:pPr>
      <w:r w:rsidRPr="00361EA7">
        <w:rPr>
          <w:rFonts w:ascii="Times New Roman" w:hAnsi="Times New Roman" w:cs="Times New Roman"/>
          <w:szCs w:val="24"/>
        </w:rPr>
        <w:t>For example, Y188L showed an apparent increase in Lys102 contact occupancy (Δ ≈ +0.19) and decrease at Pro225 (Δ ≈ −0.13) relative to WT, whereas Y181C was near WT at these positions. With n = 3 replicates, neither Y188L shift exceeds the global permutation null nor reaches Welch p &lt; 0.05; we therefore treat Lys102/Pro225 as descriptive reporters of Tyr188-side remodeling rather than statistically supported occupancy biomarkers.</w:t>
      </w:r>
      <w:r w:rsidR="001E4DE8">
        <w:rPr>
          <w:rFonts w:ascii="Times New Roman" w:hAnsi="Times New Roman" w:cs="Times New Roman"/>
          <w:szCs w:val="24"/>
        </w:rPr>
      </w:r>
      <w:r w:rsidRPr="00361EA7">
        <w:rPr>
          <w:rFonts w:ascii="Times New Roman" w:hAnsi="Times New Roman" w:cs="Times New Roman"/>
          <w:szCs w:val="24"/>
        </w:rPr>
      </w:r>
    </w:p>
    <w:p w14:paraId="382BE84C" w14:textId="66646E17" w:rsidR="00592D46" w:rsidRDefault="00592D46" w:rsidP="00592D46">
      <w:pPr>
        <w:spacing w:after="240"/>
        <w:rPr>
          <w:rFonts w:ascii="Times New Roman" w:hAnsi="Times New Roman" w:cs="Times New Roman"/>
          <w:szCs w:val="24"/>
        </w:rPr>
      </w:pPr>
      <w:r w:rsidRPr="001823FD">
        <w:rPr>
          <w:rFonts w:ascii="Times New Roman" w:hAnsi="Times New Roman" w:cs="Times New Roman"/>
          <w:szCs w:val="24"/>
        </w:rPr>
        <w:t>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compared observed occupancy shifts against an empirical null distribution generated by trajectory-level resampling. Specifically, mutation labels were permuted 10,000 times across replicate trajectories, and the largest absolute occupancy shift observed across all 27 WT-contacted residues was recorded for each permutation. This global maximum statistic estimates the magnitude of occupancy shift expected by chance when applying the same residue-screening procedure to the same trajectory set. Only two reporter coordinates were observed to have absolute WT-referenced occupancy shifts exceeding the 90th percentile of this null distribution (Supplementary Figure 1) – Ser105 for V106A containing genotypes (V106A, V106A+P225H, V106A+F227L, V106A+L234I) and Val179 for G190E. For every draft-highlighted Δoccupancy we report replicate mean ± 95% CI (n = 3) and a Welch test versus WT, in addition to the existing trajectory-label permutation null. Shifts that fail both the global null and the per-contact test are treated as descriptive only. Under this standard, Ser105 gains in V106A-containing genotypes and Val179 loss in G190E are supported; Y188L Lys102/Pro225 and V106I+F227C residue-227 shifts remain descriptive.</w:t>
      </w:r>
      <w:r>
        <w:rPr>
          <w:rFonts w:ascii="Times New Roman" w:hAnsi="Times New Roman" w:cs="Times New Roman"/>
          <w:szCs w:val="24"/>
        </w:rPr>
      </w:r>
      <w:r w:rsidRPr="001823FD">
        <w:rPr>
          <w:rFonts w:ascii="Times New Roman" w:hAnsi="Times New Roman" w:cs="Times New Roman"/>
          <w:szCs w:val="24"/>
        </w:rPr>
      </w:r>
      <w:r w:rsidR="0093179D">
        <w:rPr>
          <w:rFonts w:ascii="Times New Roman" w:hAnsi="Times New Roman" w:cs="Times New Roman"/>
          <w:szCs w:val="24"/>
        </w:rPr>
      </w:r>
      <w:r w:rsidRPr="001823FD">
        <w:rPr>
          <w:rFonts w:ascii="Times New Roman" w:hAnsi="Times New Roman" w:cs="Times New Roman"/>
          <w:szCs w:val="24"/>
        </w:rPr>
      </w:r>
      <w:r>
        <w:rPr>
          <w:rFonts w:ascii="Times New Roman" w:hAnsi="Times New Roman" w:cs="Times New Roman"/>
          <w:szCs w:val="24"/>
        </w:rPr>
      </w:r>
      <w:r w:rsidRPr="001823FD">
        <w:rPr>
          <w:rFonts w:ascii="Times New Roman" w:hAnsi="Times New Roman" w:cs="Times New Roman"/>
          <w:szCs w:val="24"/>
        </w:rPr>
      </w:r>
      <w:r w:rsidRPr="000C068E">
        <w:rPr>
          <w:rFonts w:ascii="Times New Roman" w:hAnsi="Times New Roman" w:cs="Times New Roman"/>
          <w:szCs w:val="24"/>
        </w:rPr>
      </w:r>
      <w:r w:rsidRPr="000C068E">
        <w:rPr>
          <w:rFonts w:ascii="Times New Roman" w:hAnsi="Times New Roman" w:cs="Times New Roman"/>
          <w:szCs w:val="24"/>
        </w:rPr>
      </w:r>
      <w:r>
        <w:rPr>
          <w:rFonts w:ascii="Times New Roman" w:hAnsi="Times New Roman" w:cs="Times New Roman"/>
          <w:szCs w:val="24"/>
        </w:rPr>
      </w:r>
      <w:r w:rsidRPr="000C068E">
        <w:rPr>
          <w:rFonts w:ascii="Times New Roman" w:hAnsi="Times New Roman" w:cs="Times New Roman"/>
          <w:szCs w:val="24"/>
        </w:rPr>
      </w:r>
      <w:r>
        <w:rPr>
          <w:rFonts w:ascii="Times New Roman" w:hAnsi="Times New Roman" w:cs="Times New Roman"/>
          <w:szCs w:val="24"/>
        </w:rPr>
      </w:r>
      <w:r w:rsidRPr="000C068E">
        <w:rPr>
          <w:rFonts w:ascii="Times New Roman" w:hAnsi="Times New Roman" w:cs="Times New Roman"/>
          <w:szCs w:val="24"/>
        </w:rPr>
      </w:r>
      <w:r>
        <w:rPr>
          <w:rFonts w:ascii="Times New Roman" w:hAnsi="Times New Roman" w:cs="Times New Roman"/>
          <w:szCs w:val="24"/>
        </w:rPr>
      </w:r>
      <w:r w:rsidRPr="000C068E">
        <w:rPr>
          <w:rFonts w:ascii="Times New Roman" w:hAnsi="Times New Roman" w:cs="Times New Roman"/>
          <w:szCs w:val="24"/>
        </w:rPr>
      </w:r>
      <w:r>
        <w:rPr>
          <w:rFonts w:ascii="Times New Roman" w:hAnsi="Times New Roman" w:cs="Times New Roman"/>
          <w:szCs w:val="24"/>
        </w:rPr>
      </w:r>
    </w:p>
    <w:p w14:paraId="53BA3DC7" w14:textId="77777777" w:rsidR="00592D46" w:rsidRDefault="00592D46" w:rsidP="001D0F7D">
      <w:pPr>
        <w:rPr>
          <w:rFonts w:ascii="Times New Roman" w:hAnsi="Times New Roman" w:cs="Times New Roman"/>
          <w:b/>
          <w:bCs/>
          <w:sz w:val="20"/>
          <w:szCs w:val="20"/>
        </w:rPr>
        <w:sectPr w:rsidR="00592D46" w:rsidSect="00006884">
          <w:footerReference w:type="even" r:id="rId12"/>
          <w:footerReference w:type="default" r:id="rId13"/>
          <w:type w:val="continuous"/>
          <w:pgSz w:w="12240" w:h="15840"/>
          <w:pgMar w:top="1440" w:right="1440" w:bottom="1440" w:left="1440" w:header="720" w:footer="720" w:gutter="0"/>
          <w:lnNumType w:countBy="1" w:restart="continuous"/>
          <w:cols w:space="720"/>
          <w:docGrid w:linePitch="360"/>
        </w:sectPr>
      </w:pPr>
    </w:p>
    <w:p w14:paraId="11E037EE" w14:textId="63D179DA" w:rsidR="00BE6784" w:rsidRPr="0046483F" w:rsidRDefault="00F4099F" w:rsidP="001D0F7D">
      <w:pPr>
        <w:rPr>
          <w:rFonts w:ascii="Times New Roman" w:hAnsi="Times New Roman" w:cs="Times New Roman"/>
          <w:sz w:val="22"/>
          <w:szCs w:val="22"/>
        </w:rPr>
      </w:pPr>
      <w:r>
        <w:rPr>
          <w:rFonts w:ascii="Times New Roman" w:hAnsi="Times New Roman" w:cs="Times New Roman"/>
          <w:b/>
          <w:bCs/>
          <w:noProof/>
          <w:sz w:val="20"/>
          <w:szCs w:val="20"/>
        </w:rPr>
        <w:lastRenderedPageBreak/>
        <w:drawing>
          <wp:anchor distT="0" distB="0" distL="114300" distR="114300" simplePos="0" relativeHeight="251677696" behindDoc="0" locked="0" layoutInCell="1" allowOverlap="1" wp14:anchorId="24304E7D" wp14:editId="2F03FE6A">
            <wp:simplePos x="0" y="0"/>
            <wp:positionH relativeFrom="column">
              <wp:posOffset>0</wp:posOffset>
            </wp:positionH>
            <wp:positionV relativeFrom="paragraph">
              <wp:posOffset>0</wp:posOffset>
            </wp:positionV>
            <wp:extent cx="9144000" cy="5090160"/>
            <wp:effectExtent l="0" t="0" r="0" b="2540"/>
            <wp:wrapTopAndBottom/>
            <wp:docPr id="702069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9467" name="Picture 702069467"/>
                    <pic:cNvPicPr/>
                  </pic:nvPicPr>
                  <pic:blipFill>
                    <a:blip r:embed="rId14" cstate="print">
                      <a:extLst>
                        <a:ext uri="{28A0092B-C50C-407E-A947-70E740481C1C}">
                          <a14:useLocalDpi xmlns:a14="http://schemas.microsoft.com/office/drawing/2010/main"/>
                        </a:ext>
                      </a:extLst>
                    </a:blip>
                    <a:stretch>
                      <a:fillRect/>
                    </a:stretch>
                  </pic:blipFill>
                  <pic:spPr>
                    <a:xfrm>
                      <a:off x="0" y="0"/>
                      <a:ext cx="9144000" cy="5090160"/>
                    </a:xfrm>
                    <a:prstGeom prst="rect">
                      <a:avLst/>
                    </a:prstGeom>
                  </pic:spPr>
                </pic:pic>
              </a:graphicData>
            </a:graphic>
            <wp14:sizeRelH relativeFrom="page">
              <wp14:pctWidth>0</wp14:pctWidth>
            </wp14:sizeRelH>
            <wp14:sizeRelV relativeFrom="page">
              <wp14:pctHeight>0</wp14:pctHeight>
            </wp14:sizeRelV>
          </wp:anchor>
        </w:drawing>
      </w:r>
      <w:r w:rsidR="003919B1"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003919B1" w:rsidRPr="0046483F">
        <w:rPr>
          <w:rFonts w:ascii="Times New Roman" w:hAnsi="Times New Roman" w:cs="Times New Roman"/>
          <w:b/>
          <w:bCs/>
          <w:sz w:val="22"/>
          <w:szCs w:val="22"/>
        </w:rPr>
        <w:t xml:space="preserve">: Mutation-associated changes in mean </w:t>
      </w:r>
      <w:r>
        <w:rPr>
          <w:rFonts w:ascii="Times New Roman" w:hAnsi="Times New Roman" w:cs="Times New Roman"/>
          <w:b/>
          <w:bCs/>
          <w:sz w:val="22"/>
          <w:szCs w:val="22"/>
        </w:rPr>
        <w:t xml:space="preserve">contact </w:t>
      </w:r>
      <w:r w:rsidR="003919B1" w:rsidRPr="0046483F">
        <w:rPr>
          <w:rFonts w:ascii="Times New Roman" w:hAnsi="Times New Roman" w:cs="Times New Roman"/>
          <w:b/>
          <w:bCs/>
          <w:sz w:val="22"/>
          <w:szCs w:val="22"/>
        </w:rPr>
        <w:t>occupancy.</w:t>
      </w:r>
      <w:r w:rsidR="003919B1" w:rsidRPr="0046483F">
        <w:rPr>
          <w:rFonts w:ascii="Times New Roman" w:hAnsi="Times New Roman" w:cs="Times New Roman"/>
          <w:sz w:val="22"/>
          <w:szCs w:val="22"/>
        </w:rPr>
        <w:t xml:space="preserve"> X-axis lists all residues that were ever in contact with DOR in WT RT-DOR simulations</w:t>
      </w:r>
      <w:r>
        <w:rPr>
          <w:rFonts w:ascii="Times New Roman" w:hAnsi="Times New Roman" w:cs="Times New Roman"/>
          <w:sz w:val="22"/>
          <w:szCs w:val="22"/>
        </w:rPr>
        <w:t xml:space="preserve"> and had mean contact occupancy </w:t>
      </w:r>
      <w:r>
        <w:rPr>
          <w:rFonts w:ascii="Times New Roman" w:hAnsi="Times New Roman" w:cs="Times New Roman"/>
          <w:sz w:val="22"/>
          <w:szCs w:val="22"/>
        </w:rPr>
        <w:sym w:font="Symbol" w:char="F0B3"/>
      </w:r>
      <w:r>
        <w:rPr>
          <w:rFonts w:ascii="Times New Roman" w:hAnsi="Times New Roman" w:cs="Times New Roman"/>
          <w:sz w:val="22"/>
          <w:szCs w:val="22"/>
        </w:rPr>
        <w:t xml:space="preserve"> |0.1| for at least one genotype</w:t>
      </w:r>
      <w:r w:rsidR="003919B1" w:rsidRPr="0046483F">
        <w:rPr>
          <w:rFonts w:ascii="Times New Roman" w:hAnsi="Times New Roman" w:cs="Times New Roman"/>
          <w:sz w:val="22"/>
          <w:szCs w:val="22"/>
        </w:rPr>
        <w:t xml:space="preserve">. Y-axis lists the 18 genotypes including </w:t>
      </w:r>
      <w:r>
        <w:rPr>
          <w:rFonts w:ascii="Times New Roman" w:hAnsi="Times New Roman" w:cs="Times New Roman"/>
          <w:sz w:val="22"/>
          <w:szCs w:val="22"/>
        </w:rPr>
        <w:t>DOR susceptible</w:t>
      </w:r>
      <w:r w:rsidR="003919B1" w:rsidRPr="0046483F">
        <w:rPr>
          <w:rFonts w:ascii="Times New Roman" w:hAnsi="Times New Roman" w:cs="Times New Roman"/>
          <w:sz w:val="22"/>
          <w:szCs w:val="22"/>
        </w:rPr>
        <w:t xml:space="preserve">, </w:t>
      </w:r>
      <w:r>
        <w:rPr>
          <w:rFonts w:ascii="Times New Roman" w:hAnsi="Times New Roman" w:cs="Times New Roman"/>
          <w:sz w:val="22"/>
          <w:szCs w:val="22"/>
        </w:rPr>
        <w:t>DOR resistant</w:t>
      </w:r>
      <w:r w:rsidR="003919B1" w:rsidRPr="0046483F">
        <w:rPr>
          <w:rFonts w:ascii="Times New Roman" w:hAnsi="Times New Roman" w:cs="Times New Roman"/>
          <w:sz w:val="22"/>
          <w:szCs w:val="22"/>
        </w:rPr>
        <w:t xml:space="preserve">,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003919B1" w:rsidRPr="0046483F">
        <w:rPr>
          <w:rFonts w:ascii="Times New Roman" w:hAnsi="Times New Roman" w:cs="Times New Roman"/>
          <w:sz w:val="22"/>
          <w:szCs w:val="22"/>
        </w:rPr>
        <w:t>set</w:t>
      </w:r>
      <w:r>
        <w:rPr>
          <w:rFonts w:ascii="Times New Roman" w:hAnsi="Times New Roman" w:cs="Times New Roman"/>
          <w:sz w:val="22"/>
          <w:szCs w:val="22"/>
        </w:rPr>
        <w:t xml:space="preserve"> defined in this work</w:t>
      </w:r>
      <w:r w:rsidR="003919B1" w:rsidRPr="0046483F">
        <w:rPr>
          <w:rFonts w:ascii="Times New Roman" w:hAnsi="Times New Roman" w:cs="Times New Roman"/>
          <w:sz w:val="22"/>
          <w:szCs w:val="22"/>
        </w:rPr>
        <w:t xml:space="preserve">. </w:t>
      </w:r>
      <w:r>
        <w:rPr>
          <w:rFonts w:ascii="Times New Roman" w:hAnsi="Times New Roman" w:cs="Times New Roman"/>
          <w:sz w:val="22"/>
          <w:szCs w:val="22"/>
        </w:rPr>
        <w:t xml:space="preserve">Ticks show shifts with |∆occupancy vs WT| </w:t>
      </w:r>
      <w:r>
        <w:rPr>
          <w:rFonts w:ascii="Times New Roman" w:hAnsi="Times New Roman" w:cs="Times New Roman"/>
          <w:sz w:val="22"/>
          <w:szCs w:val="22"/>
        </w:rPr>
        <w:sym w:font="Symbol" w:char="F0B3"/>
      </w:r>
      <w:r>
        <w:rPr>
          <w:rFonts w:ascii="Times New Roman" w:hAnsi="Times New Roman" w:cs="Times New Roman"/>
          <w:sz w:val="22"/>
          <w:szCs w:val="22"/>
        </w:rPr>
        <w:t xml:space="preserve"> 0.1; smaller values are shown as 0</w:t>
      </w:r>
      <w:r w:rsidR="003919B1" w:rsidRPr="0046483F">
        <w:rPr>
          <w:rFonts w:ascii="Times New Roman" w:hAnsi="Times New Roman" w:cs="Times New Roman"/>
          <w:sz w:val="22"/>
          <w:szCs w:val="22"/>
        </w:rPr>
        <w:t>.</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3035A909" w14:textId="08371F95" w:rsidR="00592D46" w:rsidRPr="009055AB" w:rsidRDefault="00AF005F" w:rsidP="00592D46">
      <w:pPr>
        <w:rPr>
          <w:rFonts w:ascii="Arial" w:hAnsi="Arial" w:cs="Arial"/>
          <w:szCs w:val="24"/>
        </w:rPr>
      </w:pPr>
      <w:r w:rsidRPr="005C2299">
        <w:rPr>
          <w:rFonts w:ascii="Times New Roman" w:hAnsi="Times New Roman" w:cs="Times New Roman"/>
          <w:i/>
          <w:iCs/>
          <w:szCs w:val="24"/>
          <w:u w:val="single"/>
        </w:rPr>
        <w:lastRenderedPageBreak/>
        <w:t xml:space="preserve">V106A-containing genotypes shift DOR toward the </w:t>
      </w:r>
      <w:r>
        <w:rPr>
          <w:rFonts w:ascii="Times New Roman" w:hAnsi="Times New Roman" w:cs="Times New Roman"/>
          <w:i/>
          <w:iCs/>
          <w:szCs w:val="24"/>
          <w:u w:val="single"/>
        </w:rPr>
        <w:t>103-108 loop</w:t>
      </w:r>
    </w:p>
    <w:p w14:paraId="581ECAB3" w14:textId="3D16CDE6" w:rsidR="00592D46" w:rsidRPr="00AF005F" w:rsidRDefault="00F11FC3" w:rsidP="009977AB">
      <w:pPr>
        <w:spacing w:after="240"/>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2EE5D329" wp14:editId="05A86F84">
            <wp:extent cx="5943600" cy="4323715"/>
            <wp:effectExtent l="0" t="0" r="0" b="0"/>
            <wp:docPr id="5450405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40553" name="Picture 5450405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inline>
        </w:drawing>
      </w:r>
      <w:r w:rsidR="00592D46" w:rsidRPr="00EE3E24">
        <w:rPr>
          <w:rFonts w:ascii="Times New Roman" w:hAnsi="Times New Roman" w:cs="Times New Roman"/>
          <w:b/>
          <w:bCs/>
          <w:sz w:val="22"/>
          <w:szCs w:val="22"/>
        </w:rPr>
        <w:t xml:space="preserve">Figure 5: V106A preferentially alters DOR pose, causing Ser105 to shift closer to DOR. </w:t>
      </w:r>
      <w:r w:rsidR="00592D46"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0267DF14" w14:textId="2E23A52F"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The V106 region is a major determinant of DOR susceptibility because V106 directly contacts the central pyridone</w:t>
      </w:r>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w:t>
      </w:r>
      <w:r w:rsidR="0099089A">
        <w:rPr>
          <w:rFonts w:ascii="Times New Roman" w:hAnsi="Times New Roman" w:cs="Times New Roman"/>
          <w:szCs w:val="24"/>
        </w:rPr>
        <w:t xml:space="preserve">does not reduce </w:t>
      </w:r>
      <w:r w:rsidRPr="004B23D9">
        <w:rPr>
          <w:rFonts w:ascii="Times New Roman" w:hAnsi="Times New Roman" w:cs="Times New Roman"/>
          <w:szCs w:val="24"/>
        </w:rPr>
        <w:t>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2884BFE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A consistent interpretation is that replacement of valine with alanine removes hydrophobic bulk from a direct DOR-contact site and may allow the bound ligand to redistribute toward a slightly more 103–108 loop-shifted local pose ensemble. In that ensemble, contacts with Lys104 and Ser105 can arise as secondary interactions. Ser105 Δoccupancy is supported by both the global permutation null and Welch tests; Lys104 is mixed (Welch pass, global null fail). The contrast with V106I is informative: isoleucine preserves branched hydrophobic bulk at position 106 and does not show the Ser105 occupancy gain.</w:t>
      </w:r>
      <w:r w:rsidRPr="004B23D9">
        <w:rPr>
          <w:rFonts w:ascii="Times New Roman" w:hAnsi="Times New Roman" w:cs="Times New Roman"/>
          <w:szCs w:val="24"/>
        </w:rPr>
      </w:r>
      <w:r>
        <w:rPr>
          <w:rFonts w:ascii="Times New Roman" w:hAnsi="Times New Roman" w:cs="Times New Roman"/>
          <w:szCs w:val="24"/>
        </w:rPr>
      </w:r>
      <w:r w:rsidRPr="004B23D9">
        <w:rPr>
          <w:rFonts w:ascii="Times New Roman" w:hAnsi="Times New Roman" w:cs="Times New Roman"/>
          <w:szCs w:val="24"/>
        </w:rPr>
      </w:r>
      <w:r>
        <w:rPr>
          <w:rFonts w:ascii="Times New Roman" w:hAnsi="Times New Roman" w:cs="Times New Roman"/>
          <w:szCs w:val="24"/>
        </w:rPr>
      </w:r>
      <w:r w:rsidRPr="004B23D9">
        <w:rPr>
          <w:rFonts w:ascii="Times New Roman" w:hAnsi="Times New Roman" w:cs="Times New Roman"/>
          <w:szCs w:val="24"/>
        </w:rPr>
      </w:r>
      <w:r>
        <w:rPr>
          <w:rFonts w:ascii="Times New Roman" w:hAnsi="Times New Roman" w:cs="Times New Roman"/>
          <w:szCs w:val="24"/>
        </w:rPr>
      </w:r>
      <w:r w:rsidRPr="004B23D9">
        <w:rPr>
          <w:rFonts w:ascii="Times New Roman" w:hAnsi="Times New Roman" w:cs="Times New Roman"/>
          <w:szCs w:val="24"/>
        </w:rPr>
      </w:r>
      <w:r>
        <w:rPr>
          <w:rFonts w:ascii="Times New Roman" w:hAnsi="Times New Roman" w:cs="Times New Roman"/>
          <w:szCs w:val="24"/>
        </w:rPr>
      </w:r>
      <w:r w:rsidRPr="004B23D9">
        <w:rPr>
          <w:rFonts w:ascii="Times New Roman" w:hAnsi="Times New Roman" w:cs="Times New Roman"/>
          <w:szCs w:val="24"/>
        </w:rPr>
      </w:r>
    </w:p>
    <w:p w14:paraId="7FD709A3" w14:textId="15D83CE2"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network within the NNIBP (Figure 4). Specifically, V106M does not display a shift toward Lys104 and Ser105 (mean </w:t>
      </w:r>
      <w:r w:rsidR="00FB6672">
        <w:rPr>
          <w:rFonts w:ascii="Times New Roman" w:hAnsi="Times New Roman" w:cs="Times New Roman"/>
          <w:szCs w:val="24"/>
        </w:rPr>
        <w:t xml:space="preserve">contact </w:t>
      </w:r>
      <w:r>
        <w:rPr>
          <w:rFonts w:ascii="Times New Roman" w:hAnsi="Times New Roman" w:cs="Times New Roman"/>
          <w:szCs w:val="24"/>
        </w:rPr>
        <w:t xml:space="preserve">occupancy </w:t>
      </w:r>
      <w:r w:rsidR="00FB6672">
        <w:rPr>
          <w:rFonts w:ascii="Times New Roman" w:hAnsi="Times New Roman" w:cs="Times New Roman"/>
          <w:szCs w:val="24"/>
        </w:rPr>
        <w:t>&lt; |0.1|</w:t>
      </w:r>
      <w:r>
        <w:rPr>
          <w:rFonts w:ascii="Times New Roman" w:hAnsi="Times New Roman" w:cs="Times New Roman"/>
          <w:szCs w:val="24"/>
        </w:rPr>
        <w:t xml:space="preserve">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w:t>
      </w:r>
      <w:r w:rsidR="006720BB">
        <w:rPr>
          <w:rFonts w:ascii="Times New Roman" w:hAnsi="Times New Roman" w:cs="Times New Roman"/>
          <w:szCs w:val="24"/>
        </w:rPr>
        <w:t xml:space="preserve">compared with </w:t>
      </w:r>
      <w:r>
        <w:rPr>
          <w:rFonts w:ascii="Times New Roman" w:hAnsi="Times New Roman" w:cs="Times New Roman"/>
          <w:szCs w:val="24"/>
        </w:rPr>
        <w:t xml:space="preserve">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517CE7A8" w14:textId="08536269" w:rsidR="00592D46" w:rsidRDefault="00AF005F" w:rsidP="00592D46">
      <w:pPr>
        <w:rPr>
          <w:rFonts w:ascii="Arial" w:hAnsi="Arial" w:cs="Arial"/>
          <w:szCs w:val="24"/>
        </w:rPr>
      </w:pPr>
      <w:r w:rsidRPr="009D1AB3">
        <w:rPr>
          <w:rFonts w:ascii="Times New Roman" w:hAnsi="Times New Roman" w:cs="Times New Roman"/>
          <w:i/>
          <w:iCs/>
          <w:szCs w:val="24"/>
          <w:u w:val="single"/>
        </w:rPr>
        <w:t>V106I+F227C reaches high resistance through a different local route than V106A+F227L</w:t>
      </w:r>
    </w:p>
    <w:p w14:paraId="3FCFF29F" w14:textId="24944F1D" w:rsidR="00592D46" w:rsidRPr="00EE3E24" w:rsidRDefault="001B0C11" w:rsidP="00592D46">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68ABBEEF" wp14:editId="24344E31">
            <wp:extent cx="5943600" cy="3815715"/>
            <wp:effectExtent l="0" t="0" r="0" b="0"/>
            <wp:docPr id="16848514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1494" name="Picture 16848514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15715"/>
                    </a:xfrm>
                    <a:prstGeom prst="rect">
                      <a:avLst/>
                    </a:prstGeom>
                  </pic:spPr>
                </pic:pic>
              </a:graphicData>
            </a:graphic>
          </wp:inline>
        </w:drawing>
      </w:r>
      <w:r w:rsidR="00592D46" w:rsidRPr="00EE3E24">
        <w:rPr>
          <w:rFonts w:ascii="Times New Roman" w:hAnsi="Times New Roman" w:cs="Times New Roman"/>
          <w:b/>
          <w:bCs/>
          <w:sz w:val="22"/>
          <w:szCs w:val="22"/>
        </w:rPr>
        <w:t xml:space="preserve">Figure 6: V106I+F227C exhibits alternative dynamics than V106A+F227L. </w:t>
      </w:r>
      <w:r w:rsidR="00592D46"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260EAA79" w14:textId="77777777" w:rsidR="00AF005F" w:rsidRDefault="00AF005F" w:rsidP="00AF005F">
      <w:pPr>
        <w:pStyle w:val="NormalWeb"/>
      </w:pPr>
      <w:r>
        <w:t xml:space="preserve">V106I+F227C and V106A+F227L are both highly DOR-resistant genotypes, but the contact occupancy analysis suggests that they achieve resistance through distinct structural mechanisms </w:t>
      </w:r>
      <w:r>
        <w:lastRenderedPageBreak/>
        <w:t>(Figure 4). V106A+F227L falls within the broader V106A genotype family and, accordingly, retains the characteristic 103–108 loop-shifted signature observed in other V106A-containing backgrounds. Specifically, it shows a local shift toward Ser105 and Lys104.</w:t>
      </w:r>
    </w:p>
    <w:p w14:paraId="11A203D4" w14:textId="7E53FAB6" w:rsidR="00D82DE8" w:rsidRDefault="00D82DE8" w:rsidP="00D82DE8">
      <w:pPr>
        <w:pStyle w:val="NormalWeb"/>
      </w:pPr>
      <w:r>
        <w:t>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6). The residue-227 occupancy loss in V106I+F227C (Δ ≈ −0.26) does not pass replicate Welch or global-null thresholds and is reported as a descriptive pose/distance observation rather than a significant occupancy biomarker.</w:t>
      </w:r>
      <w:r w:rsidR="00C13DE2"/>
      <w:r/>
    </w:p>
    <w:p w14:paraId="21D0258C" w14:textId="62D127EF" w:rsidR="00FB6672" w:rsidRDefault="00D82DE8" w:rsidP="009977AB">
      <w:pPr>
        <w:pStyle w:val="NormalWeb"/>
      </w:pPr>
      <w:r>
        <w:t xml:space="preserve">This comparison is important because the two genotypes have </w:t>
      </w:r>
      <w:r w:rsidR="004F5313">
        <w:t>similar</w:t>
      </w:r>
      <w:r>
        <w:t xml:space="preserve"> median DOR fold-change values in the available phenotype data, yet </w:t>
      </w:r>
      <w:r w:rsidR="00FB6672">
        <w:t>our simulations indicate that they</w:t>
      </w:r>
      <w:r>
        <w:t xml:space="preserve"> reach </w:t>
      </w:r>
      <w:r w:rsidR="00FB6672">
        <w:t xml:space="preserve">the </w:t>
      </w:r>
      <w:r>
        <w:t xml:space="preserve">shared resistance phenotype through different structural routes. </w:t>
      </w:r>
      <w:r w:rsidR="00FB6672">
        <w:t>T</w:t>
      </w:r>
      <w:r>
        <w:t>hese results suggest that structurally distinct genotype classes can converge on comparable susceptibility outcomes through different local reorganizations of the binding pocket.</w:t>
      </w:r>
    </w:p>
    <w:p w14:paraId="34E22E9E" w14:textId="7BF918D4" w:rsidR="00C82BF8" w:rsidRPr="00E953BF" w:rsidRDefault="001B0C11" w:rsidP="009D1AB3">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1E3A8324" wp14:editId="7F3B623A">
            <wp:extent cx="5943600" cy="4878070"/>
            <wp:effectExtent l="0" t="0" r="0" b="0"/>
            <wp:docPr id="177032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470" name="Picture 177032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878070"/>
                    </a:xfrm>
                    <a:prstGeom prst="rect">
                      <a:avLst/>
                    </a:prstGeom>
                  </pic:spPr>
                </pic:pic>
              </a:graphicData>
            </a:graphic>
          </wp:inline>
        </w:drawing>
      </w:r>
      <w:r w:rsidR="00FB6672" w:rsidRPr="00C13DE2">
        <w:rPr>
          <w:rFonts w:ascii="Times New Roman" w:hAnsi="Times New Roman" w:cs="Times New Roman"/>
          <w:b/>
          <w:bCs/>
          <w:sz w:val="22"/>
          <w:szCs w:val="22"/>
        </w:rPr>
        <w:t xml:space="preserve">Figure 7: G190E preferentially disrupts β9-β10 hairpin, causing Val179 to lose contact with DOR. </w:t>
      </w:r>
      <w:r w:rsidR="00FB6672"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4AAEEB9E" w14:textId="1278E72B" w:rsidR="00E953BF" w:rsidRDefault="00E953BF" w:rsidP="00E953BF">
      <w:pPr>
        <w:pStyle w:val="NormalWeb"/>
      </w:pPr>
      <w:r w:rsidRPr="00C82BF8">
        <w:rPr>
          <w:i/>
          <w:iCs/>
          <w:u w:val="single"/>
        </w:rPr>
        <w:lastRenderedPageBreak/>
        <w:t xml:space="preserve">G190E perturbs the </w:t>
      </w:r>
      <w:r>
        <w:rPr>
          <w:i/>
          <w:iCs/>
          <w:u w:val="single"/>
        </w:rPr>
        <w:t>pocket entrance</w:t>
      </w:r>
      <w:r w:rsidRPr="00C82BF8">
        <w:rPr>
          <w:i/>
          <w:iCs/>
          <w:u w:val="single"/>
        </w:rPr>
        <w:t xml:space="preserve"> and weakens Val179 contact</w:t>
      </w:r>
    </w:p>
    <w:p w14:paraId="6F6A18F7" w14:textId="5443DE2B" w:rsidR="00AF005F"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468ED4F2" w14:textId="77777777" w:rsidR="00FB6672" w:rsidRPr="009E3D06" w:rsidRDefault="00FB6672" w:rsidP="00FB6672">
      <w:pPr>
        <w:spacing w:before="240"/>
        <w:rPr>
          <w:rFonts w:ascii="Times New Roman" w:hAnsi="Times New Roman" w:cs="Times New Roman"/>
          <w:szCs w:val="24"/>
        </w:rPr>
      </w:pPr>
      <w:r w:rsidRPr="009E3D06">
        <w:rPr>
          <w:rFonts w:ascii="Times New Roman" w:hAnsi="Times New Roman" w:cs="Times New Roman"/>
          <w:szCs w:val="24"/>
        </w:rPr>
        <w:t xml:space="preserve">The panel-wide contact </w:t>
      </w:r>
      <w:r>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4)</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7)</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708C280B" w14:textId="77777777" w:rsidR="00FB6672" w:rsidRDefault="00FB6672" w:rsidP="00FB6672">
      <w:pPr>
        <w:spacing w:before="240" w:after="240"/>
        <w:rPr>
          <w:rFonts w:ascii="Times New Roman" w:hAnsi="Times New Roman" w:cs="Times New Roman"/>
          <w:szCs w:val="24"/>
        </w:rPr>
      </w:pPr>
      <w:r w:rsidRPr="009E3D06">
        <w:rPr>
          <w:rFonts w:ascii="Times New Roman" w:hAnsi="Times New Roman" w:cs="Times New Roman"/>
          <w:szCs w:val="24"/>
        </w:rPr>
        <w:t>These observations are consistent with the G190E side chain introducing a local electrostatic and steric perturbation in the β9–β10 hairpin that propagates into the Val179 face of the pocket. Val179 contact loss is supported under both the global null and Welch tests; G190A does not show the same effect. We therefore treat G190E as a plausible DOR-relevant genotype deserving further phenotypic study rather than as a fully explained resistance mechanism.</w:t>
      </w:r>
      <w:r w:rsidRPr="00E31695">
        <w:rPr>
          <w:rFonts w:ascii="Times New Roman" w:hAnsi="Times New Roman" w:cs="Times New Roman"/>
          <w:szCs w:val="24"/>
        </w:rPr>
      </w:r>
      <w:r>
        <w:rPr>
          <w:rFonts w:ascii="Times New Roman" w:hAnsi="Times New Roman" w:cs="Times New Roman"/>
          <w:szCs w:val="24"/>
        </w:rPr>
      </w:r>
      <w:r w:rsidRPr="00E31695">
        <w:rPr>
          <w:rFonts w:ascii="Times New Roman" w:hAnsi="Times New Roman" w:cs="Times New Roman"/>
          <w:szCs w:val="24"/>
        </w:rPr>
      </w:r>
      <w:r>
        <w:rPr>
          <w:rFonts w:ascii="Times New Roman" w:hAnsi="Times New Roman" w:cs="Times New Roman"/>
          <w:szCs w:val="24"/>
        </w:rPr>
      </w:r>
      <w:r w:rsidRPr="00E31695">
        <w:rPr>
          <w:rFonts w:ascii="Times New Roman" w:hAnsi="Times New Roman" w:cs="Times New Roman"/>
          <w:szCs w:val="24"/>
        </w:rPr>
      </w:r>
      <w:r w:rsidRPr="009E3D06">
        <w:rPr>
          <w:rFonts w:ascii="Times New Roman" w:hAnsi="Times New Roman" w:cs="Times New Roman"/>
          <w:szCs w:val="24"/>
        </w:rPr>
      </w:r>
      <w:r>
        <w:rPr>
          <w:rFonts w:ascii="Times New Roman" w:hAnsi="Times New Roman" w:cs="Times New Roman"/>
          <w:szCs w:val="24"/>
        </w:rPr>
      </w:r>
      <w:r w:rsidRPr="009E3D06">
        <w:rPr>
          <w:rFonts w:ascii="Times New Roman" w:hAnsi="Times New Roman" w:cs="Times New Roman"/>
          <w:szCs w:val="24"/>
        </w:rPr>
      </w:r>
    </w:p>
    <w:p w14:paraId="2FDC30CA" w14:textId="77777777" w:rsidR="00FB6672" w:rsidRDefault="00FB6672" w:rsidP="00FB6672">
      <w:pPr>
        <w:spacing w:before="240" w:after="240"/>
        <w:rPr>
          <w:rFonts w:ascii="Times New Roman" w:hAnsi="Times New Roman" w:cs="Times New Roman"/>
          <w:szCs w:val="24"/>
        </w:rPr>
      </w:pPr>
      <w:r>
        <w:rPr>
          <w:rFonts w:ascii="Times New Roman" w:hAnsi="Times New Roman" w:cs="Times New Roman"/>
          <w:szCs w:val="24"/>
        </w:rPr>
        <w:t>Interestingly, G190S appears to have a less pronounced impact on the DOR interaction network than G190E, but more so than G190A (Figure 4). Specifically, G190S displays a mean occupancy shift of -0.17 vs WT, while G190A displays a mean occupancy shift of only -0.05 vs WT for Val179. Furthermore, G190S and G190E might share a structural mechanism with the V106A family mutations as they both exhibit a mean occupancy shift &gt; 0.25 vs WT for Lys104 and Ser105 (Figure 4). This observation suggests that multiple structural mechanisms may overlap to contribute to DOR resistance.</w:t>
      </w:r>
    </w:p>
    <w:p w14:paraId="74879996" w14:textId="77777777" w:rsidR="00FB6672" w:rsidRPr="00D105F5" w:rsidRDefault="00FB6672" w:rsidP="00FB6672">
      <w:pPr>
        <w:spacing w:after="240"/>
        <w:rPr>
          <w:rFonts w:ascii="Times New Roman" w:hAnsi="Times New Roman" w:cs="Times New Roman"/>
          <w:noProof/>
          <w:kern w:val="2"/>
          <w14:ligatures w14:val="standardContextual"/>
        </w:rPr>
      </w:pPr>
      <m:oMathPara>
        <m:oMath>
          <m:r>
            <w:rPr>
              <w:rFonts w:ascii="Cambria Math" w:hAnsi="Cambria Math" w:cs="Times New Roman"/>
              <w:noProof/>
              <w:kern w:val="2"/>
              <w14:ligatures w14:val="standardContextual"/>
            </w:rPr>
            <w:lastRenderedPageBreak/>
            <m:t>y=</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e>
          </m:d>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*z(</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m:t>
          </m:r>
        </m:oMath>
      </m:oMathPara>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281AB1">
      <w:pPr>
        <w:spacing w:after="240"/>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PhenoSense</w:t>
      </w:r>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69D46EA" w14:textId="0162AF85" w:rsidR="00430A42"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together with an incomplete nonequilibrium FEP panel, could provide a coherent structural framework for known and limited-data DOR resistance genotypes without claiming that 100 ns equilibration recovers binding thermodynamics or that FEP currently explains the full phenotypic landscape.</w:t>
      </w:r>
      <w:r>
        <w:rPr>
          <w:rFonts w:ascii="Times New Roman" w:hAnsi="Times New Roman" w:cs="Times New Roman"/>
          <w:szCs w:val="24"/>
        </w:rPr>
      </w:r>
      <w:r w:rsidR="001D7155">
        <w:rPr>
          <w:rFonts w:ascii="Times New Roman" w:hAnsi="Times New Roman" w:cs="Times New Roman"/>
          <w:szCs w:val="24"/>
        </w:rPr>
      </w:r>
      <w:r w:rsidR="0024748A">
        <w:rPr>
          <w:rFonts w:ascii="Times New Roman" w:hAnsi="Times New Roman" w:cs="Times New Roman"/>
          <w:szCs w:val="24"/>
        </w:rPr>
      </w:r>
      <w:r w:rsidR="0024748A">
        <w:rPr>
          <w:rFonts w:ascii="Times New Roman" w:hAnsi="Times New Roman" w:cs="Times New Roman"/>
          <w:szCs w:val="24"/>
        </w:rPr>
      </w:r>
      <w:r w:rsidR="0024748A">
        <w:rPr>
          <w:rFonts w:ascii="Times New Roman" w:hAnsi="Times New Roman" w:cs="Times New Roman"/>
          <w:szCs w:val="24"/>
        </w:rPr>
      </w:r>
      <w:r w:rsidR="0024748A" w:rsidRPr="0024748A">
        <w:rPr>
          <w:rFonts w:ascii="Times New Roman" w:eastAsiaTheme="minorHAnsi" w:hAnsi="Times New Roman" w:cs="Times New Roman"/>
          <w:szCs w:val="24"/>
          <w:vertAlign w:val="superscript"/>
        </w:rPr>
      </w:r>
      <w:r w:rsidR="0024748A">
        <w:rPr>
          <w:rFonts w:ascii="Times New Roman" w:hAnsi="Times New Roman" w:cs="Times New Roman"/>
          <w:szCs w:val="24"/>
        </w:rPr>
      </w:r>
      <w:r w:rsidR="001D7155">
        <w:rPr>
          <w:rFonts w:ascii="Times New Roman" w:hAnsi="Times New Roman" w:cs="Times New Roman"/>
          <w:szCs w:val="24"/>
        </w:rPr>
      </w:r>
      <w:r w:rsidR="0024748A">
        <w:rPr>
          <w:rFonts w:ascii="Times New Roman" w:hAnsi="Times New Roman" w:cs="Times New Roman"/>
          <w:szCs w:val="24"/>
        </w:rPr>
      </w:r>
      <w:r w:rsidR="0024748A">
        <w:rPr>
          <w:rFonts w:ascii="Times New Roman" w:hAnsi="Times New Roman" w:cs="Times New Roman"/>
          <w:szCs w:val="24"/>
        </w:rPr>
      </w:r>
      <w:r w:rsidR="0024748A">
        <w:rPr>
          <w:rFonts w:ascii="Times New Roman" w:hAnsi="Times New Roman" w:cs="Times New Roman"/>
          <w:szCs w:val="24"/>
        </w:rPr>
      </w:r>
      <w:r w:rsidR="0024748A" w:rsidRPr="0024748A">
        <w:rPr>
          <w:rFonts w:ascii="Times New Roman" w:eastAsiaTheme="minorHAnsi" w:hAnsi="Times New Roman" w:cs="Times New Roman"/>
          <w:szCs w:val="24"/>
          <w:vertAlign w:val="superscript"/>
        </w:rPr>
      </w:r>
      <w:r w:rsidR="0024748A">
        <w:rPr>
          <w:rFonts w:ascii="Times New Roman" w:hAnsi="Times New Roman" w:cs="Times New Roman"/>
          <w:szCs w:val="24"/>
        </w:rPr>
      </w:r>
      <w:r>
        <w:rPr>
          <w:rFonts w:ascii="Times New Roman" w:hAnsi="Times New Roman" w:cs="Times New Roman"/>
          <w:szCs w:val="24"/>
        </w:rPr>
      </w:r>
      <w:r w:rsidR="0024748A">
        <w:rPr>
          <w:rFonts w:ascii="Times New Roman" w:hAnsi="Times New Roman" w:cs="Times New Roman"/>
          <w:szCs w:val="24"/>
        </w:rPr>
      </w:r>
      <w:r w:rsidR="0024748A">
        <w:rPr>
          <w:rFonts w:ascii="Times New Roman" w:hAnsi="Times New Roman" w:cs="Times New Roman"/>
          <w:szCs w:val="24"/>
        </w:rPr>
      </w:r>
      <w:r w:rsidR="0024748A">
        <w:rPr>
          <w:rFonts w:ascii="Times New Roman" w:hAnsi="Times New Roman" w:cs="Times New Roman"/>
          <w:szCs w:val="24"/>
        </w:rPr>
      </w:r>
      <w:r w:rsidR="0024748A" w:rsidRPr="0024748A">
        <w:rPr>
          <w:rFonts w:ascii="Times New Roman" w:eastAsiaTheme="minorHAnsi" w:hAnsi="Times New Roman" w:cs="Times New Roman"/>
          <w:szCs w:val="24"/>
          <w:vertAlign w:val="superscript"/>
        </w:rPr>
      </w:r>
      <w:r w:rsidR="0024748A">
        <w:rPr>
          <w:rFonts w:ascii="Times New Roman" w:hAnsi="Times New Roman" w:cs="Times New Roman"/>
          <w:szCs w:val="24"/>
        </w:rPr>
      </w:r>
      <w:r>
        <w:rPr>
          <w:rFonts w:ascii="Times New Roman" w:hAnsi="Times New Roman" w:cs="Times New Roman"/>
          <w:szCs w:val="24"/>
        </w:rPr>
      </w:r>
      <w:r w:rsidR="00146F81">
        <w:rPr>
          <w:rFonts w:ascii="Times New Roman" w:hAnsi="Times New Roman" w:cs="Times New Roman"/>
          <w:szCs w:val="24"/>
        </w:rPr>
      </w:r>
      <w:r w:rsidR="005F52FE">
        <w:rPr>
          <w:rFonts w:ascii="Times New Roman" w:hAnsi="Times New Roman" w:cs="Times New Roman"/>
          <w:szCs w:val="24"/>
        </w:rPr>
      </w:r>
      <w:r w:rsidR="005F52FE" w:rsidRPr="005F52FE">
        <w:rPr>
          <w:rFonts w:ascii="Times New Roman" w:hAnsi="Times New Roman" w:cs="Times New Roman"/>
          <w:szCs w:val="24"/>
        </w:rPr>
      </w:r>
      <w:r w:rsidR="005F52FE">
        <w:rPr>
          <w:rFonts w:ascii="Times New Roman" w:hAnsi="Times New Roman" w:cs="Times New Roman"/>
          <w:szCs w:val="24"/>
        </w:rPr>
      </w:r>
      <w:r w:rsidR="005F52FE" w:rsidRPr="005F52FE">
        <w:rPr>
          <w:rFonts w:ascii="Times New Roman" w:hAnsi="Times New Roman" w:cs="Times New Roman"/>
          <w:szCs w:val="24"/>
        </w:rPr>
      </w:r>
      <w:r w:rsidR="00146F81">
        <w:rPr>
          <w:rFonts w:ascii="Times New Roman" w:hAnsi="Times New Roman" w:cs="Times New Roman"/>
          <w:szCs w:val="24"/>
        </w:rPr>
      </w:r>
      <w:r w:rsidR="006919AA">
        <w:rPr>
          <w:rFonts w:ascii="Times New Roman" w:hAnsi="Times New Roman" w:cs="Times New Roman"/>
          <w:szCs w:val="24"/>
        </w:rPr>
      </w:r>
      <w:r w:rsidR="00146F81">
        <w:rPr>
          <w:rFonts w:ascii="Times New Roman" w:hAnsi="Times New Roman" w:cs="Times New Roman"/>
          <w:szCs w:val="24"/>
        </w:rPr>
      </w:r>
      <w:r w:rsidR="001352C3">
        <w:rPr>
          <w:rFonts w:ascii="Times New Roman" w:hAnsi="Times New Roman" w:cs="Times New Roman"/>
          <w:szCs w:val="24"/>
        </w:rPr>
      </w:r>
      <w:r w:rsidR="00146F81">
        <w:rPr>
          <w:rFonts w:ascii="Times New Roman" w:hAnsi="Times New Roman" w:cs="Times New Roman"/>
          <w:szCs w:val="24"/>
        </w:rPr>
      </w:r>
      <w:r w:rsidR="006919AA">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93179D">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93179D">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93179D">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6919AA">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szCs w:val="24"/>
        </w:rPr>
      </w:r>
      <w:r w:rsidR="00385FCC" w:rsidRPr="00085D4C">
        <w:rPr>
          <w:rFonts w:ascii="Times New Roman" w:hAnsi="Times New Roman" w:cs="Times New Roman"/>
          <w:szCs w:val="24"/>
        </w:rPr>
      </w:r>
      <w:r w:rsidR="00385FCC">
        <w:rPr>
          <w:rFonts w:ascii="Times New Roman" w:hAnsi="Times New Roman" w:cs="Times New Roman"/>
          <w:i/>
          <w:iCs/>
          <w:szCs w:val="24"/>
        </w:rPr>
      </w:r>
      <w:r w:rsidR="00385FCC" w:rsidRPr="00085D4C">
        <w:rPr>
          <w:rFonts w:ascii="Times New Roman" w:hAnsi="Times New Roman" w:cs="Times New Roman"/>
          <w:szCs w:val="24"/>
        </w:rPr>
      </w:r>
    </w:p>
    <w:p w14:paraId="17AD8690" w14:textId="57006F77" w:rsidR="005F52FE" w:rsidRDefault="0024748A" w:rsidP="009977AB">
      <w:pPr>
        <w:spacing w:before="240" w:after="240"/>
        <w:rPr>
          <w:rFonts w:ascii="Times New Roman" w:hAnsi="Times New Roman" w:cs="Times New Roman"/>
          <w:szCs w:val="24"/>
        </w:rPr>
      </w:pPr>
      <w:r>
        <w:rPr>
          <w:rFonts w:ascii="Times New Roman" w:hAnsi="Times New Roman" w:cs="Times New Roman"/>
          <w:szCs w:val="24"/>
        </w:rPr>
        <w:t xml:space="preserve">We also observed large trajectory to trajectory variability in ∆∆G values that precluded any </w:t>
      </w:r>
      <w:r w:rsidR="00EA5681">
        <w:rPr>
          <w:rFonts w:ascii="Times New Roman" w:hAnsi="Times New Roman" w:cs="Times New Roman"/>
          <w:szCs w:val="24"/>
        </w:rPr>
        <w:t>significant</w:t>
      </w:r>
      <w:r>
        <w:rPr>
          <w:rFonts w:ascii="Times New Roman" w:hAnsi="Times New Roman" w:cs="Times New Roman"/>
          <w:szCs w:val="24"/>
        </w:rPr>
        <w:t xml:space="preserve"> </w:t>
      </w:r>
      <w:r w:rsidR="002671AE">
        <w:rPr>
          <w:rFonts w:ascii="Times New Roman" w:hAnsi="Times New Roman" w:cs="Times New Roman"/>
          <w:szCs w:val="24"/>
        </w:rPr>
        <w:t>correlation with the phenotype panel</w:t>
      </w:r>
      <w:r>
        <w:rPr>
          <w:rFonts w:ascii="Times New Roman" w:hAnsi="Times New Roman" w:cs="Times New Roman"/>
          <w:szCs w:val="24"/>
        </w:rPr>
        <w:t xml:space="preserve">, even for the individual MM/GBSA components. </w:t>
      </w:r>
      <w:r w:rsidR="002671AE">
        <w:rPr>
          <w:rFonts w:ascii="Times New Roman" w:hAnsi="Times New Roman" w:cs="Times New Roman"/>
          <w:szCs w:val="24"/>
        </w:rPr>
        <w:t>Interestingly, the largest variability was achieved by the Y188L simulations, where WT-referenced total energy standard deviation between replicates of ~369kJ/mol was mainly driven by the van der Waals component. Upon closer inspection</w:t>
      </w:r>
      <w:r w:rsidR="00AA56BC">
        <w:rPr>
          <w:rFonts w:ascii="Times New Roman" w:hAnsi="Times New Roman" w:cs="Times New Roman"/>
          <w:szCs w:val="24"/>
        </w:rPr>
        <w:t xml:space="preserve">, </w:t>
      </w:r>
      <w:r w:rsidR="002671AE">
        <w:rPr>
          <w:rFonts w:ascii="Times New Roman" w:hAnsi="Times New Roman" w:cs="Times New Roman"/>
          <w:szCs w:val="24"/>
        </w:rPr>
        <w:t xml:space="preserve">Leu188 sidechain was found to exhibit more diverse orientations </w:t>
      </w:r>
      <w:r w:rsidR="0093179D">
        <w:rPr>
          <w:rFonts w:ascii="Times New Roman" w:hAnsi="Times New Roman" w:cs="Times New Roman"/>
          <w:szCs w:val="24"/>
        </w:rPr>
        <w:t xml:space="preserve">vs </w:t>
      </w:r>
      <w:r w:rsidR="00BC11ED">
        <w:rPr>
          <w:rFonts w:ascii="Times New Roman" w:hAnsi="Times New Roman" w:cs="Times New Roman"/>
          <w:szCs w:val="24"/>
        </w:rPr>
        <w:t xml:space="preserve">Tyr188 sidechain in </w:t>
      </w:r>
      <w:r w:rsidR="0093179D">
        <w:rPr>
          <w:rFonts w:ascii="Times New Roman" w:hAnsi="Times New Roman" w:cs="Times New Roman"/>
          <w:szCs w:val="24"/>
        </w:rPr>
        <w:t xml:space="preserve">WT </w:t>
      </w:r>
      <w:r w:rsidR="002671AE">
        <w:rPr>
          <w:rFonts w:ascii="Times New Roman" w:hAnsi="Times New Roman" w:cs="Times New Roman"/>
          <w:szCs w:val="24"/>
        </w:rPr>
        <w:t xml:space="preserve">in different replicates with respect to DOR, which </w:t>
      </w:r>
      <w:r w:rsidR="000406F0">
        <w:rPr>
          <w:rFonts w:ascii="Times New Roman" w:hAnsi="Times New Roman" w:cs="Times New Roman"/>
          <w:szCs w:val="24"/>
        </w:rPr>
        <w:t>likely</w:t>
      </w:r>
      <w:r w:rsidR="002671AE">
        <w:rPr>
          <w:rFonts w:ascii="Times New Roman" w:hAnsi="Times New Roman" w:cs="Times New Roman"/>
          <w:szCs w:val="24"/>
        </w:rPr>
        <w:t xml:space="preserve"> alter</w:t>
      </w:r>
      <w:r w:rsidR="000406F0">
        <w:rPr>
          <w:rFonts w:ascii="Times New Roman" w:hAnsi="Times New Roman" w:cs="Times New Roman"/>
          <w:szCs w:val="24"/>
        </w:rPr>
        <w:t>ed</w:t>
      </w:r>
      <w:r w:rsidR="002671AE">
        <w:rPr>
          <w:rFonts w:ascii="Times New Roman" w:hAnsi="Times New Roman" w:cs="Times New Roman"/>
          <w:szCs w:val="24"/>
        </w:rPr>
        <w:t xml:space="preserve"> NNIBP packing efficiency and </w:t>
      </w:r>
      <w:r w:rsidR="00F34CD6">
        <w:rPr>
          <w:rFonts w:ascii="Times New Roman" w:hAnsi="Times New Roman" w:cs="Times New Roman"/>
          <w:szCs w:val="24"/>
        </w:rPr>
        <w:t>contribute</w:t>
      </w:r>
      <w:r w:rsidR="000406F0">
        <w:rPr>
          <w:rFonts w:ascii="Times New Roman" w:hAnsi="Times New Roman" w:cs="Times New Roman"/>
          <w:szCs w:val="24"/>
        </w:rPr>
        <w:t>d</w:t>
      </w:r>
      <w:r w:rsidR="00F34CD6">
        <w:rPr>
          <w:rFonts w:ascii="Times New Roman" w:hAnsi="Times New Roman" w:cs="Times New Roman"/>
          <w:szCs w:val="24"/>
        </w:rPr>
        <w:t xml:space="preserve"> to high variance of the van der Waals energy shift</w:t>
      </w:r>
      <w:r w:rsidR="002671AE">
        <w:rPr>
          <w:rFonts w:ascii="Times New Roman" w:hAnsi="Times New Roman" w:cs="Times New Roman"/>
          <w:szCs w:val="24"/>
        </w:rPr>
        <w:t>.</w:t>
      </w:r>
      <w:r w:rsidR="00AA56BC">
        <w:rPr>
          <w:rFonts w:ascii="Times New Roman" w:hAnsi="Times New Roman" w:cs="Times New Roman"/>
          <w:szCs w:val="24"/>
        </w:rPr>
        <w:t xml:space="preserve"> </w:t>
      </w:r>
      <w:r w:rsidR="00F34CD6">
        <w:rPr>
          <w:rFonts w:ascii="Times New Roman" w:hAnsi="Times New Roman" w:cs="Times New Roman"/>
          <w:szCs w:val="24"/>
        </w:rPr>
        <w:t>This</w:t>
      </w:r>
      <w:r w:rsidR="000C00CB">
        <w:rPr>
          <w:rFonts w:ascii="Times New Roman" w:hAnsi="Times New Roman" w:cs="Times New Roman"/>
          <w:szCs w:val="24"/>
        </w:rPr>
        <w:t xml:space="preserve"> observation</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w:t>
      </w:r>
      <w:r w:rsidR="00F34CD6">
        <w:rPr>
          <w:rFonts w:ascii="Times New Roman" w:hAnsi="Times New Roman" w:cs="Times New Roman"/>
          <w:szCs w:val="24"/>
        </w:rPr>
        <w:t>susceptible and resistant mutations</w:t>
      </w:r>
      <w:r w:rsidR="00896B84">
        <w:rPr>
          <w:rFonts w:ascii="Times New Roman" w:hAnsi="Times New Roman" w:cs="Times New Roman"/>
          <w:szCs w:val="24"/>
        </w:rPr>
        <w:t xml:space="preserve">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6A57D8CF" w14:textId="2BCC571A" w:rsidR="00054F43" w:rsidRDefault="003C5F8B" w:rsidP="009977AB">
      <w:pPr>
        <w:spacing w:after="240"/>
        <w:rPr>
          <w:rFonts w:ascii="Times New Roman" w:hAnsi="Times New Roman" w:cs="Times New Roman"/>
          <w:szCs w:val="24"/>
        </w:rPr>
      </w:pPr>
      <w:r>
        <w:rPr>
          <w:rFonts w:ascii="Times New Roman" w:hAnsi="Times New Roman" w:cs="Times New Roman"/>
          <w:szCs w:val="24"/>
        </w:rPr>
        <w:t>The mean contact occupancy analysis revealed t</w:t>
      </w:r>
      <w:r w:rsidR="00054F43">
        <w:rPr>
          <w:rFonts w:ascii="Times New Roman" w:hAnsi="Times New Roman" w:cs="Times New Roman"/>
          <w:szCs w:val="24"/>
        </w:rPr>
        <w:t>he baseline contact network in WT simulations and how it shifts in case of mutations. Our data suggest at least two robust mechanistic findings:</w:t>
      </w:r>
    </w:p>
    <w:p w14:paraId="6D58E8F1" w14:textId="45BE69D1" w:rsidR="003C5F8B" w:rsidRDefault="00054F43"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t xml:space="preserve">V106A containing genotypes consistently involve DOR shifting to the 103-108 loop region of the NNIBP. The loss of the hydrophobic interaction between Val106 sidechain and the central pyridone core of DOR in case of V106A is associated with this shift. The resulting DOR contacts with mainchain atoms of Lys104 and Ser105 are suboptimal compensatory interactions and may contribute to resistance to V106A containing genotypes in terms of loose DOR packing within the NNIBP. This mechanism is further supported by the observation that simulations containing V106I, a DOR susceptible polymorphic mutation, do not demonstrate this DOR shift toward the 103-108 loop. </w:t>
        <w:br/>
      </w:r>
      <w:r w:rsidR="00B90F8D">
        <w:rPr>
          <w:rFonts w:ascii="Times New Roman" w:hAnsi="Times New Roman" w:cs="Times New Roman"/>
          <w:szCs w:val="24"/>
        </w:rPr>
      </w:r>
      <w:r w:rsidR="00380DA1">
        <w:rPr>
          <w:rFonts w:ascii="Times New Roman" w:hAnsi="Times New Roman" w:cs="Times New Roman"/>
          <w:szCs w:val="24"/>
        </w:rPr>
      </w:r>
      <w:r w:rsidR="00B90F8D">
        <w:rPr>
          <w:rFonts w:ascii="Times New Roman" w:hAnsi="Times New Roman" w:cs="Times New Roman"/>
          <w:szCs w:val="24"/>
        </w:rPr>
      </w:r>
      <w:r w:rsidRPr="009977AB">
        <w:rPr>
          <w:rFonts w:ascii="Times New Roman" w:hAnsi="Times New Roman" w:cs="Times New Roman"/>
          <w:szCs w:val="24"/>
        </w:rPr>
      </w:r>
      <w:r w:rsidR="00B90F8D">
        <w:rPr>
          <w:rFonts w:ascii="Times New Roman" w:hAnsi="Times New Roman" w:cs="Times New Roman"/>
          <w:szCs w:val="24"/>
        </w:rPr>
      </w:r>
      <w:r w:rsidR="008C46C2">
        <w:rPr>
          <w:rFonts w:ascii="Times New Roman" w:hAnsi="Times New Roman" w:cs="Times New Roman"/>
          <w:szCs w:val="24"/>
        </w:rPr>
      </w:r>
      <w:r w:rsidR="008C46C2">
        <w:rPr>
          <w:rFonts w:ascii="Times New Roman" w:hAnsi="Times New Roman" w:cs="Times New Roman"/>
          <w:szCs w:val="24"/>
        </w:rPr>
      </w:r>
    </w:p>
    <w:p w14:paraId="7D9D9300" w14:textId="0066968D" w:rsidR="008C46C2" w:rsidRDefault="00B90F8D"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t xml:space="preserve">G190E </w:t>
      </w:r>
      <w:r w:rsidR="00380DA1">
        <w:rPr>
          <w:rFonts w:ascii="Times New Roman" w:hAnsi="Times New Roman" w:cs="Times New Roman"/>
          <w:szCs w:val="24"/>
        </w:rPr>
        <w:t xml:space="preserve">adds a large negatively charged glutamate in the </w:t>
      </w:r>
      <w:r w:rsidR="00380DA1" w:rsidRPr="00E31695">
        <w:rPr>
          <w:rFonts w:ascii="Times New Roman" w:hAnsi="Times New Roman" w:cs="Times New Roman"/>
          <w:szCs w:val="24"/>
        </w:rPr>
        <w:t>β</w:t>
      </w:r>
      <w:r w:rsidR="00380DA1">
        <w:rPr>
          <w:rFonts w:ascii="Times New Roman" w:hAnsi="Times New Roman" w:cs="Times New Roman"/>
          <w:szCs w:val="24"/>
        </w:rPr>
        <w:t>9-</w:t>
      </w:r>
      <w:r w:rsidR="00380DA1" w:rsidRPr="00E31695">
        <w:rPr>
          <w:rFonts w:ascii="Times New Roman" w:hAnsi="Times New Roman" w:cs="Times New Roman"/>
          <w:szCs w:val="24"/>
        </w:rPr>
        <w:t>β</w:t>
      </w:r>
      <w:r w:rsidR="00380DA1">
        <w:rPr>
          <w:rFonts w:ascii="Times New Roman" w:hAnsi="Times New Roman" w:cs="Times New Roman"/>
          <w:szCs w:val="24"/>
        </w:rPr>
        <w:t xml:space="preserve">10 hairpin that makes DOR lose contact with Val179, a residue that otherwise remains in proximity to DOR in WT simulations. </w:t>
      </w:r>
      <w:r w:rsidR="002449B5">
        <w:rPr>
          <w:rFonts w:ascii="Times New Roman" w:hAnsi="Times New Roman" w:cs="Times New Roman"/>
          <w:szCs w:val="24"/>
        </w:rPr>
        <w:t xml:space="preserve">This perturbation likely affects DOR packing and further suggests that future studies may reveal G190E as DOR-associated resistance mutation in </w:t>
      </w:r>
      <w:r w:rsidR="002449B5">
        <w:rPr>
          <w:rFonts w:ascii="Times New Roman" w:hAnsi="Times New Roman" w:cs="Times New Roman"/>
          <w:i/>
          <w:iCs/>
          <w:szCs w:val="24"/>
        </w:rPr>
        <w:t xml:space="preserve">in vitro </w:t>
      </w:r>
      <w:r w:rsidR="002449B5">
        <w:rPr>
          <w:rFonts w:ascii="Times New Roman" w:hAnsi="Times New Roman" w:cs="Times New Roman"/>
          <w:szCs w:val="24"/>
        </w:rPr>
        <w:t>assays.</w:t>
      </w:r>
    </w:p>
    <w:p w14:paraId="7D9D9300" w14:textId="0066968D" w:rsidR="008C46C2" w:rsidRDefault="00B90F8D" w:rsidP="009977AB">
      <w:pPr>
        <w:pStyle w:val="ListParagraph"/>
        <w:numPr>
          <w:ilvl w:val="0"/>
          <w:numId w:val="3"/>
        </w:numPr>
        <w:spacing w:after="240"/>
        <w:rPr>
          <w:rFonts w:ascii="Times New Roman" w:hAnsi="Times New Roman" w:cs="Times New Roman"/>
          <w:szCs w:val="24"/>
        </w:rPr>
      </w:pPr>
      <w:r>
        <w:t>Finally, we do not fit a phenotype-prediction model to MD features. Two-feature regressions on ~14 genotypes are post-hoc and do not earn a Results claim. The incomplete FEP panel is useful for precise relative binding estimates in the tight-SEM subset, but weak ΔΔG–fold correlation and the V106M binding-versus-phenotype discordance caution against treating current FEP numbers as an explanation of the full DOR landscape.</w:t>
      </w:r>
    </w:p>
    <w:p w14:paraId="4F9769DD" w14:textId="3EA73E00" w:rsidR="001168E7" w:rsidRDefault="001168E7" w:rsidP="009977AB">
      <w:pPr>
        <w:spacing w:after="240"/>
        <w:rPr>
          <w:rFonts w:ascii="Times New Roman" w:hAnsi="Times New Roman" w:cs="Times New Roman"/>
          <w:b/>
          <w:bCs/>
          <w:sz w:val="28"/>
          <w:szCs w:val="28"/>
        </w:rPr>
      </w:pPr>
      <w:r>
        <w:rPr>
          <w:rFonts w:ascii="Times New Roman" w:hAnsi="Times New Roman" w:cs="Times New Roman"/>
          <w:b/>
          <w:bCs/>
          <w:sz w:val="28"/>
          <w:szCs w:val="28"/>
        </w:rPr>
        <w:t>Methods</w:t>
      </w:r>
    </w:p>
    <w:p w14:paraId="0466EF34" w14:textId="6345C302" w:rsidR="001168E7" w:rsidRPr="00B67051" w:rsidRDefault="001168E7" w:rsidP="001168E7">
      <w:pPr>
        <w:rPr>
          <w:rFonts w:ascii="Times New Roman" w:hAnsi="Times New Roman" w:cs="Times New Roman"/>
          <w:b/>
          <w:bCs/>
          <w:szCs w:val="24"/>
          <w:u w:val="single"/>
        </w:rPr>
      </w:pPr>
      <w:r>
        <w:rPr>
          <w:rFonts w:ascii="Times New Roman" w:hAnsi="Times New Roman" w:cs="Times New Roman"/>
          <w:b/>
          <w:bCs/>
          <w:szCs w:val="24"/>
          <w:u w:val="single"/>
        </w:rPr>
        <w:t>Structure Preparation and mutation modeling</w:t>
      </w:r>
    </w:p>
    <w:p w14:paraId="6CC17687" w14:textId="6DC87B24" w:rsidR="007B0373" w:rsidRDefault="001168E7" w:rsidP="009977AB">
      <w:pPr>
        <w:spacing w:after="240"/>
        <w:rPr>
          <w:rFonts w:ascii="Times New Roman" w:hAnsi="Times New Roman" w:cs="Times New Roman"/>
          <w:szCs w:val="24"/>
        </w:rPr>
      </w:pPr>
      <w:r w:rsidRPr="001168E7">
        <w:rPr>
          <w:rFonts w:ascii="Times New Roman" w:hAnsi="Times New Roman" w:cs="Times New Roman"/>
          <w:szCs w:val="24"/>
        </w:rPr>
        <w:t xml:space="preserve">The starting </w:t>
      </w:r>
      <w:proofErr w:type="spellStart"/>
      <w:r w:rsidRPr="001168E7">
        <w:rPr>
          <w:rFonts w:ascii="Times New Roman" w:hAnsi="Times New Roman" w:cs="Times New Roman"/>
          <w:szCs w:val="24"/>
        </w:rPr>
        <w:t>holo</w:t>
      </w:r>
      <w:proofErr w:type="spellEnd"/>
      <w:r w:rsidRPr="001168E7">
        <w:rPr>
          <w:rFonts w:ascii="Times New Roman" w:hAnsi="Times New Roman" w:cs="Times New Roman"/>
          <w:szCs w:val="24"/>
        </w:rPr>
        <w:t xml:space="preserve"> structure was the crystal structure of HIV-1 RT bound to doravirine (DOR; PDB ligand residue 2KW) from PDB 4NCG</w:t>
      </w:r>
      <w:r>
        <w:rPr>
          <w:rFonts w:ascii="Times New Roman" w:hAnsi="Times New Roman" w:cs="Times New Roman"/>
          <w:szCs w:val="24"/>
        </w:rPr>
        <w:t xml:space="preserve"> (</w:t>
      </w:r>
      <w:hyperlink r:id="rId19" w:history="1">
        <w:r w:rsidRPr="007A15E0">
          <w:rPr>
            <w:rStyle w:val="Hyperlink"/>
            <w:rFonts w:ascii="Times New Roman" w:hAnsi="Times New Roman" w:cs="Times New Roman"/>
            <w:szCs w:val="24"/>
          </w:rPr>
          <w:t>https://www.rcsb.org/structure/4NCG</w:t>
        </w:r>
      </w:hyperlink>
      <w:r>
        <w:rPr>
          <w:rFonts w:ascii="Times New Roman" w:hAnsi="Times New Roman" w:cs="Times New Roman"/>
          <w:szCs w:val="24"/>
        </w:rPr>
        <w:t>)</w:t>
      </w:r>
      <w:r w:rsidRPr="001168E7">
        <w:rPr>
          <w:rFonts w:ascii="Times New Roman" w:hAnsi="Times New Roman" w:cs="Times New Roman"/>
          <w:szCs w:val="24"/>
        </w:rPr>
        <w:t>.</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14</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Mutant complexes were generated from the WT RT-DOR structure by introducing the selected p66 substitutions </w:t>
      </w:r>
      <w:r w:rsidRPr="00884DAF">
        <w:rPr>
          <w:rFonts w:ascii="Times New Roman" w:hAnsi="Times New Roman" w:cs="Times New Roman"/>
          <w:i/>
          <w:iCs/>
          <w:szCs w:val="24"/>
        </w:rPr>
        <w:t>in silico</w:t>
      </w:r>
      <w:r w:rsidRPr="001168E7">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w:t>
      </w:r>
      <w:r w:rsidR="00884DAF">
        <w:rPr>
          <w:rFonts w:ascii="Times New Roman" w:hAnsi="Times New Roman" w:cs="Times New Roman"/>
          <w:szCs w:val="24"/>
        </w:rPr>
        <w:t xml:space="preserve"> (</w:t>
      </w:r>
      <w:hyperlink r:id="rId20" w:history="1">
        <w:r w:rsidR="00884DAF" w:rsidRPr="007A15E0">
          <w:rPr>
            <w:rStyle w:val="Hyperlink"/>
            <w:rFonts w:ascii="Times New Roman" w:hAnsi="Times New Roman" w:cs="Times New Roman"/>
            <w:szCs w:val="24"/>
          </w:rPr>
          <w:t>https://pubchem.ncbi.nlm.nih.gov/compound/Doravirine</w:t>
        </w:r>
      </w:hyperlink>
      <w:r w:rsidR="00884DAF">
        <w:rPr>
          <w:rFonts w:ascii="Times New Roman" w:hAnsi="Times New Roman" w:cs="Times New Roman"/>
          <w:szCs w:val="24"/>
        </w:rPr>
        <w:t>)</w:t>
      </w:r>
      <w:r w:rsidRPr="001168E7">
        <w:rPr>
          <w:rFonts w:ascii="Times New Roman" w:hAnsi="Times New Roman" w:cs="Times New Roman"/>
          <w:szCs w:val="24"/>
        </w:rPr>
        <w:t xml:space="preserve"> and rigidly aligned to the crystallographic ligand heavy atoms by least-squares superposition using the </w:t>
      </w:r>
      <w:proofErr w:type="spellStart"/>
      <w:r w:rsidRPr="001168E7">
        <w:rPr>
          <w:rFonts w:ascii="Times New Roman" w:hAnsi="Times New Roman" w:cs="Times New Roman"/>
          <w:szCs w:val="24"/>
        </w:rPr>
        <w:t>Kabsch</w:t>
      </w:r>
      <w:proofErr w:type="spellEnd"/>
      <w:r w:rsidRPr="001168E7">
        <w:rPr>
          <w:rFonts w:ascii="Times New Roman" w:hAnsi="Times New Roman" w:cs="Times New Roman"/>
          <w:szCs w:val="24"/>
        </w:rPr>
        <w:t xml:space="preserve"> algorithm.</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35</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593A9EE4" w14:textId="6676850F" w:rsidR="001168E7" w:rsidRDefault="00884DAF" w:rsidP="00D27076">
      <w:pPr>
        <w:rPr>
          <w:rFonts w:ascii="Times New Roman" w:hAnsi="Times New Roman" w:cs="Times New Roman"/>
          <w:szCs w:val="24"/>
        </w:rPr>
      </w:pPr>
      <w:r w:rsidRPr="00884DAF">
        <w:rPr>
          <w:rFonts w:ascii="Times New Roman" w:hAnsi="Times New Roman" w:cs="Times New Roman"/>
          <w:b/>
          <w:bCs/>
          <w:szCs w:val="24"/>
          <w:u w:val="single"/>
        </w:rPr>
        <w:t>Molecular dynamics simulations</w:t>
      </w:r>
    </w:p>
    <w:p w14:paraId="042B0E29" w14:textId="6BD102BD"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All MD simulations were performed with OpenMM.36 Protein and nucleic-acid parameters were assigned from the Amber14 OpenMM force-field files, using ff14SB for protein,37 bsc1 for DNA,38 and TIP3P water.39 DOR parameters were generated through the OpenFF/SMIRNOFF template generator using direct chemical perception,40 with Gasteiger partial charges.41 Each complex was solvated in a TIP3P periodic box with 1.0 nm padding and neutralized at 0.15 M ionic strength. Nonbonded interactions used particle-mesh Ewald electrostatics42 with a 1.0 nm cutoff, and bonds to hydrogen atoms were constrained. Ligand electrostatics used Gasteiger charges for reproducibility; these are not AM1-BCC/RESP and are one reason continuum electrostatic end-point estimates are not trusted. OpenFF/SMIRNOFF supplied bonded/nonbonded DOR parameters via direct chemical perception. Histidine tautomer and protonation states followed standard PDB2PQR/Amber assignment at pH 7. Production used Langevin dynamics (middle scheme, 1 ps−1 friction, 2 fs) with a Monte Carlo barostat (1 bar); no separate long NPT equilibration was run beyond heating and the barostatted production segment. Convergence of local reporters (Cα RMSD, DOR–RT COM, Ser105/Val179/227 distances) is shown as coordinate-versus-time traces with running means (Supplementary); we do not apply an a-priori RMSD cutoff to discard replicates. FEP used the same ligand chemistry exported for GROMACS/pmx so that OpenMM MD and GROMACS FEP charges are stated consistently; unfinished charge-change legs are omitted from main-text point estimates.</w:t>
      </w:r>
      <w:r>
        <w:rPr>
          <w:rFonts w:ascii="Times New Roman" w:hAnsi="Times New Roman" w:cs="Times New Roman"/>
          <w:szCs w:val="24"/>
        </w:rPr>
      </w:r>
      <w:r>
        <w:rPr>
          <w:rFonts w:ascii="Times New Roman" w:hAnsi="Times New Roman" w:cs="Times New Roman"/>
          <w:szCs w:val="24"/>
        </w:rPr>
      </w:r>
      <w:r>
        <w:rPr>
          <w:rFonts w:ascii="Times New Roman" w:hAnsi="Times New Roman" w:cs="Times New Roman"/>
          <w:szCs w:val="24"/>
        </w:rPr>
      </w:r>
      <w:r w:rsidRPr="00884DAF">
        <w:rPr>
          <w:rFonts w:ascii="Times New Roman" w:eastAsiaTheme="minorHAnsi" w:hAnsi="Times New Roman" w:cs="Times New Roman"/>
          <w:szCs w:val="24"/>
          <w:vertAlign w:val="superscript"/>
        </w:rPr>
      </w:r>
      <w:r>
        <w:rPr>
          <w:rFonts w:ascii="Times New Roman" w:hAnsi="Times New Roman" w:cs="Times New Roman"/>
          <w:szCs w:val="24"/>
        </w:rPr>
      </w:r>
      <w:r w:rsidRPr="00884DAF">
        <w:rPr>
          <w:rFonts w:ascii="Times New Roman" w:hAnsi="Times New Roman" w:cs="Times New Roman"/>
          <w:szCs w:val="24"/>
        </w:rPr>
      </w:r>
      <w:proofErr w:type="spellStart"/>
      <w:r w:rsidRPr="00884DAF">
        <w:rPr>
          <w:rFonts w:ascii="Times New Roman" w:hAnsi="Times New Roman" w:cs="Times New Roman"/>
          <w:szCs w:val="24"/>
        </w:rPr>
      </w:r>
      <w:proofErr w:type="spellEnd"/>
      <w:r w:rsidRPr="00884DAF">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sidRPr="00A23B47">
        <w:rPr>
          <w:rFonts w:ascii="Times New Roman" w:eastAsiaTheme="minorHAnsi" w:hAnsi="Times New Roman" w:cs="Times New Roman"/>
          <w:szCs w:val="24"/>
          <w:vertAlign w:val="superscript"/>
        </w:rPr>
      </w:r>
      <w:r w:rsidR="00A23B47">
        <w:rPr>
          <w:rFonts w:ascii="Times New Roman" w:hAnsi="Times New Roman" w:cs="Times New Roman"/>
          <w:szCs w:val="24"/>
        </w:rPr>
      </w:r>
      <w:r w:rsidRPr="00884DAF">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sidRPr="00A23B47">
        <w:rPr>
          <w:rFonts w:ascii="Times New Roman" w:eastAsiaTheme="minorHAnsi" w:hAnsi="Times New Roman" w:cs="Times New Roman"/>
          <w:szCs w:val="24"/>
          <w:vertAlign w:val="superscript"/>
        </w:rPr>
      </w:r>
      <w:r w:rsidR="00A23B47">
        <w:rPr>
          <w:rFonts w:ascii="Times New Roman" w:hAnsi="Times New Roman" w:cs="Times New Roman"/>
          <w:szCs w:val="24"/>
        </w:rPr>
      </w:r>
      <w:r w:rsidRPr="00884DAF">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sidRPr="00A23B47">
        <w:rPr>
          <w:rFonts w:ascii="Times New Roman" w:eastAsiaTheme="minorHAnsi" w:hAnsi="Times New Roman" w:cs="Times New Roman"/>
          <w:szCs w:val="24"/>
          <w:vertAlign w:val="superscript"/>
        </w:rPr>
      </w:r>
      <w:r w:rsidR="00A23B47">
        <w:rPr>
          <w:rFonts w:ascii="Times New Roman" w:hAnsi="Times New Roman" w:cs="Times New Roman"/>
          <w:szCs w:val="24"/>
        </w:rPr>
      </w:r>
      <w:r w:rsidRPr="00884DAF">
        <w:rPr>
          <w:rFonts w:ascii="Times New Roman" w:hAnsi="Times New Roman" w:cs="Times New Roman"/>
          <w:szCs w:val="24"/>
        </w:rPr>
      </w:r>
      <w:proofErr w:type="spellStart"/>
      <w:r w:rsidRPr="00884DAF">
        <w:rPr>
          <w:rFonts w:ascii="Times New Roman" w:hAnsi="Times New Roman" w:cs="Times New Roman"/>
          <w:szCs w:val="24"/>
        </w:rPr>
      </w:r>
      <w:proofErr w:type="spellEnd"/>
      <w:r w:rsidRPr="00884DAF">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Pr>
          <w:rFonts w:ascii="Cambria Math" w:hAnsi="Cambria Math" w:cs="Cambria Math"/>
          <w:szCs w:val="24"/>
        </w:rPr>
      </w:r>
      <w:r w:rsidR="00A23B47">
        <w:rPr>
          <w:rFonts w:ascii="Times New Roman" w:hAnsi="Times New Roman" w:cs="Times New Roman"/>
          <w:szCs w:val="24"/>
        </w:rPr>
      </w:r>
      <w:r w:rsidR="00A23B47">
        <w:rPr>
          <w:rFonts w:ascii="Times New Roman" w:hAnsi="Times New Roman" w:cs="Times New Roman"/>
          <w:szCs w:val="24"/>
        </w:rPr>
      </w:r>
      <w:r w:rsidR="00A23B47" w:rsidRPr="00A23B47">
        <w:rPr>
          <w:rFonts w:ascii="Times New Roman" w:eastAsiaTheme="minorHAnsi" w:hAnsi="Times New Roman" w:cs="Times New Roman"/>
          <w:szCs w:val="24"/>
          <w:vertAlign w:val="superscript"/>
        </w:rPr>
      </w:r>
      <w:r w:rsidR="00A23B47">
        <w:rPr>
          <w:rFonts w:ascii="Times New Roman" w:hAnsi="Times New Roman" w:cs="Times New Roman"/>
          <w:szCs w:val="24"/>
        </w:rPr>
      </w:r>
      <w:r w:rsidRPr="00884DAF">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Pr>
          <w:rFonts w:ascii="Times New Roman" w:hAnsi="Times New Roman" w:cs="Times New Roman"/>
          <w:szCs w:val="24"/>
        </w:rPr>
      </w:r>
      <w:r w:rsidR="00A23B47" w:rsidRPr="00A23B47">
        <w:rPr>
          <w:rFonts w:ascii="Times New Roman" w:eastAsiaTheme="minorHAnsi" w:hAnsi="Times New Roman" w:cs="Times New Roman"/>
          <w:szCs w:val="24"/>
          <w:vertAlign w:val="superscript"/>
        </w:rPr>
      </w:r>
      <w:r w:rsidR="00A23B47">
        <w:rPr>
          <w:rFonts w:ascii="Times New Roman" w:hAnsi="Times New Roman" w:cs="Times New Roman"/>
          <w:szCs w:val="24"/>
        </w:rPr>
      </w:r>
      <w:r w:rsidRPr="00884DAF">
        <w:rPr>
          <w:rFonts w:ascii="Times New Roman" w:hAnsi="Times New Roman" w:cs="Times New Roman"/>
          <w:szCs w:val="24"/>
        </w:rPr>
      </w:r>
      <w:r w:rsidRPr="00884DAF">
        <w:rPr>
          <w:rFonts w:ascii="Times New Roman" w:hAnsi="Times New Roman" w:cs="Times New Roman"/>
          <w:szCs w:val="24"/>
        </w:rPr>
      </w:r>
      <w:r w:rsidR="00405EDD">
        <w:rPr>
          <w:rFonts w:ascii="Times New Roman" w:hAnsi="Times New Roman" w:cs="Times New Roman"/>
          <w:szCs w:val="24"/>
        </w:rPr>
      </w:r>
      <w:r w:rsidR="00405EDD">
        <w:rPr>
          <w:rFonts w:ascii="Times New Roman" w:hAnsi="Times New Roman" w:cs="Times New Roman"/>
          <w:szCs w:val="24"/>
        </w:rPr>
      </w:r>
      <w:r w:rsidR="00405EDD">
        <w:rPr>
          <w:rFonts w:ascii="Cambria Math" w:hAnsi="Cambria Math" w:cs="Cambria Math"/>
          <w:szCs w:val="24"/>
        </w:rPr>
      </w:r>
      <w:r w:rsidR="00405EDD">
        <w:rPr>
          <w:rFonts w:ascii="Times New Roman" w:hAnsi="Times New Roman" w:cs="Times New Roman"/>
          <w:szCs w:val="24"/>
        </w:rPr>
      </w:r>
      <w:r w:rsidR="00405EDD">
        <w:rPr>
          <w:rFonts w:ascii="Cambria Math" w:hAnsi="Cambria Math" w:cs="Cambria Math"/>
          <w:szCs w:val="24"/>
        </w:rPr>
      </w:r>
      <w:r w:rsidR="00405EDD">
        <w:rPr>
          <w:rFonts w:ascii="Times New Roman" w:hAnsi="Times New Roman" w:cs="Times New Roman"/>
          <w:szCs w:val="24"/>
        </w:rPr>
      </w:r>
      <w:r w:rsidR="00405EDD">
        <w:rPr>
          <w:rFonts w:ascii="Times New Roman" w:hAnsi="Times New Roman" w:cs="Times New Roman"/>
          <w:szCs w:val="24"/>
        </w:rPr>
      </w:r>
      <w:r w:rsidR="00405EDD" w:rsidRPr="00405EDD">
        <w:rPr>
          <w:rFonts w:ascii="Times New Roman" w:eastAsiaTheme="minorHAnsi" w:hAnsi="Times New Roman" w:cs="Times New Roman"/>
          <w:szCs w:val="24"/>
          <w:vertAlign w:val="superscript"/>
        </w:rPr>
      </w:r>
      <w:r w:rsidR="00405EDD">
        <w:rPr>
          <w:rFonts w:ascii="Times New Roman" w:hAnsi="Times New Roman" w:cs="Times New Roman"/>
          <w:szCs w:val="24"/>
        </w:rPr>
      </w:r>
      <w:r w:rsidRPr="00884DAF">
        <w:rPr>
          <w:rFonts w:ascii="Times New Roman" w:hAnsi="Times New Roman" w:cs="Times New Roman"/>
          <w:szCs w:val="24"/>
        </w:rPr>
      </w:r>
    </w:p>
    <w:p w14:paraId="40A0A7A1" w14:textId="02CAE0E3"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Cα-restrained minimization (1,000 iterations at 50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1,000 iterations at 10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xml:space="preserve">, and 5,000 unrestrained iterations). Systems were then heated from 10 K to 300 K over 25 </w:t>
      </w:r>
      <w:proofErr w:type="spellStart"/>
      <w:r w:rsidRPr="00884DAF">
        <w:rPr>
          <w:rFonts w:ascii="Times New Roman" w:hAnsi="Times New Roman" w:cs="Times New Roman"/>
          <w:szCs w:val="24"/>
        </w:rPr>
        <w:t>ps</w:t>
      </w:r>
      <w:proofErr w:type="spellEnd"/>
      <w:r w:rsidRPr="00884DAF">
        <w:rPr>
          <w:rFonts w:ascii="Times New Roman" w:hAnsi="Times New Roman" w:cs="Times New Roman"/>
          <w:szCs w:val="24"/>
        </w:rPr>
        <w:t xml:space="preserve"> under NVT conditions. Production simulations were run at 300 K and 1 bar using the Langevin middle integrator, a 2 fs timestep, 1 ps</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friction coefficient, and a Monte Carlo </w:t>
      </w:r>
      <w:proofErr w:type="spellStart"/>
      <w:r w:rsidRPr="00884DAF">
        <w:rPr>
          <w:rFonts w:ascii="Times New Roman" w:hAnsi="Times New Roman" w:cs="Times New Roman"/>
          <w:szCs w:val="24"/>
        </w:rPr>
        <w:t>barostat</w:t>
      </w:r>
      <w:proofErr w:type="spellEnd"/>
      <w:r w:rsidRPr="00884DA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411E4248" w14:textId="6444AB39" w:rsidR="00884DAF" w:rsidRDefault="00405EDD" w:rsidP="00D27076">
      <w:pPr>
        <w:rPr>
          <w:rFonts w:ascii="Times New Roman" w:hAnsi="Times New Roman" w:cs="Times New Roman"/>
          <w:szCs w:val="24"/>
        </w:rPr>
      </w:pPr>
      <w:r w:rsidRPr="00405EDD">
        <w:rPr>
          <w:rFonts w:ascii="Times New Roman" w:hAnsi="Times New Roman" w:cs="Times New Roman"/>
          <w:b/>
          <w:bCs/>
          <w:szCs w:val="24"/>
          <w:u w:val="single"/>
        </w:rPr>
        <w:t>Trajectory processing and structural features</w:t>
      </w:r>
    </w:p>
    <w:p w14:paraId="2C9FAC92" w14:textId="245C6947" w:rsidR="00884DAF" w:rsidRDefault="00405EDD" w:rsidP="009977AB">
      <w:pPr>
        <w:spacing w:after="240"/>
        <w:rPr>
          <w:rFonts w:ascii="Times New Roman" w:hAnsi="Times New Roman" w:cs="Times New Roman"/>
          <w:szCs w:val="24"/>
        </w:rPr>
      </w:pPr>
      <w:r w:rsidRPr="00405EDD">
        <w:rPr>
          <w:rFonts w:ascii="Times New Roman" w:hAnsi="Times New Roman" w:cs="Times New Roman"/>
          <w:szCs w:val="24"/>
        </w:rPr>
        <w:t>Trajectory analyses were performed with MDAnalysis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43</w:t>
      </w:r>
      <w:r>
        <w:rPr>
          <w:rFonts w:ascii="Times New Roman" w:hAnsi="Times New Roman" w:cs="Times New Roman"/>
          <w:szCs w:val="24"/>
        </w:rPr>
        <w:fldChar w:fldCharType="end"/>
      </w:r>
      <w:r w:rsidRPr="00405EDD">
        <w:rPr>
          <w:rFonts w:ascii="Times New Roman" w:hAnsi="Times New Roman" w:cs="Times New Roman"/>
          <w:szCs w:val="24"/>
        </w:rPr>
        <w:t xml:space="preserve"> and MDTraj.</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44</w:t>
      </w:r>
      <w:r>
        <w:rPr>
          <w:rFonts w:ascii="Times New Roman" w:hAnsi="Times New Roman" w:cs="Times New Roman"/>
          <w:szCs w:val="24"/>
        </w:rPr>
        <w:fldChar w:fldCharType="end"/>
      </w:r>
      <w:r w:rsidRPr="00405EDD">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4NCG reference using Cα atoms. DOR pose RMSD was computed after protein-pocket alignment from DOR heavy atoms relative to the crystallographic pose. Residue-DOR proximity features were computed as the minimum heavy-atom distance between DOR and each specified RT residue in each analyzed frame. </w:t>
      </w:r>
    </w:p>
    <w:p w14:paraId="2595AFAA" w14:textId="56A5803F" w:rsidR="00405EDD" w:rsidRPr="00405EDD" w:rsidRDefault="00405EDD" w:rsidP="00D27076">
      <w:pPr>
        <w:rPr>
          <w:rFonts w:ascii="Times New Roman" w:hAnsi="Times New Roman" w:cs="Times New Roman"/>
          <w:b/>
          <w:bCs/>
          <w:szCs w:val="24"/>
          <w:u w:val="single"/>
        </w:rPr>
      </w:pPr>
      <w:r w:rsidRPr="00405EDD">
        <w:rPr>
          <w:rFonts w:ascii="Times New Roman" w:hAnsi="Times New Roman" w:cs="Times New Roman"/>
          <w:b/>
          <w:bCs/>
          <w:szCs w:val="24"/>
          <w:u w:val="single"/>
        </w:rPr>
        <w:t>MM/GBSA binding-energy analysis</w:t>
      </w:r>
    </w:p>
    <w:p w14:paraId="093FA1D5" w14:textId="30DE6E6A" w:rsidR="00405EDD" w:rsidRDefault="00405EDD" w:rsidP="009977AB">
      <w:pPr>
        <w:spacing w:after="240"/>
        <w:rPr>
          <w:rFonts w:ascii="Times New Roman" w:hAnsi="Times New Roman" w:cs="Times New Roman"/>
          <w:szCs w:val="24"/>
        </w:rPr>
      </w:pPr>
      <w:r w:rsidRPr="00405EDD">
        <w:rPr>
          <w:rFonts w:ascii="Times New Roman" w:hAnsi="Times New Roman" w:cs="Times New Roman"/>
          <w:szCs w:val="24"/>
        </w:rPr>
        <w:t>For each replicate trajectory, MM/GBSA-style binding-energy components were computed from solute-only snapshots of the explicit-solvent simulations.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45</w:t>
      </w:r>
      <w:r>
        <w:rPr>
          <w:rFonts w:ascii="Times New Roman" w:hAnsi="Times New Roman" w:cs="Times New Roman"/>
          <w:szCs w:val="24"/>
        </w:rPr>
        <w:fldChar w:fldCharType="end"/>
      </w:r>
      <w:r w:rsidRPr="00405EDD">
        <w:rPr>
          <w:rFonts w:ascii="Times New Roman" w:hAnsi="Times New Roman" w:cs="Times New Roman"/>
          <w:szCs w:val="24"/>
        </w:rPr>
        <w:t xml:space="preserve"> The analysis used the same molecular-mechanics parameters as the production simulations</w:t>
      </w:r>
      <w:r>
        <w:rPr>
          <w:rFonts w:ascii="Times New Roman" w:hAnsi="Times New Roman" w:cs="Times New Roman"/>
          <w:szCs w:val="24"/>
        </w:rPr>
        <w:t>. We</w:t>
      </w:r>
      <w:r w:rsidRPr="00405EDD">
        <w:rPr>
          <w:rFonts w:ascii="Times New Roman" w:hAnsi="Times New Roman" w:cs="Times New Roman"/>
          <w:szCs w:val="24"/>
        </w:rPr>
        <w:t xml:space="preserve"> evaluated complex, receptor, and ligand energies separately, and computed binding components as</w:t>
      </w:r>
      <w:r>
        <w:rPr>
          <w:rFonts w:ascii="Times New Roman" w:hAnsi="Times New Roman" w:cs="Times New Roman"/>
          <w:szCs w:val="24"/>
        </w:rPr>
        <w:t xml:space="preserve"> ∆G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complex</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receptor</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ligand</w:t>
      </w:r>
      <w:proofErr w:type="spellEnd"/>
      <w:r w:rsidRPr="00405EDD">
        <w:rPr>
          <w:rFonts w:ascii="Times New Roman" w:hAnsi="Times New Roman" w:cs="Times New Roman"/>
          <w:szCs w:val="24"/>
        </w:rPr>
        <w:t xml:space="preserve">. Van der Waals and electrostatic molecular-mechanics terms were evaluated separately by selectively zeroing the complementary nonbonded parameters. Polar solvation was computed with the </w:t>
      </w:r>
      <w:proofErr w:type="spellStart"/>
      <w:r w:rsidRPr="00405EDD">
        <w:rPr>
          <w:rFonts w:ascii="Times New Roman" w:hAnsi="Times New Roman" w:cs="Times New Roman"/>
          <w:szCs w:val="24"/>
        </w:rPr>
        <w:t>Onufriev</w:t>
      </w:r>
      <w:proofErr w:type="spellEnd"/>
      <w:r w:rsidRPr="00405EDD">
        <w:rPr>
          <w:rFonts w:ascii="Times New Roman" w:hAnsi="Times New Roman" w:cs="Times New Roman"/>
          <w:szCs w:val="24"/>
        </w:rPr>
        <w:t>-Bashford-Case generalized Born model,</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Pr>
          <w:rFonts w:ascii="Cambria Math" w:hAnsi="Cambria Math" w:cs="Cambria Math"/>
          <w:szCs w:val="24"/>
        </w:rPr>
        <w:instrText>∼</w:instrText>
      </w:r>
      <w:r>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46</w:t>
      </w:r>
      <w:r>
        <w:rPr>
          <w:rFonts w:ascii="Times New Roman" w:hAnsi="Times New Roman" w:cs="Times New Roman"/>
          <w:szCs w:val="24"/>
        </w:rPr>
        <w:fldChar w:fldCharType="end"/>
      </w:r>
      <w:r w:rsidRPr="00405EDD">
        <w:rPr>
          <w:rFonts w:ascii="Times New Roman" w:hAnsi="Times New Roman" w:cs="Times New Roman"/>
          <w:szCs w:val="24"/>
        </w:rPr>
        <w:t xml:space="preserve"> and the nonpolar surface-area term was computed from the GBSA surface-area contribution. Hydrogen atoms were locally relaxed before energy evaluation while non-hydrogen atoms were restrained to their MD coordinates. The main manuscript reports replicate means from the final 20 saved frames of each trajectory, corresponding to approximately the final 10 ns. WT-referenced shifts were calculated replicate-wise as</w:t>
      </w:r>
      <w:r w:rsidR="009C1E5B">
        <w:rPr>
          <w:rFonts w:ascii="Times New Roman" w:hAnsi="Times New Roman" w:cs="Times New Roman"/>
          <w:szCs w:val="24"/>
        </w:rPr>
        <w:t xml:space="preserve"> ∆∆G</w:t>
      </w:r>
      <w:r w:rsidRPr="00405EDD">
        <w:rPr>
          <w:rFonts w:ascii="Times New Roman" w:hAnsi="Times New Roman" w:cs="Times New Roman"/>
          <w:szCs w:val="24"/>
        </w:rPr>
        <w:t xml:space="preserve"> </w:t>
      </w:r>
      <w:r w:rsidR="009C1E5B">
        <w:rPr>
          <w:rFonts w:ascii="Times New Roman" w:hAnsi="Times New Roman" w:cs="Times New Roman"/>
          <w:szCs w:val="24"/>
        </w:rPr>
        <w:t>= ∆</w:t>
      </w:r>
      <w:proofErr w:type="spellStart"/>
      <w:r w:rsidR="009C1E5B">
        <w:rPr>
          <w:rFonts w:ascii="Times New Roman" w:hAnsi="Times New Roman" w:cs="Times New Roman"/>
          <w:szCs w:val="24"/>
        </w:rPr>
        <w:t>G</w:t>
      </w:r>
      <w:r w:rsidR="009C1E5B">
        <w:rPr>
          <w:rFonts w:ascii="Times New Roman" w:hAnsi="Times New Roman" w:cs="Times New Roman"/>
          <w:szCs w:val="24"/>
          <w:vertAlign w:val="subscript"/>
        </w:rPr>
        <w:t>M</w:t>
      </w:r>
      <w:r w:rsidRPr="009C1E5B">
        <w:rPr>
          <w:rFonts w:ascii="Times New Roman" w:hAnsi="Times New Roman" w:cs="Times New Roman"/>
          <w:szCs w:val="24"/>
          <w:vertAlign w:val="subscript"/>
        </w:rPr>
        <w:t>ut</w:t>
      </w:r>
      <w:proofErr w:type="spellEnd"/>
      <w:r w:rsidRPr="00405EDD">
        <w:rPr>
          <w:rFonts w:ascii="Times New Roman" w:hAnsi="Times New Roman" w:cs="Times New Roman"/>
          <w:szCs w:val="24"/>
        </w:rPr>
        <w:t xml:space="preserve"> </w:t>
      </w:r>
      <w:r w:rsidR="009C1E5B">
        <w:rPr>
          <w:rFonts w:ascii="Times New Roman" w:hAnsi="Times New Roman" w:cs="Times New Roman"/>
          <w:szCs w:val="24"/>
        </w:rPr>
        <w:t>-</w:t>
      </w:r>
      <w:r w:rsidRPr="00405EDD">
        <w:rPr>
          <w:rFonts w:ascii="Times New Roman" w:hAnsi="Times New Roman" w:cs="Times New Roman"/>
          <w:szCs w:val="24"/>
        </w:rPr>
        <w:t xml:space="preserve"> </w:t>
      </w:r>
      <w:r w:rsidR="009C1E5B">
        <w:rPr>
          <w:rFonts w:ascii="Times New Roman" w:hAnsi="Times New Roman" w:cs="Times New Roman"/>
          <w:szCs w:val="24"/>
        </w:rPr>
        <w:t>∆G</w:t>
      </w:r>
      <w:r w:rsidRPr="009C1E5B">
        <w:rPr>
          <w:rFonts w:ascii="Times New Roman" w:hAnsi="Times New Roman" w:cs="Times New Roman"/>
          <w:szCs w:val="24"/>
          <w:vertAlign w:val="subscript"/>
        </w:rPr>
        <w:t>WT</w:t>
      </w:r>
      <w:r w:rsidRPr="00405EDD">
        <w:rPr>
          <w:rFonts w:ascii="Times New Roman" w:hAnsi="Times New Roman" w:cs="Times New Roman"/>
          <w:szCs w:val="24"/>
        </w:rPr>
        <w:t xml:space="preserve"> for total MM/GBSA energy and for van der Waals, electrostatic, GB polar-solvation, and nonpolar surface-area components. Positive ΔΔG values were interpreted as relative destabilization of the bound RT-DOR complex.</w:t>
      </w:r>
    </w:p>
    <w:p w14:paraId="0AB1EB59" w14:textId="59F87020" w:rsidR="00F17BA1" w:rsidRPr="00405EDD" w:rsidRDefault="00F17BA1" w:rsidP="00F17BA1">
      <w:pPr>
        <w:rPr>
          <w:rFonts w:ascii="Times New Roman" w:hAnsi="Times New Roman" w:cs="Times New Roman"/>
          <w:b/>
          <w:bCs/>
          <w:szCs w:val="24"/>
          <w:u w:val="single"/>
        </w:rPr>
      </w:pPr>
      <w:r w:rsidRPr="00F17BA1">
        <w:rPr>
          <w:rFonts w:ascii="Times New Roman" w:hAnsi="Times New Roman" w:cs="Times New Roman"/>
          <w:b/>
          <w:bCs/>
          <w:szCs w:val="24"/>
          <w:u w:val="single"/>
        </w:rPr>
        <w:t>Contact occupancy analysis</w:t>
      </w:r>
    </w:p>
    <w:p w14:paraId="2A65C43A" w14:textId="4413E681" w:rsidR="00F17BA1" w:rsidRDefault="00F17BA1" w:rsidP="009977AB">
      <w:pPr>
        <w:pStyle w:val="NormalWeb"/>
        <w:spacing w:before="0" w:beforeAutospacing="0" w:after="240" w:afterAutospacing="0"/>
      </w:pPr>
      <w:r>
        <w:t>Residue-level DOR contact occupancy was quantified from the 100 ns production trajectories using a 4.0 Å heavy-atom distance cutoff. A residue was considered to contact DOR in a frame if any non-hydrogen atom in that residue was within 4.0 Å of any DOR non-hydrogen atom. Occupancy was defined as the fraction of analyzed frames satisfying this criterion. Contact occupancy was computed per replicate and then averaged by genotype. The WT reference contact set comprised all residues that contacted DOR at least once in any WT trajectory, grouped by the NNRTI-binding-pocket regions shown in Figure 1. For WT-referenced contact maps, each mutant genotype occupancy was subtracted from the WT mean occupancy for the same residue. Highlighted contact Δoccupancy values were summarized as replicate means with Student-t 95% confidence intervals (n = 3) and compared to WT with Welch’s t-test. A trajectory-label permutation null (10,000 shuffles) provided a multiple-comparison-aware global threshold for the panel-wide occupancy screen. Contacts were classified as supported (global null and Welch), mixed (exactly one), or descriptive only (neither).</w:t>
      </w:r>
      <w:r/>
    </w:p>
    <w:p w14:paraId="061C1F9D" w14:textId="020E15DD" w:rsidR="00405EDD" w:rsidRDefault="00F17BA1" w:rsidP="00D27076">
      <w:pPr>
        <w:rPr>
          <w:rFonts w:ascii="Times New Roman" w:hAnsi="Times New Roman" w:cs="Times New Roman"/>
          <w:szCs w:val="24"/>
        </w:rPr>
      </w:pPr>
      <w:r w:rsidRPr="00F17BA1">
        <w:rPr>
          <w:rFonts w:ascii="Times New Roman" w:hAnsi="Times New Roman" w:cs="Times New Roman"/>
          <w:b/>
          <w:bCs/>
          <w:szCs w:val="24"/>
          <w:u w:val="single"/>
        </w:rPr>
        <w:t>Permutation null analysis of occupancy shifts</w:t>
      </w:r>
    </w:p>
    <w:p w14:paraId="5EF7354E" w14:textId="6439A51F" w:rsidR="00405EDD"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estimate the magnitude of occupancy shifts expected by chance under the same screening procedure, an empirical null distribution was generated by trajectory-level label permutation. Mutation labels were permuted across replicate trajectories 10,000 times using a fixed random seed. For each permutation, replicate-level occupancies were aggregated by the permuted genotype labels, WT-referenced shifts were recalculated across the 27 screened residues, and the maximum absolute occupancy shift across the residue-genotype matrix was recorded. Observed reporter-coordinate shifts were compared with the 90th percentile of this global maximum null distribution.</w:t>
      </w:r>
    </w:p>
    <w:p w14:paraId="5EF7354E" w14:textId="6439A51F" w:rsidR="00405EDD" w:rsidRDefault="00F17BA1" w:rsidP="009977AB">
      <w:pPr>
        <w:spacing w:after="240"/>
        <w:rPr>
          <w:rFonts w:ascii="Times New Roman" w:hAnsi="Times New Roman" w:cs="Times New Roman"/>
          <w:szCs w:val="24"/>
        </w:rPr>
      </w:pPr>
      <w:r>
        <w:t>Nonequilibrium FEP (pmx/GROMACS)</w:t>
      </w:r>
    </w:p>
    <w:p w14:paraId="5EF7354E" w14:textId="6439A51F" w:rsidR="00405EDD" w:rsidRDefault="00F17BA1" w:rsidP="009977AB">
      <w:pPr>
        <w:spacing w:after="240"/>
        <w:rPr>
          <w:rFonts w:ascii="Times New Roman" w:hAnsi="Times New Roman" w:cs="Times New Roman"/>
          <w:szCs w:val="24"/>
        </w:rPr>
      </w:pPr>
      <w:r>
        <w:t>Relative binding free energies were estimated with pmx dual-topology nonequilibrium switching on GROMACS. For each leg, hybrid topologies morph WT→mutant in the DOR-bound (holo) and unbound (apo) states. After energy minimization and 5 ns endpoint equilibration, 100 snapshots were extracted and switched for 500 ps in forward and reverse directions. Free-energy changes were estimated with Crooks Gaussian intersection, BAR, and Jarzynski averaging; ΔΔG_bind = ΔG_holo − ΔG_apo (sums of additive legs for compounds). Three independent replicates per genotype were combined; confidence is reported as replicate SEM and estimator agreement, not experimental match.</w:t>
      </w:r>
    </w:p>
    <w:p w14:paraId="5EF7354E" w14:textId="6439A51F" w:rsidR="00405EDD" w:rsidRDefault="00F17BA1" w:rsidP="009977AB">
      <w:pPr>
        <w:spacing w:after="240"/>
        <w:rPr>
          <w:rFonts w:ascii="Times New Roman" w:hAnsi="Times New Roman" w:cs="Times New Roman"/>
          <w:szCs w:val="24"/>
        </w:rPr>
      </w:pPr>
      <w:r>
        <w:t>NNIBP descriptor suite</w:t>
      </w:r>
    </w:p>
    <w:p w14:paraId="5EF7354E" w14:textId="6439A51F" w:rsidR="00405EDD" w:rsidRDefault="00F17BA1" w:rsidP="009977AB">
      <w:pPr>
        <w:spacing w:after="240"/>
        <w:rPr>
          <w:rFonts w:ascii="Times New Roman" w:hAnsi="Times New Roman" w:cs="Times New Roman"/>
          <w:szCs w:val="24"/>
        </w:rPr>
      </w:pPr>
      <w:r>
        <w:t>Additional pocket descriptors (hydrogen bonds, ligand RMSF, pose PCA, COM spherical maps, pocket volume, NNIBP PCA/DCCM, contact networks) were computed with MDAnalysis and mdtraj on PBC-imaged trajectories after NNIBP Cα superposition. Pose PCA centered each frame on the ligand COM after pocket alignment so that principal components reflect orientation rather than translation.</w:t>
      </w:r>
    </w:p>
    <w:p w14:paraId="49F3F042" w14:textId="4EF6C501" w:rsidR="00763B1D" w:rsidRPr="00281AB1"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12515258" w14:textId="77777777" w:rsidR="00405EDD" w:rsidRPr="00405EDD" w:rsidRDefault="00763B1D" w:rsidP="00DD7F74">
      <w:pPr>
        <w:pStyle w:val="Bibliography"/>
        <w:spacing w:line="240" w:lineRule="auto"/>
        <w:rPr>
          <w:rFonts w:eastAsiaTheme="minorHAnsi"/>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405EDD" w:rsidRPr="00405EDD">
        <w:rPr>
          <w:rFonts w:eastAsiaTheme="minorHAnsi"/>
        </w:rPr>
        <w:t>1.</w:t>
      </w:r>
      <w:r w:rsidR="00405EDD" w:rsidRPr="00405EDD">
        <w:rPr>
          <w:rFonts w:eastAsiaTheme="minorHAnsi"/>
        </w:rPr>
        <w:tab/>
        <w:t xml:space="preserve">Kohlstaedt, L. A., Wang, J., Friedman, J. M., Rice, P. A. &amp; Steitz, T. A. Crystal Structure at 3.5 Å Resolution of HIV-1 Reverse Transcriptase Complexed with an Inhibitor. </w:t>
      </w:r>
      <w:r w:rsidR="00405EDD" w:rsidRPr="00405EDD">
        <w:rPr>
          <w:rFonts w:eastAsiaTheme="minorHAnsi"/>
          <w:i/>
          <w:iCs/>
        </w:rPr>
        <w:t>Science</w:t>
      </w:r>
      <w:r w:rsidR="00405EDD" w:rsidRPr="00405EDD">
        <w:rPr>
          <w:rFonts w:eastAsiaTheme="minorHAnsi"/>
        </w:rPr>
        <w:t xml:space="preserve"> </w:t>
      </w:r>
      <w:r w:rsidR="00405EDD" w:rsidRPr="00405EDD">
        <w:rPr>
          <w:rFonts w:eastAsiaTheme="minorHAnsi"/>
          <w:b/>
          <w:bCs/>
        </w:rPr>
        <w:t>256</w:t>
      </w:r>
      <w:r w:rsidR="00405EDD" w:rsidRPr="00405EDD">
        <w:rPr>
          <w:rFonts w:eastAsiaTheme="minorHAnsi"/>
        </w:rPr>
        <w:t>, 1783–1790 (1992).</w:t>
      </w:r>
    </w:p>
    <w:p w14:paraId="54D0C426" w14:textId="77777777" w:rsidR="00405EDD" w:rsidRPr="00405EDD" w:rsidRDefault="00405EDD" w:rsidP="00DD7F74">
      <w:pPr>
        <w:pStyle w:val="Bibliography"/>
        <w:spacing w:line="240" w:lineRule="auto"/>
        <w:rPr>
          <w:rFonts w:eastAsiaTheme="minorHAnsi"/>
        </w:rPr>
      </w:pPr>
      <w:r w:rsidRPr="00405EDD">
        <w:rPr>
          <w:rFonts w:eastAsiaTheme="minorHAnsi"/>
        </w:rPr>
        <w:t>2.</w:t>
      </w:r>
      <w:r w:rsidRPr="00405EDD">
        <w:rPr>
          <w:rFonts w:eastAsiaTheme="minorHAnsi"/>
        </w:rPr>
        <w:tab/>
        <w:t xml:space="preserve">Spence, R. A., Kati, W. M., Anderson, K. S. &amp; Johnson, K. A. Mechanism of Inhibition of HIV-1 Reverse Transcriptase by Nonnucleoside Inhibitors. </w:t>
      </w:r>
      <w:r w:rsidRPr="00405EDD">
        <w:rPr>
          <w:rFonts w:eastAsiaTheme="minorHAnsi"/>
          <w:i/>
          <w:iCs/>
        </w:rPr>
        <w:t>Science</w:t>
      </w:r>
      <w:r w:rsidRPr="00405EDD">
        <w:rPr>
          <w:rFonts w:eastAsiaTheme="minorHAnsi"/>
        </w:rPr>
        <w:t xml:space="preserve"> </w:t>
      </w:r>
      <w:r w:rsidRPr="00405EDD">
        <w:rPr>
          <w:rFonts w:eastAsiaTheme="minorHAnsi"/>
          <w:b/>
          <w:bCs/>
        </w:rPr>
        <w:t>267</w:t>
      </w:r>
      <w:r w:rsidRPr="00405EDD">
        <w:rPr>
          <w:rFonts w:eastAsiaTheme="minorHAnsi"/>
        </w:rPr>
        <w:t>, 988–993 (1995).</w:t>
      </w:r>
    </w:p>
    <w:p w14:paraId="6801B8E6" w14:textId="77777777" w:rsidR="00405EDD" w:rsidRPr="00405EDD" w:rsidRDefault="00405EDD" w:rsidP="00DD7F74">
      <w:pPr>
        <w:pStyle w:val="Bibliography"/>
        <w:spacing w:line="240" w:lineRule="auto"/>
        <w:rPr>
          <w:rFonts w:eastAsiaTheme="minorHAnsi"/>
        </w:rPr>
      </w:pPr>
      <w:r w:rsidRPr="00405EDD">
        <w:rPr>
          <w:rFonts w:eastAsiaTheme="minorHAnsi"/>
        </w:rPr>
        <w:t>3.</w:t>
      </w:r>
      <w:r w:rsidRPr="00405EDD">
        <w:rPr>
          <w:rFonts w:eastAsiaTheme="minorHAnsi"/>
        </w:rPr>
        <w:tab/>
        <w:t xml:space="preserve">Rodgers, D. W. </w:t>
      </w:r>
      <w:r w:rsidRPr="00405EDD">
        <w:rPr>
          <w:rFonts w:eastAsiaTheme="minorHAnsi"/>
          <w:i/>
          <w:iCs/>
        </w:rPr>
        <w:t>et al.</w:t>
      </w:r>
      <w:r w:rsidRPr="00405EDD">
        <w:rPr>
          <w:rFonts w:eastAsiaTheme="minorHAnsi"/>
        </w:rPr>
        <w:t xml:space="preserve"> The structure of unliganded reverse transcriptase from the human immunodeficiency virus type 1.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92</w:t>
      </w:r>
      <w:r w:rsidRPr="00405EDD">
        <w:rPr>
          <w:rFonts w:eastAsiaTheme="minorHAnsi"/>
        </w:rPr>
        <w:t>, 1222–1226 (1995).</w:t>
      </w:r>
    </w:p>
    <w:p w14:paraId="251F3A41" w14:textId="77777777" w:rsidR="00405EDD" w:rsidRPr="00405EDD" w:rsidRDefault="00405EDD" w:rsidP="00DD7F74">
      <w:pPr>
        <w:pStyle w:val="Bibliography"/>
        <w:spacing w:line="240" w:lineRule="auto"/>
        <w:rPr>
          <w:rFonts w:eastAsiaTheme="minorHAnsi"/>
        </w:rPr>
      </w:pPr>
      <w:r w:rsidRPr="00405EDD">
        <w:rPr>
          <w:rFonts w:eastAsiaTheme="minorHAnsi"/>
        </w:rPr>
        <w:t>4.</w:t>
      </w:r>
      <w:r w:rsidRPr="00405EDD">
        <w:rPr>
          <w:rFonts w:eastAsiaTheme="minorHAnsi"/>
        </w:rPr>
        <w:tab/>
        <w:t xml:space="preserve">Hsiou, Y. </w:t>
      </w:r>
      <w:r w:rsidRPr="00405EDD">
        <w:rPr>
          <w:rFonts w:eastAsiaTheme="minorHAnsi"/>
          <w:i/>
          <w:iCs/>
        </w:rPr>
        <w:t>et al.</w:t>
      </w:r>
      <w:r w:rsidRPr="00405EDD">
        <w:rPr>
          <w:rFonts w:eastAsiaTheme="minorHAnsi"/>
        </w:rPr>
        <w:t xml:space="preserve"> Structure of unliganded HIV-1 reverse transcriptase at 2.7 å resolution: implications of conformational changes for polymerization and inhibition mechanisms. </w:t>
      </w:r>
      <w:r w:rsidRPr="00405EDD">
        <w:rPr>
          <w:rFonts w:eastAsiaTheme="minorHAnsi"/>
          <w:i/>
          <w:iCs/>
        </w:rPr>
        <w:t>Structure</w:t>
      </w:r>
      <w:r w:rsidRPr="00405EDD">
        <w:rPr>
          <w:rFonts w:eastAsiaTheme="minorHAnsi"/>
        </w:rPr>
        <w:t xml:space="preserve"> </w:t>
      </w:r>
      <w:r w:rsidRPr="00405EDD">
        <w:rPr>
          <w:rFonts w:eastAsiaTheme="minorHAnsi"/>
          <w:b/>
          <w:bCs/>
        </w:rPr>
        <w:t>4</w:t>
      </w:r>
      <w:r w:rsidRPr="00405EDD">
        <w:rPr>
          <w:rFonts w:eastAsiaTheme="minorHAnsi"/>
        </w:rPr>
        <w:t>, 853–860 (1996).</w:t>
      </w:r>
    </w:p>
    <w:p w14:paraId="3A0A9C44"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5.</w:t>
      </w:r>
      <w:r w:rsidRPr="00405EDD">
        <w:rPr>
          <w:rFonts w:eastAsiaTheme="minorHAnsi"/>
        </w:rPr>
        <w:tab/>
        <w:t xml:space="preserve">Arts, E. J. &amp; Hazuda, D. J. HIV-1 Antiretroviral Drug Therapy. </w:t>
      </w:r>
      <w:r w:rsidRPr="00405EDD">
        <w:rPr>
          <w:rFonts w:eastAsiaTheme="minorHAnsi"/>
          <w:i/>
          <w:iCs/>
        </w:rPr>
        <w:t>Cold Spring Harb Perspect Med</w:t>
      </w:r>
      <w:r w:rsidRPr="00405EDD">
        <w:rPr>
          <w:rFonts w:eastAsiaTheme="minorHAnsi"/>
        </w:rPr>
        <w:t xml:space="preserve"> </w:t>
      </w:r>
      <w:r w:rsidRPr="00405EDD">
        <w:rPr>
          <w:rFonts w:eastAsiaTheme="minorHAnsi"/>
          <w:b/>
          <w:bCs/>
        </w:rPr>
        <w:t>2</w:t>
      </w:r>
      <w:r w:rsidRPr="00405EDD">
        <w:rPr>
          <w:rFonts w:eastAsiaTheme="minorHAnsi"/>
        </w:rPr>
        <w:t>, a007161 (2012).</w:t>
      </w:r>
    </w:p>
    <w:p w14:paraId="4419AF93" w14:textId="77777777" w:rsidR="00405EDD" w:rsidRPr="00405EDD" w:rsidRDefault="00405EDD" w:rsidP="00DD7F74">
      <w:pPr>
        <w:pStyle w:val="Bibliography"/>
        <w:spacing w:line="240" w:lineRule="auto"/>
        <w:rPr>
          <w:rFonts w:eastAsiaTheme="minorHAnsi"/>
        </w:rPr>
      </w:pPr>
      <w:r w:rsidRPr="00405EDD">
        <w:rPr>
          <w:rFonts w:eastAsiaTheme="minorHAnsi"/>
        </w:rPr>
        <w:t>6.</w:t>
      </w:r>
      <w:r w:rsidRPr="00405EDD">
        <w:rPr>
          <w:rFonts w:eastAsiaTheme="minorHAnsi"/>
        </w:rPr>
        <w:tab/>
        <w:t xml:space="preserve">Cilento, M. E., Kirby, K. A. &amp; Sarafianos, S. G. Avoiding Drug Resistance in HIV Reverse Transcriptase. </w:t>
      </w:r>
      <w:r w:rsidRPr="00405EDD">
        <w:rPr>
          <w:rFonts w:eastAsiaTheme="minorHAnsi"/>
          <w:i/>
          <w:iCs/>
        </w:rPr>
        <w:t>Chem. Rev.</w:t>
      </w:r>
      <w:r w:rsidRPr="00405EDD">
        <w:rPr>
          <w:rFonts w:eastAsiaTheme="minorHAnsi"/>
        </w:rPr>
        <w:t xml:space="preserve"> </w:t>
      </w:r>
      <w:r w:rsidRPr="00405EDD">
        <w:rPr>
          <w:rFonts w:eastAsiaTheme="minorHAnsi"/>
          <w:b/>
          <w:bCs/>
        </w:rPr>
        <w:t>121</w:t>
      </w:r>
      <w:r w:rsidRPr="00405EDD">
        <w:rPr>
          <w:rFonts w:eastAsiaTheme="minorHAnsi"/>
        </w:rPr>
        <w:t>, 3271–3296 (2021).</w:t>
      </w:r>
    </w:p>
    <w:p w14:paraId="28717032" w14:textId="77777777" w:rsidR="00405EDD" w:rsidRPr="00405EDD" w:rsidRDefault="00405EDD" w:rsidP="00DD7F74">
      <w:pPr>
        <w:pStyle w:val="Bibliography"/>
        <w:spacing w:line="240" w:lineRule="auto"/>
        <w:rPr>
          <w:rFonts w:eastAsiaTheme="minorHAnsi"/>
        </w:rPr>
      </w:pPr>
      <w:r w:rsidRPr="00405EDD">
        <w:rPr>
          <w:rFonts w:eastAsiaTheme="minorHAnsi"/>
        </w:rPr>
        <w:t>7.</w:t>
      </w:r>
      <w:r w:rsidRPr="00405EDD">
        <w:rPr>
          <w:rFonts w:eastAsiaTheme="minorHAnsi"/>
        </w:rPr>
        <w:tab/>
        <w:t xml:space="preserve">Tantillo, C. </w:t>
      </w:r>
      <w:r w:rsidRPr="00405EDD">
        <w:rPr>
          <w:rFonts w:eastAsiaTheme="minorHAnsi"/>
          <w:i/>
          <w:iCs/>
        </w:rPr>
        <w:t>et al.</w:t>
      </w:r>
      <w:r w:rsidRPr="00405EDD">
        <w:rPr>
          <w:rFonts w:eastAsiaTheme="minorHAnsi"/>
        </w:rPr>
        <w:t xml:space="preserve"> Locations of Anti-AIDS Drug Binding Sites and Resistance Mutations in the Three-dimensional Structure of HIV-1 Reverse Transcriptase: Implications for Mechanisms of Drug Inhibition and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243</w:t>
      </w:r>
      <w:r w:rsidRPr="00405EDD">
        <w:rPr>
          <w:rFonts w:eastAsiaTheme="minorHAnsi"/>
        </w:rPr>
        <w:t>, 369–387 (1994).</w:t>
      </w:r>
    </w:p>
    <w:p w14:paraId="22EA072E" w14:textId="77777777" w:rsidR="00405EDD" w:rsidRPr="00405EDD" w:rsidRDefault="00405EDD" w:rsidP="00DD7F74">
      <w:pPr>
        <w:pStyle w:val="Bibliography"/>
        <w:spacing w:line="240" w:lineRule="auto"/>
        <w:rPr>
          <w:rFonts w:eastAsiaTheme="minorHAnsi"/>
        </w:rPr>
      </w:pPr>
      <w:r w:rsidRPr="00405EDD">
        <w:rPr>
          <w:rFonts w:eastAsiaTheme="minorHAnsi"/>
        </w:rPr>
        <w:t>8.</w:t>
      </w:r>
      <w:r w:rsidRPr="00405EDD">
        <w:rPr>
          <w:rFonts w:eastAsiaTheme="minorHAnsi"/>
        </w:rPr>
        <w:tab/>
        <w:t xml:space="preserve">Schauer, G. D., Huber, K. D., Leuba, S. H. &amp; Sluis-Cremer, N. Mechanism of allosteric inhibition of HIV-1 reverse transcriptase revealed by single-molecule and ensemble fluorescence. </w:t>
      </w:r>
      <w:r w:rsidRPr="00405EDD">
        <w:rPr>
          <w:rFonts w:eastAsiaTheme="minorHAnsi"/>
          <w:i/>
          <w:iCs/>
        </w:rPr>
        <w:t>Nucleic Acids Res</w:t>
      </w:r>
      <w:r w:rsidRPr="00405EDD">
        <w:rPr>
          <w:rFonts w:eastAsiaTheme="minorHAnsi"/>
        </w:rPr>
        <w:t xml:space="preserve"> </w:t>
      </w:r>
      <w:r w:rsidRPr="00405EDD">
        <w:rPr>
          <w:rFonts w:eastAsiaTheme="minorHAnsi"/>
          <w:b/>
          <w:bCs/>
        </w:rPr>
        <w:t>42</w:t>
      </w:r>
      <w:r w:rsidRPr="00405EDD">
        <w:rPr>
          <w:rFonts w:eastAsiaTheme="minorHAnsi"/>
        </w:rPr>
        <w:t>, 11687–11696 (2014).</w:t>
      </w:r>
    </w:p>
    <w:p w14:paraId="07224176" w14:textId="77777777" w:rsidR="00405EDD" w:rsidRPr="00405EDD" w:rsidRDefault="00405EDD" w:rsidP="00DD7F74">
      <w:pPr>
        <w:pStyle w:val="Bibliography"/>
        <w:spacing w:line="240" w:lineRule="auto"/>
        <w:rPr>
          <w:rFonts w:eastAsiaTheme="minorHAnsi"/>
        </w:rPr>
      </w:pPr>
      <w:r w:rsidRPr="00405EDD">
        <w:rPr>
          <w:rFonts w:eastAsiaTheme="minorHAnsi"/>
        </w:rPr>
        <w:t>9.</w:t>
      </w:r>
      <w:r w:rsidRPr="00405EDD">
        <w:rPr>
          <w:rFonts w:eastAsiaTheme="minorHAnsi"/>
        </w:rPr>
        <w:tab/>
        <w:t xml:space="preserve">Hsiou, Y. </w:t>
      </w:r>
      <w:r w:rsidRPr="00405EDD">
        <w:rPr>
          <w:rFonts w:eastAsiaTheme="minorHAnsi"/>
          <w:i/>
          <w:iCs/>
        </w:rPr>
        <w:t>et al.</w:t>
      </w:r>
      <w:r w:rsidRPr="00405EDD">
        <w:rPr>
          <w:rFonts w:eastAsiaTheme="minorHAnsi"/>
        </w:rPr>
        <w:t xml:space="preserve"> The Lys103Asn mutation of HIV-1 RT: a novel mechanism of drug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309</w:t>
      </w:r>
      <w:r w:rsidRPr="00405EDD">
        <w:rPr>
          <w:rFonts w:eastAsiaTheme="minorHAnsi"/>
        </w:rPr>
        <w:t>, 437–445 (2001).</w:t>
      </w:r>
    </w:p>
    <w:p w14:paraId="483605DD" w14:textId="77777777" w:rsidR="00405EDD" w:rsidRPr="00405EDD" w:rsidRDefault="00405EDD" w:rsidP="00DD7F74">
      <w:pPr>
        <w:pStyle w:val="Bibliography"/>
        <w:spacing w:line="240" w:lineRule="auto"/>
        <w:rPr>
          <w:rFonts w:eastAsiaTheme="minorHAnsi"/>
        </w:rPr>
      </w:pPr>
      <w:r w:rsidRPr="00405EDD">
        <w:rPr>
          <w:rFonts w:eastAsiaTheme="minorHAnsi"/>
        </w:rPr>
        <w:t>10.</w:t>
      </w:r>
      <w:r w:rsidRPr="00405EDD">
        <w:rPr>
          <w:rFonts w:eastAsiaTheme="minorHAnsi"/>
        </w:rPr>
        <w:tab/>
        <w:t xml:space="preserve">Lai, M.-T. </w:t>
      </w:r>
      <w:r w:rsidRPr="00405EDD">
        <w:rPr>
          <w:rFonts w:eastAsiaTheme="minorHAnsi"/>
          <w:i/>
          <w:iCs/>
        </w:rPr>
        <w:t>et al.</w:t>
      </w:r>
      <w:r w:rsidRPr="00405EDD">
        <w:rPr>
          <w:rFonts w:eastAsiaTheme="minorHAnsi"/>
        </w:rPr>
        <w:t xml:space="preserve"> Mechanistic Study of Common Non-Nucleoside Reverse Transcriptase Inhibitor-Resistant Mutations with K103N and Y181C Substitutions. </w:t>
      </w:r>
      <w:r w:rsidRPr="00405EDD">
        <w:rPr>
          <w:rFonts w:eastAsiaTheme="minorHAnsi"/>
          <w:i/>
          <w:iCs/>
        </w:rPr>
        <w:t>Viruses</w:t>
      </w:r>
      <w:r w:rsidRPr="00405EDD">
        <w:rPr>
          <w:rFonts w:eastAsiaTheme="minorHAnsi"/>
        </w:rPr>
        <w:t xml:space="preserve"> </w:t>
      </w:r>
      <w:r w:rsidRPr="00405EDD">
        <w:rPr>
          <w:rFonts w:eastAsiaTheme="minorHAnsi"/>
          <w:b/>
          <w:bCs/>
        </w:rPr>
        <w:t>8</w:t>
      </w:r>
      <w:r w:rsidRPr="00405EDD">
        <w:rPr>
          <w:rFonts w:eastAsiaTheme="minorHAnsi"/>
        </w:rPr>
        <w:t>, 263 (2016).</w:t>
      </w:r>
    </w:p>
    <w:p w14:paraId="5B8BB963" w14:textId="77777777" w:rsidR="00405EDD" w:rsidRPr="00405EDD" w:rsidRDefault="00405EDD" w:rsidP="00DD7F74">
      <w:pPr>
        <w:pStyle w:val="Bibliography"/>
        <w:spacing w:line="240" w:lineRule="auto"/>
        <w:rPr>
          <w:rFonts w:eastAsiaTheme="minorHAnsi"/>
        </w:rPr>
      </w:pPr>
      <w:r w:rsidRPr="00405EDD">
        <w:rPr>
          <w:rFonts w:eastAsiaTheme="minorHAnsi"/>
        </w:rPr>
        <w:t>11.</w:t>
      </w:r>
      <w:r w:rsidRPr="00405EDD">
        <w:rPr>
          <w:rFonts w:eastAsiaTheme="minorHAnsi"/>
        </w:rPr>
        <w:tab/>
        <w:t xml:space="preserve">Ren, J. </w:t>
      </w:r>
      <w:r w:rsidRPr="00405EDD">
        <w:rPr>
          <w:rFonts w:eastAsiaTheme="minorHAnsi"/>
          <w:i/>
          <w:iCs/>
        </w:rPr>
        <w:t>et al.</w:t>
      </w:r>
      <w:r w:rsidRPr="00405EDD">
        <w:rPr>
          <w:rFonts w:eastAsiaTheme="minorHAnsi"/>
        </w:rPr>
        <w:t xml:space="preserve"> Structural mechanisms of drug resistance for mutations at codons 181 and 188 in HIV-1 reverse transcriptase and the improved resilience of second generation non-nucleoside inhibitors1. </w:t>
      </w:r>
      <w:r w:rsidRPr="00405EDD">
        <w:rPr>
          <w:rFonts w:eastAsiaTheme="minorHAnsi"/>
          <w:i/>
          <w:iCs/>
        </w:rPr>
        <w:t>Journal of Molecular Biology</w:t>
      </w:r>
      <w:r w:rsidRPr="00405EDD">
        <w:rPr>
          <w:rFonts w:eastAsiaTheme="minorHAnsi"/>
        </w:rPr>
        <w:t xml:space="preserve"> </w:t>
      </w:r>
      <w:r w:rsidRPr="00405EDD">
        <w:rPr>
          <w:rFonts w:eastAsiaTheme="minorHAnsi"/>
          <w:b/>
          <w:bCs/>
        </w:rPr>
        <w:t>312</w:t>
      </w:r>
      <w:r w:rsidRPr="00405EDD">
        <w:rPr>
          <w:rFonts w:eastAsiaTheme="minorHAnsi"/>
        </w:rPr>
        <w:t>, 795–805 (2001).</w:t>
      </w:r>
    </w:p>
    <w:p w14:paraId="1A53FD75" w14:textId="77777777" w:rsidR="00405EDD" w:rsidRPr="00405EDD" w:rsidRDefault="00405EDD" w:rsidP="00DD7F74">
      <w:pPr>
        <w:pStyle w:val="Bibliography"/>
        <w:spacing w:line="240" w:lineRule="auto"/>
        <w:rPr>
          <w:rFonts w:eastAsiaTheme="minorHAnsi"/>
        </w:rPr>
      </w:pPr>
      <w:r w:rsidRPr="00405EDD">
        <w:rPr>
          <w:rFonts w:eastAsiaTheme="minorHAnsi"/>
        </w:rPr>
        <w:t>12.</w:t>
      </w:r>
      <w:r w:rsidRPr="00405EDD">
        <w:rPr>
          <w:rFonts w:eastAsiaTheme="minorHAnsi"/>
        </w:rPr>
        <w:tab/>
        <w:t xml:space="preserve">Das, K. </w:t>
      </w:r>
      <w:r w:rsidRPr="00405EDD">
        <w:rPr>
          <w:rFonts w:eastAsiaTheme="minorHAnsi"/>
          <w:i/>
          <w:iCs/>
        </w:rPr>
        <w:t>et al.</w:t>
      </w:r>
      <w:r w:rsidRPr="00405EDD">
        <w:rPr>
          <w:rFonts w:eastAsiaTheme="minorHAnsi"/>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405EDD">
        <w:rPr>
          <w:rFonts w:eastAsiaTheme="minorHAnsi"/>
          <w:i/>
          <w:iCs/>
        </w:rPr>
        <w:t>J. Med. Chem.</w:t>
      </w:r>
      <w:r w:rsidRPr="00405EDD">
        <w:rPr>
          <w:rFonts w:eastAsiaTheme="minorHAnsi"/>
        </w:rPr>
        <w:t xml:space="preserve"> </w:t>
      </w:r>
      <w:r w:rsidRPr="00405EDD">
        <w:rPr>
          <w:rFonts w:eastAsiaTheme="minorHAnsi"/>
          <w:b/>
          <w:bCs/>
        </w:rPr>
        <w:t>47</w:t>
      </w:r>
      <w:r w:rsidRPr="00405EDD">
        <w:rPr>
          <w:rFonts w:eastAsiaTheme="minorHAnsi"/>
        </w:rPr>
        <w:t>, 2550–2560 (2004).</w:t>
      </w:r>
    </w:p>
    <w:p w14:paraId="232F39F6" w14:textId="77777777" w:rsidR="00405EDD" w:rsidRPr="00405EDD" w:rsidRDefault="00405EDD" w:rsidP="00DD7F74">
      <w:pPr>
        <w:pStyle w:val="Bibliography"/>
        <w:spacing w:line="240" w:lineRule="auto"/>
        <w:rPr>
          <w:rFonts w:eastAsiaTheme="minorHAnsi"/>
        </w:rPr>
      </w:pPr>
      <w:r w:rsidRPr="00405EDD">
        <w:rPr>
          <w:rFonts w:eastAsiaTheme="minorHAnsi"/>
        </w:rPr>
        <w:t>13.</w:t>
      </w:r>
      <w:r w:rsidRPr="00405EDD">
        <w:rPr>
          <w:rFonts w:eastAsiaTheme="minorHAnsi"/>
        </w:rPr>
        <w:tab/>
        <w:t xml:space="preserve">Das, K. </w:t>
      </w:r>
      <w:r w:rsidRPr="00405EDD">
        <w:rPr>
          <w:rFonts w:eastAsiaTheme="minorHAnsi"/>
          <w:i/>
          <w:iCs/>
        </w:rPr>
        <w:t>et al.</w:t>
      </w:r>
      <w:r w:rsidRPr="00405EDD">
        <w:rPr>
          <w:rFonts w:eastAsiaTheme="minorHAnsi"/>
        </w:rPr>
        <w:t xml:space="preserve"> High-resolution structures of HIV-1 reverse transcriptase/TMC278 complexes: Strategic flexibility explains potency against resistance mutations.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105</w:t>
      </w:r>
      <w:r w:rsidRPr="00405EDD">
        <w:rPr>
          <w:rFonts w:eastAsiaTheme="minorHAnsi"/>
        </w:rPr>
        <w:t>, 1466–1471 (2008).</w:t>
      </w:r>
    </w:p>
    <w:p w14:paraId="65CF5EA4" w14:textId="77777777" w:rsidR="00405EDD" w:rsidRPr="00405EDD" w:rsidRDefault="00405EDD" w:rsidP="00DD7F74">
      <w:pPr>
        <w:pStyle w:val="Bibliography"/>
        <w:spacing w:line="240" w:lineRule="auto"/>
        <w:rPr>
          <w:rFonts w:eastAsiaTheme="minorHAnsi"/>
        </w:rPr>
      </w:pPr>
      <w:r w:rsidRPr="00405EDD">
        <w:rPr>
          <w:rFonts w:eastAsiaTheme="minorHAnsi"/>
        </w:rPr>
        <w:t>14.</w:t>
      </w:r>
      <w:r w:rsidRPr="00405EDD">
        <w:rPr>
          <w:rFonts w:eastAsiaTheme="minorHAnsi"/>
        </w:rPr>
        <w:tab/>
        <w:t xml:space="preserve">Côté, B. </w:t>
      </w:r>
      <w:r w:rsidRPr="00405EDD">
        <w:rPr>
          <w:rFonts w:eastAsiaTheme="minorHAnsi"/>
          <w:i/>
          <w:iCs/>
        </w:rPr>
        <w:t>et al.</w:t>
      </w:r>
      <w:r w:rsidRPr="00405EDD">
        <w:rPr>
          <w:rFonts w:eastAsiaTheme="minorHAnsi"/>
        </w:rPr>
        <w:t xml:space="preserve"> Discovery of MK-1439, an orally bioavailable non-nucleoside reverse transcriptase inhibitor potent against a wide range of resistant mutant HIV viruses. </w:t>
      </w:r>
      <w:r w:rsidRPr="00405EDD">
        <w:rPr>
          <w:rFonts w:eastAsiaTheme="minorHAnsi"/>
          <w:i/>
          <w:iCs/>
        </w:rPr>
        <w:t>Bioorganic &amp; Medicinal Chemistry Letters</w:t>
      </w:r>
      <w:r w:rsidRPr="00405EDD">
        <w:rPr>
          <w:rFonts w:eastAsiaTheme="minorHAnsi"/>
        </w:rPr>
        <w:t xml:space="preserve"> </w:t>
      </w:r>
      <w:r w:rsidRPr="00405EDD">
        <w:rPr>
          <w:rFonts w:eastAsiaTheme="minorHAnsi"/>
          <w:b/>
          <w:bCs/>
        </w:rPr>
        <w:t>24</w:t>
      </w:r>
      <w:r w:rsidRPr="00405EDD">
        <w:rPr>
          <w:rFonts w:eastAsiaTheme="minorHAnsi"/>
        </w:rPr>
        <w:t>, 917–922 (2014).</w:t>
      </w:r>
    </w:p>
    <w:p w14:paraId="5F6EB655" w14:textId="77777777" w:rsidR="00405EDD" w:rsidRPr="00405EDD" w:rsidRDefault="00405EDD" w:rsidP="00DD7F74">
      <w:pPr>
        <w:pStyle w:val="Bibliography"/>
        <w:spacing w:line="240" w:lineRule="auto"/>
        <w:rPr>
          <w:rFonts w:eastAsiaTheme="minorHAnsi"/>
        </w:rPr>
      </w:pPr>
      <w:r w:rsidRPr="00405EDD">
        <w:rPr>
          <w:rFonts w:eastAsiaTheme="minorHAnsi"/>
        </w:rPr>
        <w:t>15.</w:t>
      </w:r>
      <w:r w:rsidRPr="00405EDD">
        <w:rPr>
          <w:rFonts w:eastAsiaTheme="minorHAnsi"/>
        </w:rPr>
        <w:tab/>
        <w:t xml:space="preserve">Hwang, C., Lai, M.-T. &amp; Hazuda, D. Rational Design of Doravirine: From Bench to Patients. </w:t>
      </w:r>
      <w:r w:rsidRPr="00405EDD">
        <w:rPr>
          <w:rFonts w:eastAsiaTheme="minorHAnsi"/>
          <w:i/>
          <w:iCs/>
        </w:rPr>
        <w:t>ACS Infect. Dis.</w:t>
      </w:r>
      <w:r w:rsidRPr="00405EDD">
        <w:rPr>
          <w:rFonts w:eastAsiaTheme="minorHAnsi"/>
        </w:rPr>
        <w:t xml:space="preserve"> </w:t>
      </w:r>
      <w:r w:rsidRPr="00405EDD">
        <w:rPr>
          <w:rFonts w:eastAsiaTheme="minorHAnsi"/>
          <w:b/>
          <w:bCs/>
        </w:rPr>
        <w:t>6</w:t>
      </w:r>
      <w:r w:rsidRPr="00405EDD">
        <w:rPr>
          <w:rFonts w:eastAsiaTheme="minorHAnsi"/>
        </w:rPr>
        <w:t>, 64–73 (2020).</w:t>
      </w:r>
    </w:p>
    <w:p w14:paraId="3555C547" w14:textId="77777777" w:rsidR="00405EDD" w:rsidRPr="00405EDD" w:rsidRDefault="00405EDD" w:rsidP="00DD7F74">
      <w:pPr>
        <w:pStyle w:val="Bibliography"/>
        <w:spacing w:line="240" w:lineRule="auto"/>
        <w:rPr>
          <w:rFonts w:eastAsiaTheme="minorHAnsi"/>
        </w:rPr>
      </w:pPr>
      <w:r w:rsidRPr="00405EDD">
        <w:rPr>
          <w:rFonts w:eastAsiaTheme="minorHAnsi"/>
        </w:rPr>
        <w:t>16.</w:t>
      </w:r>
      <w:r w:rsidRPr="00405EDD">
        <w:rPr>
          <w:rFonts w:eastAsiaTheme="minorHAnsi"/>
        </w:rPr>
        <w:tab/>
        <w:t xml:space="preserve">Lai, M.-T. </w:t>
      </w:r>
      <w:r w:rsidRPr="00405EDD">
        <w:rPr>
          <w:rFonts w:eastAsiaTheme="minorHAnsi"/>
          <w:i/>
          <w:iCs/>
        </w:rPr>
        <w:t>et al.</w:t>
      </w:r>
      <w:r w:rsidRPr="00405EDD">
        <w:rPr>
          <w:rFonts w:eastAsiaTheme="minorHAnsi"/>
        </w:rPr>
        <w:t xml:space="preserve"> In Vitro Characterization of MK-1439, a Novel HIV-1 Nonnucleoside Reverse Transcriptase Inhibitor.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58</w:t>
      </w:r>
      <w:r w:rsidRPr="00405EDD">
        <w:rPr>
          <w:rFonts w:eastAsiaTheme="minorHAnsi"/>
        </w:rPr>
        <w:t>, 1652–1663 (2014).</w:t>
      </w:r>
    </w:p>
    <w:p w14:paraId="367E0BEF" w14:textId="77777777" w:rsidR="00405EDD" w:rsidRPr="00405EDD" w:rsidRDefault="00405EDD" w:rsidP="00DD7F74">
      <w:pPr>
        <w:pStyle w:val="Bibliography"/>
        <w:spacing w:line="240" w:lineRule="auto"/>
        <w:rPr>
          <w:rFonts w:eastAsiaTheme="minorHAnsi"/>
        </w:rPr>
      </w:pPr>
      <w:r w:rsidRPr="00405EDD">
        <w:rPr>
          <w:rFonts w:eastAsiaTheme="minorHAnsi"/>
        </w:rPr>
        <w:t>17.</w:t>
      </w:r>
      <w:r w:rsidRPr="00405EDD">
        <w:rPr>
          <w:rFonts w:eastAsiaTheme="minorHAnsi"/>
        </w:rPr>
        <w:tab/>
        <w:t xml:space="preserve">Feng, M. </w:t>
      </w:r>
      <w:r w:rsidRPr="00405EDD">
        <w:rPr>
          <w:rFonts w:eastAsiaTheme="minorHAnsi"/>
          <w:i/>
          <w:iCs/>
        </w:rPr>
        <w:t>et al.</w:t>
      </w:r>
      <w:r w:rsidRPr="00405EDD">
        <w:rPr>
          <w:rFonts w:eastAsiaTheme="minorHAnsi"/>
        </w:rPr>
        <w:t xml:space="preserve"> In Vitro Resistance Selection with Doravirine (MK-1439), a Novel Nonnucleoside Reverse Transcriptase Inhibitor with Distinct Mutation Development Pathways.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59</w:t>
      </w:r>
      <w:r w:rsidRPr="00405EDD">
        <w:rPr>
          <w:rFonts w:eastAsiaTheme="minorHAnsi"/>
        </w:rPr>
        <w:t>, 590–598 (2014).</w:t>
      </w:r>
    </w:p>
    <w:p w14:paraId="1C9CB32E" w14:textId="77777777" w:rsidR="00405EDD" w:rsidRPr="00405EDD" w:rsidRDefault="00405EDD" w:rsidP="00DD7F74">
      <w:pPr>
        <w:pStyle w:val="Bibliography"/>
        <w:spacing w:line="240" w:lineRule="auto"/>
        <w:rPr>
          <w:rFonts w:eastAsiaTheme="minorHAnsi"/>
        </w:rPr>
      </w:pPr>
      <w:r w:rsidRPr="00405EDD">
        <w:rPr>
          <w:rFonts w:eastAsiaTheme="minorHAnsi"/>
        </w:rPr>
        <w:t>18.</w:t>
      </w:r>
      <w:r w:rsidRPr="00405EDD">
        <w:rPr>
          <w:rFonts w:eastAsiaTheme="minorHAnsi"/>
        </w:rPr>
        <w:tab/>
        <w:t xml:space="preserve">Rhee, S.-Y. </w:t>
      </w:r>
      <w:r w:rsidRPr="00405EDD">
        <w:rPr>
          <w:rFonts w:eastAsiaTheme="minorHAnsi"/>
          <w:i/>
          <w:iCs/>
        </w:rPr>
        <w:t>et al.</w:t>
      </w:r>
      <w:r w:rsidRPr="00405EDD">
        <w:rPr>
          <w:rFonts w:eastAsiaTheme="minorHAnsi"/>
        </w:rPr>
        <w:t xml:space="preserve"> Potential role of doravirine for the treatment of HIV-1-infected persons with transmitted drug resistance. </w:t>
      </w:r>
      <w:r w:rsidRPr="00405EDD">
        <w:rPr>
          <w:rFonts w:eastAsiaTheme="minorHAnsi"/>
          <w:i/>
          <w:iCs/>
        </w:rPr>
        <w:t>AIDS Res Ther</w:t>
      </w:r>
      <w:r w:rsidRPr="00405EDD">
        <w:rPr>
          <w:rFonts w:eastAsiaTheme="minorHAnsi"/>
        </w:rPr>
        <w:t xml:space="preserve"> </w:t>
      </w:r>
      <w:r w:rsidRPr="00405EDD">
        <w:rPr>
          <w:rFonts w:eastAsiaTheme="minorHAnsi"/>
          <w:b/>
          <w:bCs/>
        </w:rPr>
        <w:t>20</w:t>
      </w:r>
      <w:r w:rsidRPr="00405EDD">
        <w:rPr>
          <w:rFonts w:eastAsiaTheme="minorHAnsi"/>
        </w:rPr>
        <w:t>, 8 (2023).</w:t>
      </w:r>
    </w:p>
    <w:p w14:paraId="4292C001" w14:textId="77777777" w:rsidR="00405EDD" w:rsidRPr="00405EDD" w:rsidRDefault="00405EDD" w:rsidP="00DD7F74">
      <w:pPr>
        <w:pStyle w:val="Bibliography"/>
        <w:spacing w:line="240" w:lineRule="auto"/>
        <w:rPr>
          <w:rFonts w:eastAsiaTheme="minorHAnsi"/>
        </w:rPr>
      </w:pPr>
      <w:r w:rsidRPr="00405EDD">
        <w:rPr>
          <w:rFonts w:eastAsiaTheme="minorHAnsi"/>
        </w:rPr>
        <w:t>19.</w:t>
      </w:r>
      <w:r w:rsidRPr="00405EDD">
        <w:rPr>
          <w:rFonts w:eastAsiaTheme="minorHAnsi"/>
        </w:rPr>
        <w:tab/>
        <w:t xml:space="preserve">Calza, L. </w:t>
      </w:r>
      <w:r w:rsidRPr="00405EDD">
        <w:rPr>
          <w:rFonts w:eastAsiaTheme="minorHAnsi"/>
          <w:i/>
          <w:iCs/>
        </w:rPr>
        <w:t>et al.</w:t>
      </w:r>
      <w:r w:rsidRPr="00405EDD">
        <w:rPr>
          <w:rFonts w:eastAsiaTheme="minorHAnsi"/>
        </w:rPr>
        <w:t xml:space="preserve"> Doravirine/lamivudine/tenofovir disoproxil fumarate in virologically suppressed people living with HIV: A real-life experience. </w:t>
      </w:r>
      <w:r w:rsidRPr="00405EDD">
        <w:rPr>
          <w:rFonts w:eastAsiaTheme="minorHAnsi"/>
          <w:i/>
          <w:iCs/>
        </w:rPr>
        <w:t>Int J STD AIDS</w:t>
      </w:r>
      <w:r w:rsidRPr="00405EDD">
        <w:rPr>
          <w:rFonts w:eastAsiaTheme="minorHAnsi"/>
        </w:rPr>
        <w:t xml:space="preserve"> </w:t>
      </w:r>
      <w:r w:rsidRPr="00405EDD">
        <w:rPr>
          <w:rFonts w:eastAsiaTheme="minorHAnsi"/>
          <w:b/>
          <w:bCs/>
        </w:rPr>
        <w:t>34</w:t>
      </w:r>
      <w:r w:rsidRPr="00405EDD">
        <w:rPr>
          <w:rFonts w:eastAsiaTheme="minorHAnsi"/>
        </w:rPr>
        <w:t>, 1018–1023 (2023).</w:t>
      </w:r>
    </w:p>
    <w:p w14:paraId="12DCCD78"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20.</w:t>
      </w:r>
      <w:r w:rsidRPr="00405EDD">
        <w:rPr>
          <w:rFonts w:eastAsiaTheme="minorHAnsi"/>
        </w:rPr>
        <w:tab/>
        <w:t xml:space="preserve">Mejías-Trueba, M. </w:t>
      </w:r>
      <w:r w:rsidRPr="00405EDD">
        <w:rPr>
          <w:rFonts w:eastAsiaTheme="minorHAnsi"/>
          <w:i/>
          <w:iCs/>
        </w:rPr>
        <w:t>et al.</w:t>
      </w:r>
      <w:r w:rsidRPr="00405EDD">
        <w:rPr>
          <w:rFonts w:eastAsiaTheme="minorHAnsi"/>
        </w:rPr>
        <w:t xml:space="preserve"> Long-term effectiveness, safety, and tolerability of doravirine in antiretroviral-experienced people with HIV in real life. </w:t>
      </w:r>
      <w:r w:rsidRPr="00405EDD">
        <w:rPr>
          <w:rFonts w:eastAsiaTheme="minorHAnsi"/>
          <w:i/>
          <w:iCs/>
        </w:rPr>
        <w:t>Microbiology Spectrum</w:t>
      </w:r>
      <w:r w:rsidRPr="00405EDD">
        <w:rPr>
          <w:rFonts w:eastAsiaTheme="minorHAnsi"/>
        </w:rPr>
        <w:t xml:space="preserve"> </w:t>
      </w:r>
      <w:r w:rsidRPr="00405EDD">
        <w:rPr>
          <w:rFonts w:eastAsiaTheme="minorHAnsi"/>
          <w:b/>
          <w:bCs/>
        </w:rPr>
        <w:t>12</w:t>
      </w:r>
      <w:r w:rsidRPr="00405EDD">
        <w:rPr>
          <w:rFonts w:eastAsiaTheme="minorHAnsi"/>
        </w:rPr>
        <w:t>, e00654-24 (2024).</w:t>
      </w:r>
    </w:p>
    <w:p w14:paraId="3BC325AC" w14:textId="77777777" w:rsidR="00405EDD" w:rsidRPr="00405EDD" w:rsidRDefault="00405EDD" w:rsidP="00DD7F74">
      <w:pPr>
        <w:pStyle w:val="Bibliography"/>
        <w:spacing w:line="240" w:lineRule="auto"/>
        <w:rPr>
          <w:rFonts w:eastAsiaTheme="minorHAnsi"/>
        </w:rPr>
      </w:pPr>
      <w:r w:rsidRPr="00405EDD">
        <w:rPr>
          <w:rFonts w:eastAsiaTheme="minorHAnsi"/>
        </w:rPr>
        <w:t>21.</w:t>
      </w:r>
      <w:r w:rsidRPr="00405EDD">
        <w:rPr>
          <w:rFonts w:eastAsiaTheme="minorHAnsi"/>
        </w:rPr>
        <w:tab/>
        <w:t xml:space="preserve">Yang, H., Li, M., Liu, Q., Zeng, Q. &amp; Yuan, J. The efficacy and safety of doravirine/lamivudine/tenofovir disoproxil fumarate in treatment-naïve and treatment-experienced patients with HIV. </w:t>
      </w:r>
      <w:r w:rsidRPr="00405EDD">
        <w:rPr>
          <w:rFonts w:eastAsiaTheme="minorHAnsi"/>
          <w:i/>
          <w:iCs/>
        </w:rPr>
        <w:t>Annals of Medicine</w:t>
      </w:r>
      <w:r w:rsidRPr="00405EDD">
        <w:rPr>
          <w:rFonts w:eastAsiaTheme="minorHAnsi"/>
        </w:rPr>
        <w:t xml:space="preserve"> </w:t>
      </w:r>
      <w:r w:rsidRPr="00405EDD">
        <w:rPr>
          <w:rFonts w:eastAsiaTheme="minorHAnsi"/>
          <w:b/>
          <w:bCs/>
        </w:rPr>
        <w:t>57</w:t>
      </w:r>
      <w:r w:rsidRPr="00405EDD">
        <w:rPr>
          <w:rFonts w:eastAsiaTheme="minorHAnsi"/>
        </w:rPr>
        <w:t>, 2564286 (2025).</w:t>
      </w:r>
    </w:p>
    <w:p w14:paraId="48891059" w14:textId="77777777" w:rsidR="00405EDD" w:rsidRPr="00405EDD" w:rsidRDefault="00405EDD" w:rsidP="00DD7F74">
      <w:pPr>
        <w:pStyle w:val="Bibliography"/>
        <w:spacing w:line="240" w:lineRule="auto"/>
        <w:rPr>
          <w:rFonts w:eastAsiaTheme="minorHAnsi"/>
        </w:rPr>
      </w:pPr>
      <w:r w:rsidRPr="00405EDD">
        <w:rPr>
          <w:rFonts w:eastAsiaTheme="minorHAnsi"/>
        </w:rPr>
        <w:t>22.</w:t>
      </w:r>
      <w:r w:rsidRPr="00405EDD">
        <w:rPr>
          <w:rFonts w:eastAsiaTheme="minorHAnsi"/>
        </w:rPr>
        <w:tab/>
        <w:t xml:space="preserve">Orkin, C. </w:t>
      </w:r>
      <w:r w:rsidRPr="00405EDD">
        <w:rPr>
          <w:rFonts w:eastAsiaTheme="minorHAnsi"/>
          <w:i/>
          <w:iCs/>
        </w:rPr>
        <w:t>et al.</w:t>
      </w:r>
      <w:r w:rsidRPr="00405EDD">
        <w:rPr>
          <w:rFonts w:eastAsiaTheme="minorHAnsi"/>
        </w:rPr>
        <w:t xml:space="preserve"> Switch to fixed-dose doravirine (100 mg) and islatravir (0·25 mg) once daily in virologically suppressed adults with HIV-1 on oral antiretroviral therapy: 48-week results of a phase 3, multicentre, randomised, open-label, non-inferiority trial. </w:t>
      </w:r>
      <w:r w:rsidRPr="00405EDD">
        <w:rPr>
          <w:rFonts w:eastAsiaTheme="minorHAnsi"/>
          <w:i/>
          <w:iCs/>
        </w:rPr>
        <w:t>The Lancet</w:t>
      </w:r>
      <w:r w:rsidRPr="00405EDD">
        <w:rPr>
          <w:rFonts w:eastAsiaTheme="minorHAnsi"/>
        </w:rPr>
        <w:t xml:space="preserve"> </w:t>
      </w:r>
      <w:r w:rsidRPr="00405EDD">
        <w:rPr>
          <w:rFonts w:eastAsiaTheme="minorHAnsi"/>
          <w:b/>
          <w:bCs/>
        </w:rPr>
        <w:t>407</w:t>
      </w:r>
      <w:r w:rsidRPr="00405EDD">
        <w:rPr>
          <w:rFonts w:eastAsiaTheme="minorHAnsi"/>
        </w:rPr>
        <w:t>, 599–610 (2026).</w:t>
      </w:r>
    </w:p>
    <w:p w14:paraId="4D451081" w14:textId="77777777" w:rsidR="00405EDD" w:rsidRPr="00405EDD" w:rsidRDefault="00405EDD" w:rsidP="00DD7F74">
      <w:pPr>
        <w:pStyle w:val="Bibliography"/>
        <w:spacing w:line="240" w:lineRule="auto"/>
        <w:rPr>
          <w:rFonts w:eastAsiaTheme="minorHAnsi"/>
        </w:rPr>
      </w:pPr>
      <w:r w:rsidRPr="00405EDD">
        <w:rPr>
          <w:rFonts w:eastAsiaTheme="minorHAnsi"/>
        </w:rPr>
        <w:t>23.</w:t>
      </w:r>
      <w:r w:rsidRPr="00405EDD">
        <w:rPr>
          <w:rFonts w:eastAsiaTheme="minorHAnsi"/>
        </w:rPr>
        <w:tab/>
        <w:t xml:space="preserve">Asante-Appiah, E. </w:t>
      </w:r>
      <w:r w:rsidRPr="00405EDD">
        <w:rPr>
          <w:rFonts w:eastAsiaTheme="minorHAnsi"/>
          <w:i/>
          <w:iCs/>
        </w:rPr>
        <w:t>et al.</w:t>
      </w:r>
      <w:r w:rsidRPr="00405EDD">
        <w:rPr>
          <w:rFonts w:eastAsiaTheme="minorHAnsi"/>
        </w:rPr>
        <w:t xml:space="preserve"> Impact of HIV-1 Resistance-Associated Mutations on Susceptibility to Doravirine: Analysis of Real-World Clinical Isolates.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65</w:t>
      </w:r>
      <w:r w:rsidRPr="00405EDD">
        <w:rPr>
          <w:rFonts w:eastAsiaTheme="minorHAnsi"/>
        </w:rPr>
        <w:t>, 10.1128/aac.01216-21 (2021).</w:t>
      </w:r>
    </w:p>
    <w:p w14:paraId="6D970D76" w14:textId="77777777" w:rsidR="00405EDD" w:rsidRPr="00405EDD" w:rsidRDefault="00405EDD" w:rsidP="00DD7F74">
      <w:pPr>
        <w:pStyle w:val="Bibliography"/>
        <w:spacing w:line="240" w:lineRule="auto"/>
        <w:rPr>
          <w:rFonts w:eastAsiaTheme="minorHAnsi"/>
        </w:rPr>
      </w:pPr>
      <w:r w:rsidRPr="00405EDD">
        <w:rPr>
          <w:rFonts w:eastAsiaTheme="minorHAnsi"/>
        </w:rPr>
        <w:t>24.</w:t>
      </w:r>
      <w:r w:rsidRPr="00405EDD">
        <w:rPr>
          <w:rFonts w:eastAsiaTheme="minorHAnsi"/>
        </w:rPr>
        <w:tab/>
        <w:t xml:space="preserve">Lai, M.-T. </w:t>
      </w:r>
      <w:r w:rsidRPr="00405EDD">
        <w:rPr>
          <w:rFonts w:eastAsiaTheme="minorHAnsi"/>
          <w:i/>
          <w:iCs/>
        </w:rPr>
        <w:t>et al.</w:t>
      </w:r>
      <w:r w:rsidRPr="00405EDD">
        <w:rPr>
          <w:rFonts w:eastAsiaTheme="minorHAnsi"/>
        </w:rPr>
        <w:t xml:space="preserve"> Characterization of Doravirine-Selected Resistance Patterns From Participants in Treatment-Naïve Phase 3 Clinical Trials. https://www.natap.org/2018/IAC/IAC_54.htm (2018).</w:t>
      </w:r>
    </w:p>
    <w:p w14:paraId="56EC5796" w14:textId="77777777" w:rsidR="00405EDD" w:rsidRPr="00405EDD" w:rsidRDefault="00405EDD" w:rsidP="00DD7F74">
      <w:pPr>
        <w:pStyle w:val="Bibliography"/>
        <w:spacing w:line="240" w:lineRule="auto"/>
        <w:rPr>
          <w:rFonts w:eastAsiaTheme="minorHAnsi"/>
        </w:rPr>
      </w:pPr>
      <w:r w:rsidRPr="00405EDD">
        <w:rPr>
          <w:rFonts w:eastAsiaTheme="minorHAnsi"/>
        </w:rPr>
        <w:t>25.</w:t>
      </w:r>
      <w:r w:rsidRPr="00405EDD">
        <w:rPr>
          <w:rFonts w:eastAsiaTheme="minorHAnsi"/>
        </w:rPr>
        <w:tab/>
        <w:t xml:space="preserve">Hazuda, D. J. </w:t>
      </w:r>
      <w:r w:rsidRPr="00405EDD">
        <w:rPr>
          <w:rFonts w:eastAsiaTheme="minorHAnsi"/>
          <w:i/>
          <w:iCs/>
        </w:rPr>
        <w:t>et al.</w:t>
      </w:r>
      <w:r w:rsidRPr="00405EDD">
        <w:rPr>
          <w:rFonts w:eastAsiaTheme="minorHAnsi"/>
        </w:rPr>
        <w:t xml:space="preserve"> Understanding the Resistance Profile of the HIV-1 NNRTI Doravirine in Combination With the Novel NRTTI MK-8591. https://www.natap.org/2018/IAC/IAC_48.htm (2018).</w:t>
      </w:r>
    </w:p>
    <w:p w14:paraId="43E8E8BD" w14:textId="77777777" w:rsidR="00405EDD" w:rsidRPr="00405EDD" w:rsidRDefault="00405EDD" w:rsidP="00DD7F74">
      <w:pPr>
        <w:pStyle w:val="Bibliography"/>
        <w:spacing w:line="240" w:lineRule="auto"/>
        <w:rPr>
          <w:rFonts w:eastAsiaTheme="minorHAnsi"/>
        </w:rPr>
      </w:pPr>
      <w:r w:rsidRPr="00405EDD">
        <w:rPr>
          <w:rFonts w:eastAsiaTheme="minorHAnsi"/>
        </w:rPr>
        <w:t>26.</w:t>
      </w:r>
      <w:r w:rsidRPr="00405EDD">
        <w:rPr>
          <w:rFonts w:eastAsiaTheme="minorHAnsi"/>
        </w:rPr>
        <w:tab/>
        <w:t xml:space="preserve">Smith, S. J. </w:t>
      </w:r>
      <w:r w:rsidRPr="00405EDD">
        <w:rPr>
          <w:rFonts w:eastAsiaTheme="minorHAnsi"/>
          <w:i/>
          <w:iCs/>
        </w:rPr>
        <w:t>et al.</w:t>
      </w:r>
      <w:r w:rsidRPr="00405EDD">
        <w:rPr>
          <w:rFonts w:eastAsiaTheme="minorHAnsi"/>
        </w:rPr>
        <w:t xml:space="preserve"> Rilpivirine and Doravirine Have Complementary Efficacies Against NNRTI-Resistant HIV-1 Mutants. </w:t>
      </w:r>
      <w:r w:rsidRPr="00405EDD">
        <w:rPr>
          <w:rFonts w:eastAsiaTheme="minorHAnsi"/>
          <w:i/>
          <w:iCs/>
        </w:rPr>
        <w:t>JAIDS Journal of Acquired Immune Deficiency Syndromes</w:t>
      </w:r>
      <w:r w:rsidRPr="00405EDD">
        <w:rPr>
          <w:rFonts w:eastAsiaTheme="minorHAnsi"/>
        </w:rPr>
        <w:t xml:space="preserve"> </w:t>
      </w:r>
      <w:r w:rsidRPr="00405EDD">
        <w:rPr>
          <w:rFonts w:eastAsiaTheme="minorHAnsi"/>
          <w:b/>
          <w:bCs/>
        </w:rPr>
        <w:t>72</w:t>
      </w:r>
      <w:r w:rsidRPr="00405EDD">
        <w:rPr>
          <w:rFonts w:eastAsiaTheme="minorHAnsi"/>
        </w:rPr>
        <w:t>, 485 (2016).</w:t>
      </w:r>
    </w:p>
    <w:p w14:paraId="59356CEE" w14:textId="77777777" w:rsidR="00405EDD" w:rsidRPr="00405EDD" w:rsidRDefault="00405EDD" w:rsidP="00DD7F74">
      <w:pPr>
        <w:pStyle w:val="Bibliography"/>
        <w:spacing w:line="240" w:lineRule="auto"/>
        <w:rPr>
          <w:rFonts w:eastAsiaTheme="minorHAnsi"/>
        </w:rPr>
      </w:pPr>
      <w:r w:rsidRPr="00405EDD">
        <w:rPr>
          <w:rFonts w:eastAsiaTheme="minorHAnsi"/>
        </w:rPr>
        <w:t>27.</w:t>
      </w:r>
      <w:r w:rsidRPr="00405EDD">
        <w:rPr>
          <w:rFonts w:eastAsiaTheme="minorHAnsi"/>
        </w:rPr>
        <w:tab/>
        <w:t xml:space="preserve">Geitmann, M., Unge, T. &amp; Danielson, U. H. Interaction Kinetic Characterization of HIV-1 Reverse Transcriptase Non-nucleoside Inhibitor Resistance. </w:t>
      </w:r>
      <w:r w:rsidRPr="00405EDD">
        <w:rPr>
          <w:rFonts w:eastAsiaTheme="minorHAnsi"/>
          <w:i/>
          <w:iCs/>
        </w:rPr>
        <w:t>J. Med. Chem.</w:t>
      </w:r>
      <w:r w:rsidRPr="00405EDD">
        <w:rPr>
          <w:rFonts w:eastAsiaTheme="minorHAnsi"/>
        </w:rPr>
        <w:t xml:space="preserve"> </w:t>
      </w:r>
      <w:r w:rsidRPr="00405EDD">
        <w:rPr>
          <w:rFonts w:eastAsiaTheme="minorHAnsi"/>
          <w:b/>
          <w:bCs/>
        </w:rPr>
        <w:t>49</w:t>
      </w:r>
      <w:r w:rsidRPr="00405EDD">
        <w:rPr>
          <w:rFonts w:eastAsiaTheme="minorHAnsi"/>
        </w:rPr>
        <w:t>, 2375–2387 (2006).</w:t>
      </w:r>
    </w:p>
    <w:p w14:paraId="71A0D13B" w14:textId="77777777" w:rsidR="00405EDD" w:rsidRPr="00405EDD" w:rsidRDefault="00405EDD" w:rsidP="00DD7F74">
      <w:pPr>
        <w:pStyle w:val="Bibliography"/>
        <w:spacing w:line="240" w:lineRule="auto"/>
        <w:rPr>
          <w:rFonts w:eastAsiaTheme="minorHAnsi"/>
        </w:rPr>
      </w:pPr>
      <w:r w:rsidRPr="00405EDD">
        <w:rPr>
          <w:rFonts w:eastAsiaTheme="minorHAnsi"/>
        </w:rPr>
        <w:t>28.</w:t>
      </w:r>
      <w:r w:rsidRPr="00405EDD">
        <w:rPr>
          <w:rFonts w:eastAsiaTheme="minorHAnsi"/>
        </w:rPr>
        <w:tab/>
        <w:t xml:space="preserve">Srivastava, A., Birari, V. &amp; Sinha, S. Small Conformational Changes Underlie Evolution of Resistance to NNRTI in HIV Reverse Transcriptase. </w:t>
      </w:r>
      <w:r w:rsidRPr="00405EDD">
        <w:rPr>
          <w:rFonts w:eastAsiaTheme="minorHAnsi"/>
          <w:i/>
          <w:iCs/>
        </w:rPr>
        <w:t>Biophysical Journal</w:t>
      </w:r>
      <w:r w:rsidRPr="00405EDD">
        <w:rPr>
          <w:rFonts w:eastAsiaTheme="minorHAnsi"/>
        </w:rPr>
        <w:t xml:space="preserve"> </w:t>
      </w:r>
      <w:r w:rsidRPr="00405EDD">
        <w:rPr>
          <w:rFonts w:eastAsiaTheme="minorHAnsi"/>
          <w:b/>
          <w:bCs/>
        </w:rPr>
        <w:t>118</w:t>
      </w:r>
      <w:r w:rsidRPr="00405EDD">
        <w:rPr>
          <w:rFonts w:eastAsiaTheme="minorHAnsi"/>
        </w:rPr>
        <w:t>, 2489–2501 (2020).</w:t>
      </w:r>
    </w:p>
    <w:p w14:paraId="4187BE6B" w14:textId="77777777" w:rsidR="00405EDD" w:rsidRPr="00405EDD" w:rsidRDefault="00405EDD" w:rsidP="00DD7F74">
      <w:pPr>
        <w:pStyle w:val="Bibliography"/>
        <w:spacing w:line="240" w:lineRule="auto"/>
        <w:rPr>
          <w:rFonts w:eastAsiaTheme="minorHAnsi"/>
        </w:rPr>
      </w:pPr>
      <w:r w:rsidRPr="00405EDD">
        <w:rPr>
          <w:rFonts w:eastAsiaTheme="minorHAnsi"/>
        </w:rPr>
        <w:t>29.</w:t>
      </w:r>
      <w:r w:rsidRPr="00405EDD">
        <w:rPr>
          <w:rFonts w:eastAsiaTheme="minorHAnsi"/>
        </w:rPr>
        <w:tab/>
        <w:t xml:space="preserve">Shakhnovich, E., Abkevich, V. &amp; Ptitsyn, O. Conserved residues and the mechanism of protein folding. </w:t>
      </w:r>
      <w:r w:rsidRPr="00405EDD">
        <w:rPr>
          <w:rFonts w:eastAsiaTheme="minorHAnsi"/>
          <w:i/>
          <w:iCs/>
        </w:rPr>
        <w:t>Nature</w:t>
      </w:r>
      <w:r w:rsidRPr="00405EDD">
        <w:rPr>
          <w:rFonts w:eastAsiaTheme="minorHAnsi"/>
        </w:rPr>
        <w:t xml:space="preserve"> </w:t>
      </w:r>
      <w:r w:rsidRPr="00405EDD">
        <w:rPr>
          <w:rFonts w:eastAsiaTheme="minorHAnsi"/>
          <w:b/>
          <w:bCs/>
        </w:rPr>
        <w:t>379</w:t>
      </w:r>
      <w:r w:rsidRPr="00405EDD">
        <w:rPr>
          <w:rFonts w:eastAsiaTheme="minorHAnsi"/>
        </w:rPr>
        <w:t>, 96–98 (1996).</w:t>
      </w:r>
    </w:p>
    <w:p w14:paraId="0FA0DDA0" w14:textId="77777777" w:rsidR="00405EDD" w:rsidRPr="00405EDD" w:rsidRDefault="00405EDD" w:rsidP="00DD7F74">
      <w:pPr>
        <w:pStyle w:val="Bibliography"/>
        <w:spacing w:line="240" w:lineRule="auto"/>
        <w:rPr>
          <w:rFonts w:eastAsiaTheme="minorHAnsi"/>
        </w:rPr>
      </w:pPr>
      <w:r w:rsidRPr="00405EDD">
        <w:rPr>
          <w:rFonts w:eastAsiaTheme="minorHAnsi"/>
        </w:rPr>
        <w:t>30.</w:t>
      </w:r>
      <w:r w:rsidRPr="00405EDD">
        <w:rPr>
          <w:rFonts w:eastAsiaTheme="minorHAnsi"/>
        </w:rPr>
        <w:tab/>
        <w:t xml:space="preserve">Portman, J. J., Takada, S. &amp; Wolynes, P. G. Microscopic theory of protein folding rates. II. Local reaction coordinates and chain dynamics. </w:t>
      </w:r>
      <w:r w:rsidRPr="00405EDD">
        <w:rPr>
          <w:rFonts w:eastAsiaTheme="minorHAnsi"/>
          <w:i/>
          <w:iCs/>
        </w:rPr>
        <w:t>J. Chem. Phys.</w:t>
      </w:r>
      <w:r w:rsidRPr="00405EDD">
        <w:rPr>
          <w:rFonts w:eastAsiaTheme="minorHAnsi"/>
        </w:rPr>
        <w:t xml:space="preserve"> </w:t>
      </w:r>
      <w:r w:rsidRPr="00405EDD">
        <w:rPr>
          <w:rFonts w:eastAsiaTheme="minorHAnsi"/>
          <w:b/>
          <w:bCs/>
        </w:rPr>
        <w:t>114</w:t>
      </w:r>
      <w:r w:rsidRPr="00405EDD">
        <w:rPr>
          <w:rFonts w:eastAsiaTheme="minorHAnsi"/>
        </w:rPr>
        <w:t>, 5082–5096 (2001).</w:t>
      </w:r>
    </w:p>
    <w:p w14:paraId="2962F2EE" w14:textId="77777777" w:rsidR="00405EDD" w:rsidRPr="00405EDD" w:rsidRDefault="00405EDD" w:rsidP="00DD7F74">
      <w:pPr>
        <w:pStyle w:val="Bibliography"/>
        <w:spacing w:line="240" w:lineRule="auto"/>
        <w:rPr>
          <w:rFonts w:eastAsiaTheme="minorHAnsi"/>
        </w:rPr>
      </w:pPr>
      <w:r w:rsidRPr="00405EDD">
        <w:rPr>
          <w:rFonts w:eastAsiaTheme="minorHAnsi"/>
        </w:rPr>
        <w:t>31.</w:t>
      </w:r>
      <w:r w:rsidRPr="00405EDD">
        <w:rPr>
          <w:rFonts w:eastAsiaTheme="minorHAnsi"/>
        </w:rPr>
        <w:tab/>
        <w:t xml:space="preserve">Best, R. B., Hummer, G. &amp; Eaton, W. A. Native contacts determine protein folding mechanisms in atomistic simulations.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110</w:t>
      </w:r>
      <w:r w:rsidRPr="00405EDD">
        <w:rPr>
          <w:rFonts w:eastAsiaTheme="minorHAnsi"/>
        </w:rPr>
        <w:t>, 17874–17879 (2013).</w:t>
      </w:r>
    </w:p>
    <w:p w14:paraId="540E69F4" w14:textId="77777777" w:rsidR="00405EDD" w:rsidRPr="00405EDD" w:rsidRDefault="00405EDD" w:rsidP="00DD7F74">
      <w:pPr>
        <w:pStyle w:val="Bibliography"/>
        <w:spacing w:line="240" w:lineRule="auto"/>
        <w:rPr>
          <w:rFonts w:eastAsiaTheme="minorHAnsi"/>
        </w:rPr>
      </w:pPr>
      <w:r w:rsidRPr="00405EDD">
        <w:rPr>
          <w:rFonts w:eastAsiaTheme="minorHAnsi"/>
        </w:rPr>
        <w:t>32.</w:t>
      </w:r>
      <w:r w:rsidRPr="00405EDD">
        <w:rPr>
          <w:rFonts w:eastAsiaTheme="minorHAnsi"/>
        </w:rPr>
        <w:tab/>
        <w:t xml:space="preserve">Zhang, J., Hou, T., Wang, W. &amp; Liu, J. S. Detecting and understanding combinatorial mutation patterns responsible for HIV drug resistance.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107</w:t>
      </w:r>
      <w:r w:rsidRPr="00405EDD">
        <w:rPr>
          <w:rFonts w:eastAsiaTheme="minorHAnsi"/>
        </w:rPr>
        <w:t>, 1321–1326 (2010).</w:t>
      </w:r>
    </w:p>
    <w:p w14:paraId="48039925" w14:textId="77777777" w:rsidR="00405EDD" w:rsidRPr="00405EDD" w:rsidRDefault="00405EDD" w:rsidP="00DD7F74">
      <w:pPr>
        <w:pStyle w:val="Bibliography"/>
        <w:spacing w:line="240" w:lineRule="auto"/>
        <w:rPr>
          <w:rFonts w:eastAsiaTheme="minorHAnsi"/>
        </w:rPr>
      </w:pPr>
      <w:r w:rsidRPr="00405EDD">
        <w:rPr>
          <w:rFonts w:eastAsiaTheme="minorHAnsi"/>
        </w:rPr>
        <w:t>33.</w:t>
      </w:r>
      <w:r w:rsidRPr="00405EDD">
        <w:rPr>
          <w:rFonts w:eastAsiaTheme="minorHAnsi"/>
        </w:rPr>
        <w:tab/>
        <w:t xml:space="preserve">da Silva, H. H. S. A., Pereira, N., Brandão, L., Crovella, S. &amp; Moura, R. Prediction of HIV integrase resistance mutation using </w:t>
      </w:r>
      <w:r w:rsidRPr="00405EDD">
        <w:rPr>
          <w:rFonts w:eastAsiaTheme="minorHAnsi"/>
          <w:i/>
          <w:iCs/>
        </w:rPr>
        <w:t>in silico</w:t>
      </w:r>
      <w:r w:rsidRPr="00405EDD">
        <w:rPr>
          <w:rFonts w:eastAsiaTheme="minorHAnsi"/>
        </w:rPr>
        <w:t xml:space="preserve"> approaches. </w:t>
      </w:r>
      <w:r w:rsidRPr="00405EDD">
        <w:rPr>
          <w:rFonts w:eastAsiaTheme="minorHAnsi"/>
          <w:i/>
          <w:iCs/>
        </w:rPr>
        <w:t>Infection, Genetics and Evolution</w:t>
      </w:r>
      <w:r w:rsidRPr="00405EDD">
        <w:rPr>
          <w:rFonts w:eastAsiaTheme="minorHAnsi"/>
        </w:rPr>
        <w:t xml:space="preserve"> </w:t>
      </w:r>
      <w:r w:rsidRPr="00405EDD">
        <w:rPr>
          <w:rFonts w:eastAsiaTheme="minorHAnsi"/>
          <w:b/>
          <w:bCs/>
        </w:rPr>
        <w:t>68</w:t>
      </w:r>
      <w:r w:rsidRPr="00405EDD">
        <w:rPr>
          <w:rFonts w:eastAsiaTheme="minorHAnsi"/>
        </w:rPr>
        <w:t>, 10–15 (2019).</w:t>
      </w:r>
    </w:p>
    <w:p w14:paraId="4D1702AC" w14:textId="77777777" w:rsidR="00405EDD" w:rsidRPr="00405EDD" w:rsidRDefault="00405EDD" w:rsidP="00DD7F74">
      <w:pPr>
        <w:pStyle w:val="Bibliography"/>
        <w:spacing w:line="240" w:lineRule="auto"/>
        <w:rPr>
          <w:rFonts w:eastAsiaTheme="minorHAnsi"/>
        </w:rPr>
      </w:pPr>
      <w:r w:rsidRPr="00405EDD">
        <w:rPr>
          <w:rFonts w:eastAsiaTheme="minorHAnsi"/>
        </w:rPr>
        <w:t>34.</w:t>
      </w:r>
      <w:r w:rsidRPr="00405EDD">
        <w:rPr>
          <w:rFonts w:eastAsiaTheme="minorHAnsi"/>
        </w:rPr>
        <w:tab/>
        <w:t xml:space="preserve">Hosseini, A. </w:t>
      </w:r>
      <w:r w:rsidRPr="00405EDD">
        <w:rPr>
          <w:rFonts w:eastAsiaTheme="minorHAnsi"/>
          <w:i/>
          <w:iCs/>
        </w:rPr>
        <w:t>et al.</w:t>
      </w:r>
      <w:r w:rsidRPr="00405EDD">
        <w:rPr>
          <w:rFonts w:eastAsiaTheme="minorHAnsi"/>
        </w:rPr>
        <w:t xml:space="preserve"> Computational Prediction of HIV-1 Resistance to Protease Inhibitors. </w:t>
      </w:r>
      <w:r w:rsidRPr="00405EDD">
        <w:rPr>
          <w:rFonts w:eastAsiaTheme="minorHAnsi"/>
          <w:i/>
          <w:iCs/>
        </w:rPr>
        <w:t>J. Chem. Inf. Model.</w:t>
      </w:r>
      <w:r w:rsidRPr="00405EDD">
        <w:rPr>
          <w:rFonts w:eastAsiaTheme="minorHAnsi"/>
        </w:rPr>
        <w:t xml:space="preserve"> </w:t>
      </w:r>
      <w:r w:rsidRPr="00405EDD">
        <w:rPr>
          <w:rFonts w:eastAsiaTheme="minorHAnsi"/>
          <w:b/>
          <w:bCs/>
        </w:rPr>
        <w:t>56</w:t>
      </w:r>
      <w:r w:rsidRPr="00405EDD">
        <w:rPr>
          <w:rFonts w:eastAsiaTheme="minorHAnsi"/>
        </w:rPr>
        <w:t>, 915–923 (2016).</w:t>
      </w:r>
    </w:p>
    <w:p w14:paraId="06CE5F59"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35.</w:t>
      </w:r>
      <w:r w:rsidRPr="00405EDD">
        <w:rPr>
          <w:rFonts w:eastAsiaTheme="minorHAnsi"/>
        </w:rPr>
        <w:tab/>
        <w:t xml:space="preserve">Kabsch, W. A solution for the best rotation to relate two sets of vectors. </w:t>
      </w:r>
      <w:r w:rsidRPr="00405EDD">
        <w:rPr>
          <w:rFonts w:eastAsiaTheme="minorHAnsi"/>
          <w:i/>
          <w:iCs/>
        </w:rPr>
        <w:t>Acta Crystallographica Section A</w:t>
      </w:r>
      <w:r w:rsidRPr="00405EDD">
        <w:rPr>
          <w:rFonts w:eastAsiaTheme="minorHAnsi"/>
        </w:rPr>
        <w:t xml:space="preserve"> </w:t>
      </w:r>
      <w:r w:rsidRPr="00405EDD">
        <w:rPr>
          <w:rFonts w:eastAsiaTheme="minorHAnsi"/>
          <w:b/>
          <w:bCs/>
        </w:rPr>
        <w:t>32</w:t>
      </w:r>
      <w:r w:rsidRPr="00405EDD">
        <w:rPr>
          <w:rFonts w:eastAsiaTheme="minorHAnsi"/>
        </w:rPr>
        <w:t>, 922–923 (1976).</w:t>
      </w:r>
    </w:p>
    <w:p w14:paraId="362C8B29" w14:textId="77777777" w:rsidR="00405EDD" w:rsidRPr="00405EDD" w:rsidRDefault="00405EDD" w:rsidP="00DD7F74">
      <w:pPr>
        <w:pStyle w:val="Bibliography"/>
        <w:spacing w:line="240" w:lineRule="auto"/>
        <w:rPr>
          <w:rFonts w:eastAsiaTheme="minorHAnsi"/>
        </w:rPr>
      </w:pPr>
      <w:r w:rsidRPr="00405EDD">
        <w:rPr>
          <w:rFonts w:eastAsiaTheme="minorHAnsi"/>
        </w:rPr>
        <w:t>36.</w:t>
      </w:r>
      <w:r w:rsidRPr="00405EDD">
        <w:rPr>
          <w:rFonts w:eastAsiaTheme="minorHAnsi"/>
        </w:rPr>
        <w:tab/>
        <w:t xml:space="preserve">Eastman, P. </w:t>
      </w:r>
      <w:r w:rsidRPr="00405EDD">
        <w:rPr>
          <w:rFonts w:eastAsiaTheme="minorHAnsi"/>
          <w:i/>
          <w:iCs/>
        </w:rPr>
        <w:t>et al.</w:t>
      </w:r>
      <w:r w:rsidRPr="00405EDD">
        <w:rPr>
          <w:rFonts w:eastAsiaTheme="minorHAnsi"/>
        </w:rPr>
        <w:t xml:space="preserve"> OpenMM 7: Rapid development of high performance algorithms for molecular dynamics. </w:t>
      </w:r>
      <w:r w:rsidRPr="00405EDD">
        <w:rPr>
          <w:rFonts w:eastAsiaTheme="minorHAnsi"/>
          <w:i/>
          <w:iCs/>
        </w:rPr>
        <w:t>PLOS Computational Biology</w:t>
      </w:r>
      <w:r w:rsidRPr="00405EDD">
        <w:rPr>
          <w:rFonts w:eastAsiaTheme="minorHAnsi"/>
        </w:rPr>
        <w:t xml:space="preserve"> </w:t>
      </w:r>
      <w:r w:rsidRPr="00405EDD">
        <w:rPr>
          <w:rFonts w:eastAsiaTheme="minorHAnsi"/>
          <w:b/>
          <w:bCs/>
        </w:rPr>
        <w:t>13</w:t>
      </w:r>
      <w:r w:rsidRPr="00405EDD">
        <w:rPr>
          <w:rFonts w:eastAsiaTheme="minorHAnsi"/>
        </w:rPr>
        <w:t>, e1005659 (2017).</w:t>
      </w:r>
    </w:p>
    <w:p w14:paraId="65E375B7" w14:textId="77777777" w:rsidR="00405EDD" w:rsidRPr="00405EDD" w:rsidRDefault="00405EDD" w:rsidP="00DD7F74">
      <w:pPr>
        <w:pStyle w:val="Bibliography"/>
        <w:spacing w:line="240" w:lineRule="auto"/>
        <w:rPr>
          <w:rFonts w:eastAsiaTheme="minorHAnsi"/>
        </w:rPr>
      </w:pPr>
      <w:r w:rsidRPr="00405EDD">
        <w:rPr>
          <w:rFonts w:eastAsiaTheme="minorHAnsi"/>
        </w:rPr>
        <w:t>37.</w:t>
      </w:r>
      <w:r w:rsidRPr="00405EDD">
        <w:rPr>
          <w:rFonts w:eastAsiaTheme="minorHAnsi"/>
        </w:rPr>
        <w:tab/>
        <w:t xml:space="preserve">Maier, J. A. </w:t>
      </w:r>
      <w:r w:rsidRPr="00405EDD">
        <w:rPr>
          <w:rFonts w:eastAsiaTheme="minorHAnsi"/>
          <w:i/>
          <w:iCs/>
        </w:rPr>
        <w:t>et al.</w:t>
      </w:r>
      <w:r w:rsidRPr="00405EDD">
        <w:rPr>
          <w:rFonts w:eastAsiaTheme="minorHAnsi"/>
        </w:rPr>
        <w:t xml:space="preserve"> ff14SB: Improving the Accuracy of Protein Side Chain and Backbone Parameters from ff99SB. </w:t>
      </w:r>
      <w:r w:rsidRPr="00405EDD">
        <w:rPr>
          <w:rFonts w:eastAsiaTheme="minorHAnsi"/>
          <w:i/>
          <w:iCs/>
        </w:rPr>
        <w:t>J. Chem. Theory Comput.</w:t>
      </w:r>
      <w:r w:rsidRPr="00405EDD">
        <w:rPr>
          <w:rFonts w:eastAsiaTheme="minorHAnsi"/>
        </w:rPr>
        <w:t xml:space="preserve"> </w:t>
      </w:r>
      <w:r w:rsidRPr="00405EDD">
        <w:rPr>
          <w:rFonts w:eastAsiaTheme="minorHAnsi"/>
          <w:b/>
          <w:bCs/>
        </w:rPr>
        <w:t>11</w:t>
      </w:r>
      <w:r w:rsidRPr="00405EDD">
        <w:rPr>
          <w:rFonts w:eastAsiaTheme="minorHAnsi"/>
        </w:rPr>
        <w:t>, 3696–3713 (2015).</w:t>
      </w:r>
    </w:p>
    <w:p w14:paraId="6227D4CE" w14:textId="77777777" w:rsidR="00405EDD" w:rsidRPr="00405EDD" w:rsidRDefault="00405EDD" w:rsidP="00DD7F74">
      <w:pPr>
        <w:pStyle w:val="Bibliography"/>
        <w:spacing w:line="240" w:lineRule="auto"/>
        <w:rPr>
          <w:rFonts w:eastAsiaTheme="minorHAnsi"/>
        </w:rPr>
      </w:pPr>
      <w:r w:rsidRPr="00405EDD">
        <w:rPr>
          <w:rFonts w:eastAsiaTheme="minorHAnsi"/>
        </w:rPr>
        <w:t>38.</w:t>
      </w:r>
      <w:r w:rsidRPr="00405EDD">
        <w:rPr>
          <w:rFonts w:eastAsiaTheme="minorHAnsi"/>
        </w:rPr>
        <w:tab/>
        <w:t xml:space="preserve">Ivani, I. </w:t>
      </w:r>
      <w:r w:rsidRPr="00405EDD">
        <w:rPr>
          <w:rFonts w:eastAsiaTheme="minorHAnsi"/>
          <w:i/>
          <w:iCs/>
        </w:rPr>
        <w:t>et al.</w:t>
      </w:r>
      <w:r w:rsidRPr="00405EDD">
        <w:rPr>
          <w:rFonts w:eastAsiaTheme="minorHAnsi"/>
        </w:rPr>
        <w:t xml:space="preserve"> Parmbsc1: a refined force field for DNA simulations. </w:t>
      </w:r>
      <w:r w:rsidRPr="00405EDD">
        <w:rPr>
          <w:rFonts w:eastAsiaTheme="minorHAnsi"/>
          <w:i/>
          <w:iCs/>
        </w:rPr>
        <w:t>Nat Methods</w:t>
      </w:r>
      <w:r w:rsidRPr="00405EDD">
        <w:rPr>
          <w:rFonts w:eastAsiaTheme="minorHAnsi"/>
        </w:rPr>
        <w:t xml:space="preserve"> </w:t>
      </w:r>
      <w:r w:rsidRPr="00405EDD">
        <w:rPr>
          <w:rFonts w:eastAsiaTheme="minorHAnsi"/>
          <w:b/>
          <w:bCs/>
        </w:rPr>
        <w:t>13</w:t>
      </w:r>
      <w:r w:rsidRPr="00405EDD">
        <w:rPr>
          <w:rFonts w:eastAsiaTheme="minorHAnsi"/>
        </w:rPr>
        <w:t>, 55–58 (2016).</w:t>
      </w:r>
    </w:p>
    <w:p w14:paraId="2D1BCF2F" w14:textId="77777777" w:rsidR="00405EDD" w:rsidRPr="00405EDD" w:rsidRDefault="00405EDD" w:rsidP="00DD7F74">
      <w:pPr>
        <w:pStyle w:val="Bibliography"/>
        <w:spacing w:line="240" w:lineRule="auto"/>
        <w:rPr>
          <w:rFonts w:eastAsiaTheme="minorHAnsi"/>
        </w:rPr>
      </w:pPr>
      <w:r w:rsidRPr="00405EDD">
        <w:rPr>
          <w:rFonts w:eastAsiaTheme="minorHAnsi"/>
        </w:rPr>
        <w:t>39.</w:t>
      </w:r>
      <w:r w:rsidRPr="00405EDD">
        <w:rPr>
          <w:rFonts w:eastAsiaTheme="minorHAnsi"/>
        </w:rPr>
        <w:tab/>
        <w:t xml:space="preserve">Jorgensen, W. L., Chandrasekhar, J., Madura, J. D., Impey, R. W. &amp; Klein, M. L. Comparison of simple potential functions for simulating liquid water. </w:t>
      </w:r>
      <w:r w:rsidRPr="00405EDD">
        <w:rPr>
          <w:rFonts w:eastAsiaTheme="minorHAnsi"/>
          <w:i/>
          <w:iCs/>
        </w:rPr>
        <w:t>J. Chem. Phys.</w:t>
      </w:r>
      <w:r w:rsidRPr="00405EDD">
        <w:rPr>
          <w:rFonts w:eastAsiaTheme="minorHAnsi"/>
        </w:rPr>
        <w:t xml:space="preserve"> </w:t>
      </w:r>
      <w:r w:rsidRPr="00405EDD">
        <w:rPr>
          <w:rFonts w:eastAsiaTheme="minorHAnsi"/>
          <w:b/>
          <w:bCs/>
        </w:rPr>
        <w:t>79</w:t>
      </w:r>
      <w:r w:rsidRPr="00405EDD">
        <w:rPr>
          <w:rFonts w:eastAsiaTheme="minorHAnsi"/>
        </w:rPr>
        <w:t>, 926–935 (1983).</w:t>
      </w:r>
    </w:p>
    <w:p w14:paraId="1EE80A94" w14:textId="77777777" w:rsidR="00405EDD" w:rsidRPr="00405EDD" w:rsidRDefault="00405EDD" w:rsidP="00DD7F74">
      <w:pPr>
        <w:pStyle w:val="Bibliography"/>
        <w:spacing w:line="240" w:lineRule="auto"/>
        <w:rPr>
          <w:rFonts w:eastAsiaTheme="minorHAnsi"/>
        </w:rPr>
      </w:pPr>
      <w:r w:rsidRPr="00405EDD">
        <w:rPr>
          <w:rFonts w:eastAsiaTheme="minorHAnsi"/>
        </w:rPr>
        <w:t>40.</w:t>
      </w:r>
      <w:r w:rsidRPr="00405EDD">
        <w:rPr>
          <w:rFonts w:eastAsiaTheme="minorHAnsi"/>
        </w:rPr>
        <w:tab/>
        <w:t xml:space="preserve">Mobley, D. L. </w:t>
      </w:r>
      <w:r w:rsidRPr="00405EDD">
        <w:rPr>
          <w:rFonts w:eastAsiaTheme="minorHAnsi"/>
          <w:i/>
          <w:iCs/>
        </w:rPr>
        <w:t>et al.</w:t>
      </w:r>
      <w:r w:rsidRPr="00405EDD">
        <w:rPr>
          <w:rFonts w:eastAsiaTheme="minorHAnsi"/>
        </w:rPr>
        <w:t xml:space="preserve"> Escaping Atom Types in Force Fields Using Direct Chemical Perception. </w:t>
      </w:r>
      <w:r w:rsidRPr="00405EDD">
        <w:rPr>
          <w:rFonts w:eastAsiaTheme="minorHAnsi"/>
          <w:i/>
          <w:iCs/>
        </w:rPr>
        <w:t>J. Chem. Theory Comput.</w:t>
      </w:r>
      <w:r w:rsidRPr="00405EDD">
        <w:rPr>
          <w:rFonts w:eastAsiaTheme="minorHAnsi"/>
        </w:rPr>
        <w:t xml:space="preserve"> </w:t>
      </w:r>
      <w:r w:rsidRPr="00405EDD">
        <w:rPr>
          <w:rFonts w:eastAsiaTheme="minorHAnsi"/>
          <w:b/>
          <w:bCs/>
        </w:rPr>
        <w:t>14</w:t>
      </w:r>
      <w:r w:rsidRPr="00405EDD">
        <w:rPr>
          <w:rFonts w:eastAsiaTheme="minorHAnsi"/>
        </w:rPr>
        <w:t>, 6076–6092 (2018).</w:t>
      </w:r>
    </w:p>
    <w:p w14:paraId="46EA94B3" w14:textId="77777777" w:rsidR="00405EDD" w:rsidRPr="00405EDD" w:rsidRDefault="00405EDD" w:rsidP="00DD7F74">
      <w:pPr>
        <w:pStyle w:val="Bibliography"/>
        <w:spacing w:line="240" w:lineRule="auto"/>
        <w:rPr>
          <w:rFonts w:eastAsiaTheme="minorHAnsi"/>
        </w:rPr>
      </w:pPr>
      <w:r w:rsidRPr="00405EDD">
        <w:rPr>
          <w:rFonts w:eastAsiaTheme="minorHAnsi"/>
        </w:rPr>
        <w:t>41.</w:t>
      </w:r>
      <w:r w:rsidRPr="00405EDD">
        <w:rPr>
          <w:rFonts w:eastAsiaTheme="minorHAnsi"/>
        </w:rPr>
        <w:tab/>
        <w:t xml:space="preserve">Gasteiger, J. &amp; Marsili, M. Iterative partial equalization of orbital electronegativity—a rapid access to atomic charges. </w:t>
      </w:r>
      <w:r w:rsidRPr="00405EDD">
        <w:rPr>
          <w:rFonts w:eastAsiaTheme="minorHAnsi"/>
          <w:i/>
          <w:iCs/>
        </w:rPr>
        <w:t>Tetrahedron</w:t>
      </w:r>
      <w:r w:rsidRPr="00405EDD">
        <w:rPr>
          <w:rFonts w:eastAsiaTheme="minorHAnsi"/>
        </w:rPr>
        <w:t xml:space="preserve"> </w:t>
      </w:r>
      <w:r w:rsidRPr="00405EDD">
        <w:rPr>
          <w:rFonts w:eastAsiaTheme="minorHAnsi"/>
          <w:b/>
          <w:bCs/>
        </w:rPr>
        <w:t>36</w:t>
      </w:r>
      <w:r w:rsidRPr="00405EDD">
        <w:rPr>
          <w:rFonts w:eastAsiaTheme="minorHAnsi"/>
        </w:rPr>
        <w:t>, 3219–3228 (1980).</w:t>
      </w:r>
    </w:p>
    <w:p w14:paraId="30577510" w14:textId="77777777" w:rsidR="00405EDD" w:rsidRPr="00405EDD" w:rsidRDefault="00405EDD" w:rsidP="00DD7F74">
      <w:pPr>
        <w:pStyle w:val="Bibliography"/>
        <w:spacing w:line="240" w:lineRule="auto"/>
        <w:rPr>
          <w:rFonts w:eastAsiaTheme="minorHAnsi"/>
        </w:rPr>
      </w:pPr>
      <w:r w:rsidRPr="00405EDD">
        <w:rPr>
          <w:rFonts w:eastAsiaTheme="minorHAnsi"/>
        </w:rPr>
        <w:t>42.</w:t>
      </w:r>
      <w:r w:rsidRPr="00405EDD">
        <w:rPr>
          <w:rFonts w:eastAsiaTheme="minorHAnsi"/>
        </w:rPr>
        <w:tab/>
        <w:t>Darden, T., York, D. &amp; Pedersen, L. Particle mesh Ewald: An N</w:t>
      </w:r>
      <w:r w:rsidRPr="00405EDD">
        <w:rPr>
          <w:rFonts w:ascii="Cambria Math" w:eastAsiaTheme="minorHAnsi" w:hAnsi="Cambria Math" w:cs="Cambria Math"/>
        </w:rPr>
        <w:t>⋅</w:t>
      </w:r>
      <w:r w:rsidRPr="00405EDD">
        <w:rPr>
          <w:rFonts w:eastAsiaTheme="minorHAnsi"/>
        </w:rPr>
        <w:t xml:space="preserve">log(N) method for Ewald sums in large systems. </w:t>
      </w:r>
      <w:r w:rsidRPr="00405EDD">
        <w:rPr>
          <w:rFonts w:eastAsiaTheme="minorHAnsi"/>
          <w:i/>
          <w:iCs/>
        </w:rPr>
        <w:t>J. Chem. Phys.</w:t>
      </w:r>
      <w:r w:rsidRPr="00405EDD">
        <w:rPr>
          <w:rFonts w:eastAsiaTheme="minorHAnsi"/>
        </w:rPr>
        <w:t xml:space="preserve"> </w:t>
      </w:r>
      <w:r w:rsidRPr="00405EDD">
        <w:rPr>
          <w:rFonts w:eastAsiaTheme="minorHAnsi"/>
          <w:b/>
          <w:bCs/>
        </w:rPr>
        <w:t>98</w:t>
      </w:r>
      <w:r w:rsidRPr="00405EDD">
        <w:rPr>
          <w:rFonts w:eastAsiaTheme="minorHAnsi"/>
        </w:rPr>
        <w:t>, 10089–10092 (1993).</w:t>
      </w:r>
    </w:p>
    <w:p w14:paraId="2632BF14" w14:textId="77777777" w:rsidR="00405EDD" w:rsidRPr="00405EDD" w:rsidRDefault="00405EDD" w:rsidP="00DD7F74">
      <w:pPr>
        <w:pStyle w:val="Bibliography"/>
        <w:spacing w:line="240" w:lineRule="auto"/>
        <w:rPr>
          <w:rFonts w:eastAsiaTheme="minorHAnsi"/>
        </w:rPr>
      </w:pPr>
      <w:r w:rsidRPr="00405EDD">
        <w:rPr>
          <w:rFonts w:eastAsiaTheme="minorHAnsi"/>
        </w:rPr>
        <w:t>43.</w:t>
      </w:r>
      <w:r w:rsidRPr="00405EDD">
        <w:rPr>
          <w:rFonts w:eastAsiaTheme="minorHAnsi"/>
        </w:rPr>
        <w:tab/>
        <w:t xml:space="preserve">Michaud-Agrawal, N., Denning, E. J., Woolf, T. B. &amp; Beckstein, O. MDAnalysis: A toolkit for the analysis of molecular dynamics simulations. </w:t>
      </w:r>
      <w:r w:rsidRPr="00405EDD">
        <w:rPr>
          <w:rFonts w:eastAsiaTheme="minorHAnsi"/>
          <w:i/>
          <w:iCs/>
        </w:rPr>
        <w:t>Journal of Computational Chemistry</w:t>
      </w:r>
      <w:r w:rsidRPr="00405EDD">
        <w:rPr>
          <w:rFonts w:eastAsiaTheme="minorHAnsi"/>
        </w:rPr>
        <w:t xml:space="preserve"> </w:t>
      </w:r>
      <w:r w:rsidRPr="00405EDD">
        <w:rPr>
          <w:rFonts w:eastAsiaTheme="minorHAnsi"/>
          <w:b/>
          <w:bCs/>
        </w:rPr>
        <w:t>32</w:t>
      </w:r>
      <w:r w:rsidRPr="00405EDD">
        <w:rPr>
          <w:rFonts w:eastAsiaTheme="minorHAnsi"/>
        </w:rPr>
        <w:t>, 2319–2327 (2011).</w:t>
      </w:r>
    </w:p>
    <w:p w14:paraId="03D93B0F" w14:textId="77777777" w:rsidR="00405EDD" w:rsidRPr="00405EDD" w:rsidRDefault="00405EDD" w:rsidP="00DD7F74">
      <w:pPr>
        <w:pStyle w:val="Bibliography"/>
        <w:spacing w:line="240" w:lineRule="auto"/>
        <w:rPr>
          <w:rFonts w:eastAsiaTheme="minorHAnsi"/>
        </w:rPr>
      </w:pPr>
      <w:r w:rsidRPr="00405EDD">
        <w:rPr>
          <w:rFonts w:eastAsiaTheme="minorHAnsi"/>
        </w:rPr>
        <w:t>44.</w:t>
      </w:r>
      <w:r w:rsidRPr="00405EDD">
        <w:rPr>
          <w:rFonts w:eastAsiaTheme="minorHAnsi"/>
        </w:rPr>
        <w:tab/>
        <w:t xml:space="preserve">McGibbon, R. T. </w:t>
      </w:r>
      <w:r w:rsidRPr="00405EDD">
        <w:rPr>
          <w:rFonts w:eastAsiaTheme="minorHAnsi"/>
          <w:i/>
          <w:iCs/>
        </w:rPr>
        <w:t>et al.</w:t>
      </w:r>
      <w:r w:rsidRPr="00405EDD">
        <w:rPr>
          <w:rFonts w:eastAsiaTheme="minorHAnsi"/>
        </w:rPr>
        <w:t xml:space="preserve"> MDTraj: A Modern Open Library for the Analysis of Molecular Dynamics Trajectories. </w:t>
      </w:r>
      <w:r w:rsidRPr="00405EDD">
        <w:rPr>
          <w:rFonts w:eastAsiaTheme="minorHAnsi"/>
          <w:i/>
          <w:iCs/>
        </w:rPr>
        <w:t>Biophysical Journal</w:t>
      </w:r>
      <w:r w:rsidRPr="00405EDD">
        <w:rPr>
          <w:rFonts w:eastAsiaTheme="minorHAnsi"/>
        </w:rPr>
        <w:t xml:space="preserve"> </w:t>
      </w:r>
      <w:r w:rsidRPr="00405EDD">
        <w:rPr>
          <w:rFonts w:eastAsiaTheme="minorHAnsi"/>
          <w:b/>
          <w:bCs/>
        </w:rPr>
        <w:t>109</w:t>
      </w:r>
      <w:r w:rsidRPr="00405EDD">
        <w:rPr>
          <w:rFonts w:eastAsiaTheme="minorHAnsi"/>
        </w:rPr>
        <w:t>, 1528–1532 (2015).</w:t>
      </w:r>
    </w:p>
    <w:p w14:paraId="3FBB6B4B" w14:textId="77777777" w:rsidR="00405EDD" w:rsidRPr="00405EDD" w:rsidRDefault="00405EDD" w:rsidP="00DD7F74">
      <w:pPr>
        <w:pStyle w:val="Bibliography"/>
        <w:spacing w:line="240" w:lineRule="auto"/>
        <w:rPr>
          <w:rFonts w:eastAsiaTheme="minorHAnsi"/>
        </w:rPr>
      </w:pPr>
      <w:r w:rsidRPr="00405EDD">
        <w:rPr>
          <w:rFonts w:eastAsiaTheme="minorHAnsi"/>
        </w:rPr>
        <w:t>45.</w:t>
      </w:r>
      <w:r w:rsidRPr="00405EDD">
        <w:rPr>
          <w:rFonts w:eastAsiaTheme="minorHAnsi"/>
        </w:rPr>
        <w:tab/>
        <w:t xml:space="preserve">Massova, I. &amp; Kollman, P. A. Combined molecular mechanical and continuum solvent approach (MM-PBSA/GBSA) to predict ligand binding. </w:t>
      </w:r>
      <w:r w:rsidRPr="00405EDD">
        <w:rPr>
          <w:rFonts w:eastAsiaTheme="minorHAnsi"/>
          <w:i/>
          <w:iCs/>
        </w:rPr>
        <w:t>Perspectives in Drug Discovery and Design</w:t>
      </w:r>
      <w:r w:rsidRPr="00405EDD">
        <w:rPr>
          <w:rFonts w:eastAsiaTheme="minorHAnsi"/>
        </w:rPr>
        <w:t xml:space="preserve"> </w:t>
      </w:r>
      <w:r w:rsidRPr="00405EDD">
        <w:rPr>
          <w:rFonts w:eastAsiaTheme="minorHAnsi"/>
          <w:b/>
          <w:bCs/>
        </w:rPr>
        <w:t>18</w:t>
      </w:r>
      <w:r w:rsidRPr="00405EDD">
        <w:rPr>
          <w:rFonts w:eastAsiaTheme="minorHAnsi"/>
        </w:rPr>
        <w:t>, 113–135 (2000).</w:t>
      </w:r>
    </w:p>
    <w:p w14:paraId="140FE29B" w14:textId="77777777" w:rsidR="00405EDD" w:rsidRPr="00405EDD" w:rsidRDefault="00405EDD" w:rsidP="00DD7F74">
      <w:pPr>
        <w:pStyle w:val="Bibliography"/>
        <w:spacing w:line="240" w:lineRule="auto"/>
        <w:rPr>
          <w:rFonts w:eastAsiaTheme="minorHAnsi"/>
        </w:rPr>
      </w:pPr>
      <w:r w:rsidRPr="00405EDD">
        <w:rPr>
          <w:rFonts w:eastAsiaTheme="minorHAnsi"/>
        </w:rPr>
        <w:t>46.</w:t>
      </w:r>
      <w:r w:rsidRPr="00405EDD">
        <w:rPr>
          <w:rFonts w:eastAsiaTheme="minorHAnsi"/>
        </w:rPr>
        <w:tab/>
        <w:t xml:space="preserve">Onufriev, A., Bashford, D. &amp; Case, D. A. Exploring protein native states and large-scale conformational changes with a modified generalized born model. </w:t>
      </w:r>
      <w:r w:rsidRPr="00405EDD">
        <w:rPr>
          <w:rFonts w:eastAsiaTheme="minorHAnsi"/>
          <w:i/>
          <w:iCs/>
        </w:rPr>
        <w:t>Proteins: Structure, Function, and Bioinformatics</w:t>
      </w:r>
      <w:r w:rsidRPr="00405EDD">
        <w:rPr>
          <w:rFonts w:eastAsiaTheme="minorHAnsi"/>
        </w:rPr>
        <w:t xml:space="preserve"> </w:t>
      </w:r>
      <w:r w:rsidRPr="00405EDD">
        <w:rPr>
          <w:rFonts w:eastAsiaTheme="minorHAnsi"/>
          <w:b/>
          <w:bCs/>
        </w:rPr>
        <w:t>55</w:t>
      </w:r>
      <w:r w:rsidRPr="00405EDD">
        <w:rPr>
          <w:rFonts w:eastAsiaTheme="minorHAnsi"/>
        </w:rPr>
        <w:t>, 383–394 (2004).</w:t>
      </w:r>
    </w:p>
    <w:p w14:paraId="22A16918" w14:textId="40751D4A" w:rsidR="007B0373" w:rsidRPr="00BB3608" w:rsidRDefault="00763B1D" w:rsidP="00DD7F74">
      <w:pPr>
        <w:pStyle w:val="Bibliography"/>
        <w:spacing w:line="240" w:lineRule="auto"/>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5B8F4A" w14:textId="77777777" w:rsidR="004551DF" w:rsidRDefault="004551DF" w:rsidP="00EA5648">
      <w:r>
        <w:separator/>
      </w:r>
    </w:p>
  </w:endnote>
  <w:endnote w:type="continuationSeparator" w:id="0">
    <w:p w14:paraId="60634EBD" w14:textId="77777777" w:rsidR="004551DF" w:rsidRDefault="004551DF"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3E6789" w14:textId="77777777" w:rsidR="004551DF" w:rsidRDefault="004551DF" w:rsidP="00EA5648">
      <w:r>
        <w:separator/>
      </w:r>
    </w:p>
  </w:footnote>
  <w:footnote w:type="continuationSeparator" w:id="0">
    <w:p w14:paraId="5D135596" w14:textId="77777777" w:rsidR="004551DF" w:rsidRDefault="004551DF"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503A"/>
    <w:multiLevelType w:val="hybridMultilevel"/>
    <w:tmpl w:val="CCA0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2"/>
  </w:num>
  <w:num w:numId="3" w16cid:durableId="3010356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1714"/>
    <w:rsid w:val="000060CC"/>
    <w:rsid w:val="00006884"/>
    <w:rsid w:val="00006FB2"/>
    <w:rsid w:val="000156E3"/>
    <w:rsid w:val="00020DEC"/>
    <w:rsid w:val="00021A9F"/>
    <w:rsid w:val="00023D3C"/>
    <w:rsid w:val="000328EB"/>
    <w:rsid w:val="000366F8"/>
    <w:rsid w:val="00037D36"/>
    <w:rsid w:val="00040531"/>
    <w:rsid w:val="000406F0"/>
    <w:rsid w:val="00044D00"/>
    <w:rsid w:val="0005224C"/>
    <w:rsid w:val="000538DD"/>
    <w:rsid w:val="00054F43"/>
    <w:rsid w:val="000606B1"/>
    <w:rsid w:val="000644BD"/>
    <w:rsid w:val="000644C3"/>
    <w:rsid w:val="000745EE"/>
    <w:rsid w:val="00083562"/>
    <w:rsid w:val="00085D4C"/>
    <w:rsid w:val="00087B21"/>
    <w:rsid w:val="000970E5"/>
    <w:rsid w:val="000973ED"/>
    <w:rsid w:val="00097E02"/>
    <w:rsid w:val="000A112D"/>
    <w:rsid w:val="000A1172"/>
    <w:rsid w:val="000A369B"/>
    <w:rsid w:val="000B0142"/>
    <w:rsid w:val="000B1500"/>
    <w:rsid w:val="000B178E"/>
    <w:rsid w:val="000B2E35"/>
    <w:rsid w:val="000B4D8C"/>
    <w:rsid w:val="000C00CB"/>
    <w:rsid w:val="000C068E"/>
    <w:rsid w:val="000D17F2"/>
    <w:rsid w:val="000E328A"/>
    <w:rsid w:val="000F1E0E"/>
    <w:rsid w:val="000F60B5"/>
    <w:rsid w:val="00104796"/>
    <w:rsid w:val="00106118"/>
    <w:rsid w:val="001168E7"/>
    <w:rsid w:val="00120227"/>
    <w:rsid w:val="0012388D"/>
    <w:rsid w:val="00126D84"/>
    <w:rsid w:val="00131F32"/>
    <w:rsid w:val="00132E9B"/>
    <w:rsid w:val="00134A97"/>
    <w:rsid w:val="001352C3"/>
    <w:rsid w:val="00137D0E"/>
    <w:rsid w:val="0014494F"/>
    <w:rsid w:val="001464A2"/>
    <w:rsid w:val="00146F81"/>
    <w:rsid w:val="00152EA8"/>
    <w:rsid w:val="00153DE6"/>
    <w:rsid w:val="001550B3"/>
    <w:rsid w:val="0015518B"/>
    <w:rsid w:val="00155503"/>
    <w:rsid w:val="00162BB5"/>
    <w:rsid w:val="00164182"/>
    <w:rsid w:val="00165F8F"/>
    <w:rsid w:val="00166620"/>
    <w:rsid w:val="001823FD"/>
    <w:rsid w:val="00185C54"/>
    <w:rsid w:val="00186F60"/>
    <w:rsid w:val="00190719"/>
    <w:rsid w:val="001A726C"/>
    <w:rsid w:val="001B0C11"/>
    <w:rsid w:val="001C21DF"/>
    <w:rsid w:val="001C441B"/>
    <w:rsid w:val="001C6753"/>
    <w:rsid w:val="001C6A02"/>
    <w:rsid w:val="001D0F7D"/>
    <w:rsid w:val="001D5A97"/>
    <w:rsid w:val="001D7155"/>
    <w:rsid w:val="001E34F7"/>
    <w:rsid w:val="001E4A2E"/>
    <w:rsid w:val="001E4DE8"/>
    <w:rsid w:val="001E4EB9"/>
    <w:rsid w:val="001E7362"/>
    <w:rsid w:val="001F0A69"/>
    <w:rsid w:val="002023D5"/>
    <w:rsid w:val="00211E4E"/>
    <w:rsid w:val="00214355"/>
    <w:rsid w:val="0022348C"/>
    <w:rsid w:val="00230A01"/>
    <w:rsid w:val="002315FF"/>
    <w:rsid w:val="00232CAE"/>
    <w:rsid w:val="0023650E"/>
    <w:rsid w:val="00243BB0"/>
    <w:rsid w:val="002449B5"/>
    <w:rsid w:val="0024748A"/>
    <w:rsid w:val="00254253"/>
    <w:rsid w:val="0025592B"/>
    <w:rsid w:val="00262F5D"/>
    <w:rsid w:val="002671AE"/>
    <w:rsid w:val="00267344"/>
    <w:rsid w:val="00276BFB"/>
    <w:rsid w:val="002776BF"/>
    <w:rsid w:val="00277ED3"/>
    <w:rsid w:val="00281AB1"/>
    <w:rsid w:val="002902D1"/>
    <w:rsid w:val="00297BFC"/>
    <w:rsid w:val="002A64FB"/>
    <w:rsid w:val="002B34C5"/>
    <w:rsid w:val="002B5128"/>
    <w:rsid w:val="002B62B1"/>
    <w:rsid w:val="002B6DFB"/>
    <w:rsid w:val="002C427F"/>
    <w:rsid w:val="002D1287"/>
    <w:rsid w:val="002D20AA"/>
    <w:rsid w:val="002E2CAD"/>
    <w:rsid w:val="002F2EE9"/>
    <w:rsid w:val="002F5FE7"/>
    <w:rsid w:val="002F6B18"/>
    <w:rsid w:val="002F6EA2"/>
    <w:rsid w:val="00300C25"/>
    <w:rsid w:val="0030352F"/>
    <w:rsid w:val="0030458C"/>
    <w:rsid w:val="00304F6D"/>
    <w:rsid w:val="00316329"/>
    <w:rsid w:val="00321E53"/>
    <w:rsid w:val="0032366C"/>
    <w:rsid w:val="003250A6"/>
    <w:rsid w:val="00325C5A"/>
    <w:rsid w:val="00331512"/>
    <w:rsid w:val="0033198F"/>
    <w:rsid w:val="00335759"/>
    <w:rsid w:val="003422D8"/>
    <w:rsid w:val="003431AA"/>
    <w:rsid w:val="0034497A"/>
    <w:rsid w:val="003604E7"/>
    <w:rsid w:val="00361EA7"/>
    <w:rsid w:val="0036587A"/>
    <w:rsid w:val="00380DA1"/>
    <w:rsid w:val="00382137"/>
    <w:rsid w:val="00385FCC"/>
    <w:rsid w:val="003869F6"/>
    <w:rsid w:val="003919B1"/>
    <w:rsid w:val="003A1CB7"/>
    <w:rsid w:val="003A584C"/>
    <w:rsid w:val="003B05E9"/>
    <w:rsid w:val="003B21EA"/>
    <w:rsid w:val="003B67BA"/>
    <w:rsid w:val="003B7262"/>
    <w:rsid w:val="003C2B5C"/>
    <w:rsid w:val="003C5F8B"/>
    <w:rsid w:val="003D40B4"/>
    <w:rsid w:val="003D7046"/>
    <w:rsid w:val="003E13C8"/>
    <w:rsid w:val="003E5C86"/>
    <w:rsid w:val="003F4B9F"/>
    <w:rsid w:val="003F6EE9"/>
    <w:rsid w:val="003F704A"/>
    <w:rsid w:val="003F74A7"/>
    <w:rsid w:val="00405EDD"/>
    <w:rsid w:val="00406A32"/>
    <w:rsid w:val="00413EE7"/>
    <w:rsid w:val="00415C1D"/>
    <w:rsid w:val="00430A42"/>
    <w:rsid w:val="0043131D"/>
    <w:rsid w:val="004327D7"/>
    <w:rsid w:val="00434A22"/>
    <w:rsid w:val="00434DCE"/>
    <w:rsid w:val="00442202"/>
    <w:rsid w:val="00442CB1"/>
    <w:rsid w:val="00443B09"/>
    <w:rsid w:val="00444107"/>
    <w:rsid w:val="00447D4A"/>
    <w:rsid w:val="004551DF"/>
    <w:rsid w:val="00456A13"/>
    <w:rsid w:val="004574A0"/>
    <w:rsid w:val="00460C26"/>
    <w:rsid w:val="00461E7C"/>
    <w:rsid w:val="0046483F"/>
    <w:rsid w:val="00465185"/>
    <w:rsid w:val="00471553"/>
    <w:rsid w:val="00472985"/>
    <w:rsid w:val="00473791"/>
    <w:rsid w:val="00474924"/>
    <w:rsid w:val="004868BC"/>
    <w:rsid w:val="00486B05"/>
    <w:rsid w:val="004A3B78"/>
    <w:rsid w:val="004B23D9"/>
    <w:rsid w:val="004B41B1"/>
    <w:rsid w:val="004B60F7"/>
    <w:rsid w:val="004C2897"/>
    <w:rsid w:val="004D4709"/>
    <w:rsid w:val="004D758D"/>
    <w:rsid w:val="004E3CAD"/>
    <w:rsid w:val="004F5313"/>
    <w:rsid w:val="004F5449"/>
    <w:rsid w:val="004F6D77"/>
    <w:rsid w:val="005108E2"/>
    <w:rsid w:val="00516B6E"/>
    <w:rsid w:val="005170F9"/>
    <w:rsid w:val="005219C3"/>
    <w:rsid w:val="0052667C"/>
    <w:rsid w:val="00534F16"/>
    <w:rsid w:val="00536017"/>
    <w:rsid w:val="005365EF"/>
    <w:rsid w:val="00541059"/>
    <w:rsid w:val="005421C2"/>
    <w:rsid w:val="00542AD3"/>
    <w:rsid w:val="00544B7B"/>
    <w:rsid w:val="00546651"/>
    <w:rsid w:val="005475A5"/>
    <w:rsid w:val="005478F3"/>
    <w:rsid w:val="00547C65"/>
    <w:rsid w:val="00554FD7"/>
    <w:rsid w:val="00555948"/>
    <w:rsid w:val="00566485"/>
    <w:rsid w:val="00572245"/>
    <w:rsid w:val="00573E87"/>
    <w:rsid w:val="00574ECC"/>
    <w:rsid w:val="00577ABC"/>
    <w:rsid w:val="005830D2"/>
    <w:rsid w:val="00584482"/>
    <w:rsid w:val="00592D46"/>
    <w:rsid w:val="00594894"/>
    <w:rsid w:val="005A187E"/>
    <w:rsid w:val="005A260A"/>
    <w:rsid w:val="005A3F71"/>
    <w:rsid w:val="005A458B"/>
    <w:rsid w:val="005C0F1B"/>
    <w:rsid w:val="005C2299"/>
    <w:rsid w:val="005D5032"/>
    <w:rsid w:val="005D55A0"/>
    <w:rsid w:val="005E5C8B"/>
    <w:rsid w:val="005F0819"/>
    <w:rsid w:val="005F52FE"/>
    <w:rsid w:val="005F5ED0"/>
    <w:rsid w:val="005F6D6C"/>
    <w:rsid w:val="005F7E90"/>
    <w:rsid w:val="00611478"/>
    <w:rsid w:val="0061294B"/>
    <w:rsid w:val="006257EC"/>
    <w:rsid w:val="00634555"/>
    <w:rsid w:val="006431A6"/>
    <w:rsid w:val="00645497"/>
    <w:rsid w:val="00652E49"/>
    <w:rsid w:val="006602A7"/>
    <w:rsid w:val="006668A5"/>
    <w:rsid w:val="00671B81"/>
    <w:rsid w:val="006720BB"/>
    <w:rsid w:val="00676923"/>
    <w:rsid w:val="00687912"/>
    <w:rsid w:val="006919AA"/>
    <w:rsid w:val="00693562"/>
    <w:rsid w:val="0069357F"/>
    <w:rsid w:val="006A06BF"/>
    <w:rsid w:val="006A3F10"/>
    <w:rsid w:val="006A57E7"/>
    <w:rsid w:val="006B2CF8"/>
    <w:rsid w:val="006C0617"/>
    <w:rsid w:val="006D52D1"/>
    <w:rsid w:val="006E6413"/>
    <w:rsid w:val="006E7C0B"/>
    <w:rsid w:val="006F24CF"/>
    <w:rsid w:val="006F396D"/>
    <w:rsid w:val="006F609B"/>
    <w:rsid w:val="00707D4B"/>
    <w:rsid w:val="00713B36"/>
    <w:rsid w:val="00720A25"/>
    <w:rsid w:val="00724AC1"/>
    <w:rsid w:val="00737ECD"/>
    <w:rsid w:val="00742FFD"/>
    <w:rsid w:val="00751967"/>
    <w:rsid w:val="00755CAB"/>
    <w:rsid w:val="007618A4"/>
    <w:rsid w:val="00763B1D"/>
    <w:rsid w:val="00774596"/>
    <w:rsid w:val="00780AC7"/>
    <w:rsid w:val="00797CAD"/>
    <w:rsid w:val="007A2B2E"/>
    <w:rsid w:val="007B0373"/>
    <w:rsid w:val="007B4484"/>
    <w:rsid w:val="007B73F8"/>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C8E"/>
    <w:rsid w:val="00834F2A"/>
    <w:rsid w:val="00835458"/>
    <w:rsid w:val="00843133"/>
    <w:rsid w:val="0084703A"/>
    <w:rsid w:val="008572A1"/>
    <w:rsid w:val="00862498"/>
    <w:rsid w:val="00865EB5"/>
    <w:rsid w:val="008672BF"/>
    <w:rsid w:val="00874D9D"/>
    <w:rsid w:val="008827E3"/>
    <w:rsid w:val="00884DAF"/>
    <w:rsid w:val="008869E6"/>
    <w:rsid w:val="0089367D"/>
    <w:rsid w:val="00896B84"/>
    <w:rsid w:val="00897100"/>
    <w:rsid w:val="008C3021"/>
    <w:rsid w:val="008C46C2"/>
    <w:rsid w:val="008D0480"/>
    <w:rsid w:val="008D3AFC"/>
    <w:rsid w:val="008D424E"/>
    <w:rsid w:val="008E42CA"/>
    <w:rsid w:val="008F1540"/>
    <w:rsid w:val="008F4BF1"/>
    <w:rsid w:val="00901095"/>
    <w:rsid w:val="00906992"/>
    <w:rsid w:val="00907754"/>
    <w:rsid w:val="00907EEB"/>
    <w:rsid w:val="00920AD4"/>
    <w:rsid w:val="00921FA4"/>
    <w:rsid w:val="00923B9B"/>
    <w:rsid w:val="009247B6"/>
    <w:rsid w:val="00927D18"/>
    <w:rsid w:val="0093179D"/>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9089A"/>
    <w:rsid w:val="009977AB"/>
    <w:rsid w:val="009A671A"/>
    <w:rsid w:val="009B09AD"/>
    <w:rsid w:val="009B499D"/>
    <w:rsid w:val="009B4EB6"/>
    <w:rsid w:val="009B6E3A"/>
    <w:rsid w:val="009C0415"/>
    <w:rsid w:val="009C1E5B"/>
    <w:rsid w:val="009C7643"/>
    <w:rsid w:val="009D1292"/>
    <w:rsid w:val="009D1AB3"/>
    <w:rsid w:val="009D5DAB"/>
    <w:rsid w:val="009D665E"/>
    <w:rsid w:val="009D67D5"/>
    <w:rsid w:val="009E149E"/>
    <w:rsid w:val="009E1D62"/>
    <w:rsid w:val="009E3D06"/>
    <w:rsid w:val="009E48E6"/>
    <w:rsid w:val="009F33B8"/>
    <w:rsid w:val="009F7F9F"/>
    <w:rsid w:val="00A017E0"/>
    <w:rsid w:val="00A132BA"/>
    <w:rsid w:val="00A13F6B"/>
    <w:rsid w:val="00A23327"/>
    <w:rsid w:val="00A23B47"/>
    <w:rsid w:val="00A305C8"/>
    <w:rsid w:val="00A316A7"/>
    <w:rsid w:val="00A31C6E"/>
    <w:rsid w:val="00A322F1"/>
    <w:rsid w:val="00A361BD"/>
    <w:rsid w:val="00A537ED"/>
    <w:rsid w:val="00A575B2"/>
    <w:rsid w:val="00A64383"/>
    <w:rsid w:val="00A663E1"/>
    <w:rsid w:val="00A667B3"/>
    <w:rsid w:val="00A7689E"/>
    <w:rsid w:val="00A77EE2"/>
    <w:rsid w:val="00A86CFB"/>
    <w:rsid w:val="00AA15DF"/>
    <w:rsid w:val="00AA2F58"/>
    <w:rsid w:val="00AA56BC"/>
    <w:rsid w:val="00AA7A20"/>
    <w:rsid w:val="00AB7308"/>
    <w:rsid w:val="00AC3FFE"/>
    <w:rsid w:val="00AD031C"/>
    <w:rsid w:val="00AD782E"/>
    <w:rsid w:val="00AE6586"/>
    <w:rsid w:val="00AF005F"/>
    <w:rsid w:val="00AF30BF"/>
    <w:rsid w:val="00B0782F"/>
    <w:rsid w:val="00B112A6"/>
    <w:rsid w:val="00B11FD5"/>
    <w:rsid w:val="00B14659"/>
    <w:rsid w:val="00B24F5E"/>
    <w:rsid w:val="00B31666"/>
    <w:rsid w:val="00B33B67"/>
    <w:rsid w:val="00B421CB"/>
    <w:rsid w:val="00B44656"/>
    <w:rsid w:val="00B47808"/>
    <w:rsid w:val="00B51E09"/>
    <w:rsid w:val="00B532B0"/>
    <w:rsid w:val="00B66B4F"/>
    <w:rsid w:val="00B67051"/>
    <w:rsid w:val="00B747D0"/>
    <w:rsid w:val="00B750C1"/>
    <w:rsid w:val="00B81311"/>
    <w:rsid w:val="00B8355D"/>
    <w:rsid w:val="00B84DD5"/>
    <w:rsid w:val="00B907B8"/>
    <w:rsid w:val="00B90F8D"/>
    <w:rsid w:val="00B923F2"/>
    <w:rsid w:val="00BA1AEF"/>
    <w:rsid w:val="00BB3608"/>
    <w:rsid w:val="00BB5BF6"/>
    <w:rsid w:val="00BC11ED"/>
    <w:rsid w:val="00BC2F88"/>
    <w:rsid w:val="00BC4626"/>
    <w:rsid w:val="00BC7757"/>
    <w:rsid w:val="00BD2E8C"/>
    <w:rsid w:val="00BE0212"/>
    <w:rsid w:val="00BE6784"/>
    <w:rsid w:val="00BF3A90"/>
    <w:rsid w:val="00BF3DF7"/>
    <w:rsid w:val="00C04494"/>
    <w:rsid w:val="00C12CEB"/>
    <w:rsid w:val="00C13DE2"/>
    <w:rsid w:val="00C13FA8"/>
    <w:rsid w:val="00C31C75"/>
    <w:rsid w:val="00C33AC8"/>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B5C39"/>
    <w:rsid w:val="00CB613B"/>
    <w:rsid w:val="00CC4B34"/>
    <w:rsid w:val="00CC5E6F"/>
    <w:rsid w:val="00CD5CCF"/>
    <w:rsid w:val="00CE23B4"/>
    <w:rsid w:val="00CE48A5"/>
    <w:rsid w:val="00CE4CDF"/>
    <w:rsid w:val="00CF6916"/>
    <w:rsid w:val="00D03D24"/>
    <w:rsid w:val="00D04D97"/>
    <w:rsid w:val="00D105F5"/>
    <w:rsid w:val="00D17D1B"/>
    <w:rsid w:val="00D25A7C"/>
    <w:rsid w:val="00D25ECE"/>
    <w:rsid w:val="00D27076"/>
    <w:rsid w:val="00D34269"/>
    <w:rsid w:val="00D34B15"/>
    <w:rsid w:val="00D34E37"/>
    <w:rsid w:val="00D37DEE"/>
    <w:rsid w:val="00D4447D"/>
    <w:rsid w:val="00D46E71"/>
    <w:rsid w:val="00D47BB9"/>
    <w:rsid w:val="00D53395"/>
    <w:rsid w:val="00D55096"/>
    <w:rsid w:val="00D55273"/>
    <w:rsid w:val="00D55C96"/>
    <w:rsid w:val="00D62481"/>
    <w:rsid w:val="00D63D67"/>
    <w:rsid w:val="00D8052C"/>
    <w:rsid w:val="00D80632"/>
    <w:rsid w:val="00D81E83"/>
    <w:rsid w:val="00D82DE8"/>
    <w:rsid w:val="00D84CE1"/>
    <w:rsid w:val="00D86BE2"/>
    <w:rsid w:val="00D93008"/>
    <w:rsid w:val="00DA319B"/>
    <w:rsid w:val="00DB126B"/>
    <w:rsid w:val="00DB5AE6"/>
    <w:rsid w:val="00DB7CB5"/>
    <w:rsid w:val="00DC2082"/>
    <w:rsid w:val="00DC5E99"/>
    <w:rsid w:val="00DC7721"/>
    <w:rsid w:val="00DD72F4"/>
    <w:rsid w:val="00DD7F74"/>
    <w:rsid w:val="00DE4935"/>
    <w:rsid w:val="00DF6AF9"/>
    <w:rsid w:val="00E013CB"/>
    <w:rsid w:val="00E049D2"/>
    <w:rsid w:val="00E06057"/>
    <w:rsid w:val="00E0760E"/>
    <w:rsid w:val="00E159E0"/>
    <w:rsid w:val="00E21BA6"/>
    <w:rsid w:val="00E2418D"/>
    <w:rsid w:val="00E278A5"/>
    <w:rsid w:val="00E3005A"/>
    <w:rsid w:val="00E31695"/>
    <w:rsid w:val="00E340E6"/>
    <w:rsid w:val="00E341D2"/>
    <w:rsid w:val="00E51A7F"/>
    <w:rsid w:val="00E5652C"/>
    <w:rsid w:val="00E63EF7"/>
    <w:rsid w:val="00E667D3"/>
    <w:rsid w:val="00E7021E"/>
    <w:rsid w:val="00E77CEA"/>
    <w:rsid w:val="00E8192C"/>
    <w:rsid w:val="00E953BF"/>
    <w:rsid w:val="00EA5648"/>
    <w:rsid w:val="00EA5681"/>
    <w:rsid w:val="00EA6B72"/>
    <w:rsid w:val="00EA6F61"/>
    <w:rsid w:val="00EB72A7"/>
    <w:rsid w:val="00EC4578"/>
    <w:rsid w:val="00EC7DA4"/>
    <w:rsid w:val="00ED1B78"/>
    <w:rsid w:val="00ED2954"/>
    <w:rsid w:val="00ED5AF7"/>
    <w:rsid w:val="00ED698D"/>
    <w:rsid w:val="00EE01CA"/>
    <w:rsid w:val="00EE3E24"/>
    <w:rsid w:val="00EE4E1D"/>
    <w:rsid w:val="00EE65AE"/>
    <w:rsid w:val="00EF35F8"/>
    <w:rsid w:val="00F113B1"/>
    <w:rsid w:val="00F11FC3"/>
    <w:rsid w:val="00F17BA1"/>
    <w:rsid w:val="00F2303F"/>
    <w:rsid w:val="00F25C75"/>
    <w:rsid w:val="00F34CD6"/>
    <w:rsid w:val="00F4076A"/>
    <w:rsid w:val="00F4099F"/>
    <w:rsid w:val="00F41060"/>
    <w:rsid w:val="00F444E6"/>
    <w:rsid w:val="00F45CA6"/>
    <w:rsid w:val="00F501B3"/>
    <w:rsid w:val="00F520E1"/>
    <w:rsid w:val="00F53C22"/>
    <w:rsid w:val="00F54887"/>
    <w:rsid w:val="00F5517A"/>
    <w:rsid w:val="00F65150"/>
    <w:rsid w:val="00F67A84"/>
    <w:rsid w:val="00F67C42"/>
    <w:rsid w:val="00F67DC9"/>
    <w:rsid w:val="00F72530"/>
    <w:rsid w:val="00F727B6"/>
    <w:rsid w:val="00F77AFE"/>
    <w:rsid w:val="00F8679F"/>
    <w:rsid w:val="00F86B08"/>
    <w:rsid w:val="00FA0C87"/>
    <w:rsid w:val="00FA68FF"/>
    <w:rsid w:val="00FA7C45"/>
    <w:rsid w:val="00FA7F90"/>
    <w:rsid w:val="00FB45FB"/>
    <w:rsid w:val="00FB6672"/>
    <w:rsid w:val="00FC2C04"/>
    <w:rsid w:val="00FD5AE8"/>
    <w:rsid w:val="00FE1644"/>
    <w:rsid w:val="00FE1776"/>
    <w:rsid w:val="00FE297B"/>
    <w:rsid w:val="00FE7D2D"/>
    <w:rsid w:val="00FE7E3C"/>
    <w:rsid w:val="00FF07D5"/>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DD"/>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5F5"/>
    <w:rPr>
      <w:color w:val="666666"/>
    </w:rPr>
  </w:style>
  <w:style w:type="paragraph" w:styleId="Revision">
    <w:name w:val="Revision"/>
    <w:hidden/>
    <w:uiPriority w:val="99"/>
    <w:semiHidden/>
    <w:rsid w:val="00652E49"/>
    <w:rPr>
      <w:rFonts w:eastAsiaTheme="minorEastAsia"/>
    </w:rPr>
  </w:style>
  <w:style w:type="character" w:styleId="CommentReference">
    <w:name w:val="annotation reference"/>
    <w:basedOn w:val="DefaultParagraphFont"/>
    <w:uiPriority w:val="99"/>
    <w:semiHidden/>
    <w:unhideWhenUsed/>
    <w:rsid w:val="006C0617"/>
    <w:rPr>
      <w:sz w:val="16"/>
      <w:szCs w:val="16"/>
    </w:rPr>
  </w:style>
  <w:style w:type="paragraph" w:styleId="CommentText">
    <w:name w:val="annotation text"/>
    <w:basedOn w:val="Normal"/>
    <w:link w:val="CommentTextChar"/>
    <w:uiPriority w:val="99"/>
    <w:semiHidden/>
    <w:unhideWhenUsed/>
    <w:rsid w:val="006C0617"/>
    <w:rPr>
      <w:sz w:val="20"/>
      <w:szCs w:val="18"/>
    </w:rPr>
  </w:style>
  <w:style w:type="character" w:customStyle="1" w:styleId="CommentTextChar">
    <w:name w:val="Comment Text Char"/>
    <w:basedOn w:val="DefaultParagraphFont"/>
    <w:link w:val="CommentText"/>
    <w:uiPriority w:val="99"/>
    <w:semiHidden/>
    <w:rsid w:val="006C0617"/>
    <w:rPr>
      <w:rFonts w:eastAsiaTheme="minorEastAsia"/>
      <w:sz w:val="20"/>
      <w:szCs w:val="18"/>
    </w:rPr>
  </w:style>
  <w:style w:type="paragraph" w:styleId="CommentSubject">
    <w:name w:val="annotation subject"/>
    <w:basedOn w:val="CommentText"/>
    <w:next w:val="CommentText"/>
    <w:link w:val="CommentSubjectChar"/>
    <w:uiPriority w:val="99"/>
    <w:semiHidden/>
    <w:unhideWhenUsed/>
    <w:rsid w:val="006C0617"/>
    <w:rPr>
      <w:b/>
      <w:bCs/>
    </w:rPr>
  </w:style>
  <w:style w:type="character" w:customStyle="1" w:styleId="CommentSubjectChar">
    <w:name w:val="Comment Subject Char"/>
    <w:basedOn w:val="CommentTextChar"/>
    <w:link w:val="CommentSubject"/>
    <w:uiPriority w:val="99"/>
    <w:semiHidden/>
    <w:rsid w:val="006C0617"/>
    <w:rPr>
      <w:rFonts w:eastAsiaTheme="minorEastAsia"/>
      <w:b/>
      <w:bCs/>
      <w:sz w:val="20"/>
      <w:szCs w:val="18"/>
    </w:rPr>
  </w:style>
  <w:style w:type="character" w:styleId="Hyperlink">
    <w:name w:val="Hyperlink"/>
    <w:basedOn w:val="DefaultParagraphFont"/>
    <w:uiPriority w:val="99"/>
    <w:unhideWhenUsed/>
    <w:rsid w:val="00CB5C39"/>
    <w:rPr>
      <w:color w:val="467886" w:themeColor="hyperlink"/>
      <w:u w:val="single"/>
    </w:rPr>
  </w:style>
  <w:style w:type="character" w:styleId="UnresolvedMention">
    <w:name w:val="Unresolved Mention"/>
    <w:basedOn w:val="DefaultParagraphFont"/>
    <w:uiPriority w:val="99"/>
    <w:semiHidden/>
    <w:unhideWhenUsed/>
    <w:rsid w:val="00CB5C39"/>
    <w:rPr>
      <w:color w:val="605E5C"/>
      <w:shd w:val="clear" w:color="auto" w:fill="E1DFDD"/>
    </w:rPr>
  </w:style>
  <w:style w:type="table" w:styleId="GridTable1Light">
    <w:name w:val="Grid Table 1 Light"/>
    <w:basedOn w:val="TableNormal"/>
    <w:uiPriority w:val="46"/>
    <w:rsid w:val="006F39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BC11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pubchem.ncbi.nlm.nih.gov/compound/Doravir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hyperlink" Target="https://www.rcsb.org/structure/4NCG" TargetMode="External"/><Relationship Id="rId4" Type="http://schemas.openxmlformats.org/officeDocument/2006/relationships/settings" Target="settings.xml"/><Relationship Id="rId9" Type="http://schemas.openxmlformats.org/officeDocument/2006/relationships/hyperlink" Target="https://hivdb.stanford.edu/"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1F1C6-25DF-DD47-9772-CF32ACCD4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23</Pages>
  <Words>31959</Words>
  <Characters>182172</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25</cp:revision>
  <dcterms:created xsi:type="dcterms:W3CDTF">2026-07-09T19:41:00Z</dcterms:created>
  <dcterms:modified xsi:type="dcterms:W3CDTF">2026-08-13T00:19:00Z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id="bQDO2zVe"/&gt;&lt;style id="http://www.zotero.org/styles/nature" hasBibliography="1" bibliographyStyleHasBeenSet="1"/&gt;&lt;prefs&gt;&lt;pref name="fieldType" value="Field"/&gt;&lt;/prefs&gt;&lt;/data&gt;</vt:lpwstr>
  </property>
</Properties>
</file>