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840B8C" w14:textId="08C0B105" w:rsidR="003D726F" w:rsidRPr="004100CF" w:rsidRDefault="003D726F">
      <w:pPr>
        <w:rPr>
          <w:rFonts w:ascii="Times New Roman" w:hAnsi="Times New Roman" w:cs="Times New Roman"/>
          <w:b/>
          <w:bCs/>
          <w:sz w:val="36"/>
          <w:szCs w:val="28"/>
        </w:rPr>
      </w:pPr>
      <w:r w:rsidRPr="004100CF">
        <w:rPr>
          <w:rFonts w:ascii="Times New Roman" w:hAnsi="Times New Roman" w:cs="Times New Roman"/>
          <w:b/>
          <w:bCs/>
          <w:sz w:val="32"/>
          <w:szCs w:val="24"/>
        </w:rPr>
        <w:t>Molecular Simulation of Doravirine Resistance in HIV-1 Reverse Transcriptase</w:t>
      </w:r>
    </w:p>
    <w:p w14:paraId="09BBE4FF" w14:textId="77777777" w:rsidR="003D726F" w:rsidRPr="004100CF" w:rsidRDefault="003D726F">
      <w:pPr>
        <w:rPr>
          <w:rFonts w:ascii="Times New Roman" w:hAnsi="Times New Roman" w:cs="Times New Roman"/>
          <w:b/>
          <w:bCs/>
          <w:sz w:val="28"/>
          <w:szCs w:val="22"/>
        </w:rPr>
      </w:pPr>
    </w:p>
    <w:p w14:paraId="60E8EB5D" w14:textId="77777777" w:rsidR="003D726F" w:rsidRPr="004100CF" w:rsidRDefault="003D726F" w:rsidP="003D726F">
      <w:pPr>
        <w:rPr>
          <w:rFonts w:ascii="Times New Roman" w:hAnsi="Times New Roman" w:cs="Times New Roman"/>
          <w:szCs w:val="24"/>
        </w:rPr>
      </w:pPr>
      <w:r w:rsidRPr="004100CF">
        <w:rPr>
          <w:rFonts w:ascii="Times New Roman" w:hAnsi="Times New Roman" w:cs="Times New Roman"/>
          <w:szCs w:val="24"/>
        </w:rPr>
        <w:t>Rohit Satija</w:t>
      </w:r>
      <w:r w:rsidRPr="004100CF">
        <w:rPr>
          <w:rFonts w:ascii="Times New Roman" w:hAnsi="Times New Roman" w:cs="Times New Roman"/>
          <w:szCs w:val="24"/>
          <w:vertAlign w:val="superscript"/>
        </w:rPr>
        <w:t>1</w:t>
      </w:r>
      <w:r w:rsidRPr="004100CF">
        <w:rPr>
          <w:rFonts w:ascii="Times New Roman" w:hAnsi="Times New Roman" w:cs="Times New Roman"/>
          <w:szCs w:val="24"/>
        </w:rPr>
        <w:t>, Kaiming Tao</w:t>
      </w:r>
      <w:r w:rsidRPr="004100CF">
        <w:rPr>
          <w:rFonts w:ascii="Times New Roman" w:hAnsi="Times New Roman" w:cs="Times New Roman"/>
          <w:szCs w:val="24"/>
          <w:vertAlign w:val="superscript"/>
        </w:rPr>
        <w:t>1</w:t>
      </w:r>
      <w:r w:rsidRPr="004100CF">
        <w:rPr>
          <w:rFonts w:ascii="Times New Roman" w:hAnsi="Times New Roman" w:cs="Times New Roman"/>
          <w:szCs w:val="24"/>
        </w:rPr>
        <w:t>, Robert W. Shafer</w:t>
      </w:r>
      <w:r w:rsidRPr="004100CF">
        <w:rPr>
          <w:rFonts w:ascii="Times New Roman" w:hAnsi="Times New Roman" w:cs="Times New Roman"/>
          <w:szCs w:val="24"/>
          <w:vertAlign w:val="superscript"/>
        </w:rPr>
        <w:t>1*</w:t>
      </w:r>
    </w:p>
    <w:p w14:paraId="629A3B5B" w14:textId="77777777" w:rsidR="003D726F" w:rsidRPr="004100CF" w:rsidRDefault="003D726F" w:rsidP="003D726F">
      <w:pPr>
        <w:rPr>
          <w:rFonts w:ascii="Times New Roman" w:hAnsi="Times New Roman" w:cs="Times New Roman"/>
          <w:szCs w:val="24"/>
        </w:rPr>
      </w:pPr>
      <w:r w:rsidRPr="004100CF">
        <w:rPr>
          <w:rFonts w:ascii="Times New Roman" w:hAnsi="Times New Roman" w:cs="Times New Roman"/>
          <w:szCs w:val="24"/>
          <w:vertAlign w:val="superscript"/>
        </w:rPr>
        <w:t>1</w:t>
      </w:r>
      <w:r w:rsidRPr="004100CF">
        <w:rPr>
          <w:rFonts w:ascii="Times New Roman" w:hAnsi="Times New Roman" w:cs="Times New Roman"/>
          <w:szCs w:val="24"/>
        </w:rPr>
        <w:t>Division of Infectious Diseases, School of Medicine, Stanford University, Stanford, CA, USA</w:t>
      </w:r>
    </w:p>
    <w:p w14:paraId="51E3F377" w14:textId="77777777" w:rsidR="003D726F" w:rsidRPr="004100CF" w:rsidRDefault="003D726F" w:rsidP="003D726F">
      <w:pPr>
        <w:rPr>
          <w:rFonts w:ascii="Times New Roman" w:hAnsi="Times New Roman" w:cs="Times New Roman"/>
          <w:szCs w:val="24"/>
        </w:rPr>
      </w:pPr>
      <w:r w:rsidRPr="004100CF">
        <w:rPr>
          <w:rFonts w:ascii="Times New Roman" w:hAnsi="Times New Roman" w:cs="Times New Roman"/>
          <w:szCs w:val="24"/>
        </w:rPr>
        <w:t>*Corresponding author (rshafer@stanford.edu)</w:t>
      </w:r>
    </w:p>
    <w:p w14:paraId="7AAC55A2" w14:textId="77777777" w:rsidR="003D726F" w:rsidRPr="004100CF" w:rsidRDefault="003D726F">
      <w:pPr>
        <w:rPr>
          <w:rFonts w:ascii="Times New Roman" w:hAnsi="Times New Roman" w:cs="Times New Roman"/>
          <w:b/>
          <w:bCs/>
          <w:sz w:val="28"/>
          <w:szCs w:val="22"/>
        </w:rPr>
      </w:pPr>
    </w:p>
    <w:p w14:paraId="55124C1C" w14:textId="26BBB282" w:rsidR="00106118" w:rsidRPr="004100CF" w:rsidRDefault="00831C83" w:rsidP="00E4582F">
      <w:pPr>
        <w:spacing w:after="240"/>
        <w:rPr>
          <w:rFonts w:ascii="Times New Roman" w:hAnsi="Times New Roman" w:cs="Times New Roman"/>
          <w:b/>
          <w:bCs/>
          <w:sz w:val="28"/>
          <w:szCs w:val="22"/>
        </w:rPr>
      </w:pPr>
      <w:r w:rsidRPr="004100CF">
        <w:rPr>
          <w:rFonts w:ascii="Times New Roman" w:hAnsi="Times New Roman" w:cs="Times New Roman"/>
          <w:b/>
          <w:bCs/>
          <w:sz w:val="28"/>
          <w:szCs w:val="22"/>
        </w:rPr>
        <w:t>Abstract</w:t>
      </w:r>
    </w:p>
    <w:p w14:paraId="5DABE38D" w14:textId="77777777" w:rsidR="00E4582F" w:rsidRDefault="003D726F" w:rsidP="004770A2">
      <w:pPr>
        <w:rPr>
          <w:rFonts w:ascii="Times New Roman" w:hAnsi="Times New Roman" w:cs="Times New Roman"/>
          <w:b/>
          <w:bCs/>
          <w:u w:val="single"/>
        </w:rPr>
      </w:pPr>
      <w:r w:rsidRPr="004100CF">
        <w:rPr>
          <w:rFonts w:ascii="Times New Roman" w:hAnsi="Times New Roman" w:cs="Times New Roman"/>
          <w:b/>
          <w:bCs/>
          <w:u w:val="single"/>
        </w:rPr>
        <w:t>Background</w:t>
      </w:r>
    </w:p>
    <w:p w14:paraId="3166E3C3" w14:textId="39FDEE4D" w:rsidR="003D726F" w:rsidRPr="004100CF" w:rsidRDefault="004770A2" w:rsidP="004770A2">
      <w:pPr>
        <w:rPr>
          <w:rFonts w:ascii="Times New Roman" w:hAnsi="Times New Roman" w:cs="Times New Roman"/>
        </w:rPr>
      </w:pPr>
      <w:r w:rsidRPr="004100CF">
        <w:rPr>
          <w:rFonts w:ascii="Times New Roman" w:hAnsi="Times New Roman" w:cs="Times New Roman"/>
        </w:rP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527DE0C6" w14:textId="77777777" w:rsidR="003D726F" w:rsidRPr="004100CF" w:rsidRDefault="003D726F" w:rsidP="004770A2">
      <w:pPr>
        <w:rPr>
          <w:rFonts w:ascii="Times New Roman" w:hAnsi="Times New Roman" w:cs="Times New Roman"/>
        </w:rPr>
      </w:pPr>
    </w:p>
    <w:p w14:paraId="3DF12F7B" w14:textId="77777777" w:rsidR="00E4582F" w:rsidRDefault="003D726F" w:rsidP="004770A2">
      <w:pPr>
        <w:rPr>
          <w:rFonts w:ascii="Times New Roman" w:hAnsi="Times New Roman" w:cs="Times New Roman"/>
          <w:b/>
          <w:bCs/>
          <w:u w:val="single"/>
        </w:rPr>
      </w:pPr>
      <w:r w:rsidRPr="004100CF">
        <w:rPr>
          <w:rFonts w:ascii="Times New Roman" w:hAnsi="Times New Roman" w:cs="Times New Roman"/>
          <w:b/>
          <w:bCs/>
          <w:u w:val="single"/>
        </w:rPr>
        <w:t>Methods</w:t>
      </w:r>
    </w:p>
    <w:p w14:paraId="6CF60641" w14:textId="5FE3B705" w:rsidR="003D726F" w:rsidRPr="004100CF" w:rsidRDefault="004770A2" w:rsidP="004770A2">
      <w:pPr>
        <w:rPr>
          <w:rFonts w:ascii="Times New Roman" w:hAnsi="Times New Roman" w:cs="Times New Roman"/>
        </w:rPr>
      </w:pPr>
      <w:r w:rsidRPr="004100CF">
        <w:rPr>
          <w:rFonts w:ascii="Times New Roman" w:hAnsi="Times New Roman" w:cs="Times New Roman"/>
        </w:rPr>
        <w:t xml:space="preserve">We investigated whether physics-based molecular simulations of HIV-1 reverse transcriptase (RT) could provide an </w:t>
      </w:r>
      <w:r w:rsidRPr="004100CF">
        <w:rPr>
          <w:rFonts w:ascii="Times New Roman" w:hAnsi="Times New Roman" w:cs="Times New Roman"/>
          <w:i/>
          <w:iCs/>
        </w:rPr>
        <w:t>in silico</w:t>
      </w:r>
      <w:r w:rsidRPr="004100CF">
        <w:rPr>
          <w:rFonts w:ascii="Times New Roman" w:hAnsi="Times New Roman" w:cs="Times New Roman"/>
        </w:rPr>
        <w:t xml:space="preserve"> framework for interpreting DOR resistance. We assembled a curated panel of 18 DOR-associated genotypes spanning susceptible, resistant, and uncertain phenotypes and performed all-atom, explicit-solvent molecular dynamics simulations of wild-type and mutant RT–DOR complexes. </w:t>
      </w:r>
      <w:r w:rsidR="003D726F" w:rsidRPr="004100CF">
        <w:rPr>
          <w:rFonts w:ascii="Times New Roman" w:hAnsi="Times New Roman" w:cs="Times New Roman"/>
        </w:rPr>
        <w:t>Mutation-induced changes in DOR binding were estimated using nonequilibrium alchemical free-energy perturbation (FEP; ΔΔG</w:t>
      </w:r>
      <w:r w:rsidR="003D726F" w:rsidRPr="004100CF">
        <w:rPr>
          <w:rFonts w:ascii="Times New Roman" w:hAnsi="Times New Roman" w:cs="Times New Roman"/>
          <w:vertAlign w:val="subscript"/>
        </w:rPr>
        <w:t>bind</w:t>
      </w:r>
      <w:r w:rsidR="003D726F" w:rsidRPr="004100CF">
        <w:rPr>
          <w:rFonts w:ascii="Times New Roman" w:hAnsi="Times New Roman" w:cs="Times New Roman"/>
        </w:rPr>
        <w:t>) and wild-type-referenced MM/GBSA interaction energies (ΔΔE</w:t>
      </w:r>
      <w:r w:rsidR="003D726F" w:rsidRPr="004100CF">
        <w:rPr>
          <w:rFonts w:ascii="Times New Roman" w:hAnsi="Times New Roman" w:cs="Times New Roman"/>
          <w:vertAlign w:val="subscript"/>
        </w:rPr>
        <w:t>Total</w:t>
      </w:r>
      <w:r w:rsidR="003D726F" w:rsidRPr="004100CF">
        <w:rPr>
          <w:rFonts w:ascii="Times New Roman" w:hAnsi="Times New Roman" w:cs="Times New Roman"/>
        </w:rPr>
        <w:t>), and compared with experimentally measured fold-changes in DOR susceptibility.</w:t>
      </w:r>
    </w:p>
    <w:p w14:paraId="7AC811AC" w14:textId="77777777" w:rsidR="003D726F" w:rsidRPr="004100CF" w:rsidRDefault="003D726F" w:rsidP="004770A2">
      <w:pPr>
        <w:rPr>
          <w:rFonts w:ascii="Times New Roman" w:hAnsi="Times New Roman" w:cs="Times New Roman"/>
        </w:rPr>
      </w:pPr>
    </w:p>
    <w:p w14:paraId="1F62F1F5" w14:textId="77777777" w:rsidR="00E4582F" w:rsidRDefault="003D726F" w:rsidP="004770A2">
      <w:pPr>
        <w:rPr>
          <w:rFonts w:ascii="Times New Roman" w:hAnsi="Times New Roman" w:cs="Times New Roman"/>
          <w:b/>
          <w:bCs/>
          <w:u w:val="single"/>
        </w:rPr>
      </w:pPr>
      <w:r w:rsidRPr="004100CF">
        <w:rPr>
          <w:rFonts w:ascii="Times New Roman" w:hAnsi="Times New Roman" w:cs="Times New Roman"/>
          <w:b/>
          <w:bCs/>
          <w:u w:val="single"/>
        </w:rPr>
        <w:t>Results</w:t>
      </w:r>
    </w:p>
    <w:p w14:paraId="28BB0749" w14:textId="67360B78" w:rsidR="003D726F" w:rsidRPr="004100CF" w:rsidRDefault="004770A2" w:rsidP="004770A2">
      <w:pPr>
        <w:rPr>
          <w:rFonts w:ascii="Times New Roman" w:hAnsi="Times New Roman" w:cs="Times New Roman"/>
        </w:rPr>
      </w:pPr>
      <w:r w:rsidRPr="004100CF">
        <w:rPr>
          <w:rFonts w:ascii="Times New Roman" w:hAnsi="Times New Roman" w:cs="Times New Roman"/>
        </w:rPr>
        <w:t xml:space="preserve">FEP predicted little effect on DOR binding for 3 of 4 susceptible mutations and reduced binding for 7 of 9 resistant genotypes. Across all 18 genotypes, however, </w:t>
      </w:r>
      <w:r w:rsidR="003D726F" w:rsidRPr="004100CF">
        <w:rPr>
          <w:rFonts w:ascii="Times New Roman" w:hAnsi="Times New Roman" w:cs="Times New Roman"/>
        </w:rPr>
        <w:t>ΔΔG</w:t>
      </w:r>
      <w:r w:rsidR="003D726F" w:rsidRPr="004100CF">
        <w:rPr>
          <w:rFonts w:ascii="Times New Roman" w:hAnsi="Times New Roman" w:cs="Times New Roman"/>
          <w:vertAlign w:val="subscript"/>
        </w:rPr>
        <w:t>bind</w:t>
      </w:r>
      <w:r w:rsidR="003D726F" w:rsidRPr="004100CF">
        <w:rPr>
          <w:rFonts w:ascii="Times New Roman" w:hAnsi="Times New Roman" w:cs="Times New Roman"/>
        </w:rPr>
        <w:t xml:space="preserve"> </w:t>
      </w:r>
      <w:r w:rsidRPr="004100CF">
        <w:rPr>
          <w:rFonts w:ascii="Times New Roman" w:hAnsi="Times New Roman" w:cs="Times New Roman"/>
        </w:rPr>
        <w:t>did not significantly correlate with log</w:t>
      </w:r>
      <w:r w:rsidR="003D726F" w:rsidRPr="004100CF">
        <w:rPr>
          <w:rFonts w:ascii="Times New Roman" w:hAnsi="Times New Roman" w:cs="Times New Roman"/>
          <w:vertAlign w:val="subscript"/>
        </w:rPr>
        <w:t>10</w:t>
      </w:r>
      <w:r w:rsidRPr="004100CF">
        <w:rPr>
          <w:rFonts w:ascii="Times New Roman" w:hAnsi="Times New Roman" w:cs="Times New Roman"/>
        </w:rPr>
        <w:t xml:space="preserve">-transformed susceptibility fold-change (R² = 0.09, </w:t>
      </w:r>
      <w:r w:rsidRPr="004100CF">
        <w:rPr>
          <w:rFonts w:ascii="Times New Roman" w:hAnsi="Times New Roman" w:cs="Times New Roman"/>
          <w:i/>
          <w:iCs/>
        </w:rPr>
        <w:t>p</w:t>
      </w:r>
      <w:r w:rsidRPr="004100CF">
        <w:rPr>
          <w:rFonts w:ascii="Times New Roman" w:hAnsi="Times New Roman" w:cs="Times New Roman"/>
        </w:rPr>
        <w:t xml:space="preserve"> = 0.21). Among genotypes with established susceptible or resistant phenotypes, a weak association was observed (R² = 0.26, </w:t>
      </w:r>
      <w:r w:rsidRPr="004100CF">
        <w:rPr>
          <w:rFonts w:ascii="Times New Roman" w:hAnsi="Times New Roman" w:cs="Times New Roman"/>
          <w:i/>
          <w:iCs/>
        </w:rPr>
        <w:t>p</w:t>
      </w:r>
      <w:r w:rsidRPr="004100CF">
        <w:rPr>
          <w:rFonts w:ascii="Times New Roman" w:hAnsi="Times New Roman" w:cs="Times New Roman"/>
        </w:rPr>
        <w:t xml:space="preserve"> = 0.07). MM/GBSA identified unfavorable energetic changes for 8 of 9 resistant genotypes but only 1 of 4 susceptible mutations as low-impact and showed no correlation with experimental susceptibility (R² = 0.02, </w:t>
      </w:r>
      <w:r w:rsidRPr="004100CF">
        <w:rPr>
          <w:rFonts w:ascii="Times New Roman" w:hAnsi="Times New Roman" w:cs="Times New Roman"/>
          <w:i/>
          <w:iCs/>
        </w:rPr>
        <w:t>p</w:t>
      </w:r>
      <w:r w:rsidRPr="004100CF">
        <w:rPr>
          <w:rFonts w:ascii="Times New Roman" w:hAnsi="Times New Roman" w:cs="Times New Roman"/>
        </w:rPr>
        <w:t xml:space="preserve"> = 0.55). </w:t>
      </w:r>
      <w:r w:rsidR="003D726F" w:rsidRPr="004100CF">
        <w:rPr>
          <w:rFonts w:ascii="Times New Roman" w:hAnsi="Times New Roman" w:cs="Times New Roman"/>
        </w:rPr>
        <w:t>ΔΔG</w:t>
      </w:r>
      <w:r w:rsidR="003D726F" w:rsidRPr="004100CF">
        <w:rPr>
          <w:rFonts w:ascii="Times New Roman" w:hAnsi="Times New Roman" w:cs="Times New Roman"/>
          <w:vertAlign w:val="subscript"/>
        </w:rPr>
        <w:t>bind</w:t>
      </w:r>
      <w:r w:rsidR="003D726F" w:rsidRPr="004100CF">
        <w:rPr>
          <w:rFonts w:ascii="Times New Roman" w:hAnsi="Times New Roman" w:cs="Times New Roman"/>
        </w:rPr>
        <w:t xml:space="preserve"> </w:t>
      </w:r>
      <w:r w:rsidRPr="004100CF">
        <w:rPr>
          <w:rFonts w:ascii="Times New Roman" w:hAnsi="Times New Roman" w:cs="Times New Roman"/>
        </w:rPr>
        <w:t xml:space="preserve">and </w:t>
      </w:r>
      <w:r w:rsidR="003D726F" w:rsidRPr="004100CF">
        <w:rPr>
          <w:rFonts w:ascii="Times New Roman" w:hAnsi="Times New Roman" w:cs="Times New Roman"/>
        </w:rPr>
        <w:t>ΔΔE</w:t>
      </w:r>
      <w:r w:rsidR="003D726F" w:rsidRPr="004100CF">
        <w:rPr>
          <w:rFonts w:ascii="Times New Roman" w:hAnsi="Times New Roman" w:cs="Times New Roman"/>
          <w:vertAlign w:val="subscript"/>
        </w:rPr>
        <w:t>Total</w:t>
      </w:r>
      <w:r w:rsidR="003D726F" w:rsidRPr="004100CF">
        <w:rPr>
          <w:rFonts w:ascii="Times New Roman" w:hAnsi="Times New Roman" w:cs="Times New Roman"/>
        </w:rPr>
        <w:t xml:space="preserve"> </w:t>
      </w:r>
      <w:r w:rsidRPr="004100CF">
        <w:rPr>
          <w:rFonts w:ascii="Times New Roman" w:hAnsi="Times New Roman" w:cs="Times New Roman"/>
        </w:rPr>
        <w:t xml:space="preserve">were themselves modestly correlated (R² = 0.25, </w:t>
      </w:r>
      <w:r w:rsidRPr="004100CF">
        <w:rPr>
          <w:rFonts w:ascii="Times New Roman" w:hAnsi="Times New Roman" w:cs="Times New Roman"/>
          <w:i/>
          <w:iCs/>
        </w:rPr>
        <w:t>p</w:t>
      </w:r>
      <w:r w:rsidRPr="004100CF">
        <w:rPr>
          <w:rFonts w:ascii="Times New Roman" w:hAnsi="Times New Roman" w:cs="Times New Roman"/>
        </w:rPr>
        <w:t xml:space="preserve"> = 0.03), with van der Waals interactions frequently dominating MM/GBSA energetic shifts. </w:t>
      </w:r>
    </w:p>
    <w:p w14:paraId="3D7A58BF" w14:textId="77777777" w:rsidR="003D726F" w:rsidRPr="004100CF" w:rsidRDefault="003D726F" w:rsidP="004770A2">
      <w:pPr>
        <w:rPr>
          <w:rFonts w:ascii="Times New Roman" w:hAnsi="Times New Roman" w:cs="Times New Roman"/>
        </w:rPr>
      </w:pPr>
    </w:p>
    <w:p w14:paraId="6467DDB4" w14:textId="77777777" w:rsidR="00E4582F" w:rsidRDefault="003D726F" w:rsidP="004770A2">
      <w:pPr>
        <w:rPr>
          <w:rFonts w:ascii="Times New Roman" w:hAnsi="Times New Roman" w:cs="Times New Roman"/>
          <w:b/>
          <w:bCs/>
          <w:u w:val="single"/>
        </w:rPr>
      </w:pPr>
      <w:r w:rsidRPr="004100CF">
        <w:rPr>
          <w:rFonts w:ascii="Times New Roman" w:hAnsi="Times New Roman" w:cs="Times New Roman"/>
          <w:b/>
          <w:bCs/>
          <w:u w:val="single"/>
        </w:rPr>
        <w:t>Conclusion</w:t>
      </w:r>
    </w:p>
    <w:p w14:paraId="6304EFBA" w14:textId="080289A9" w:rsidR="004770A2" w:rsidRPr="004100CF" w:rsidRDefault="004770A2" w:rsidP="004770A2">
      <w:pPr>
        <w:rPr>
          <w:rFonts w:ascii="Times New Roman" w:hAnsi="Times New Roman" w:cs="Times New Roman"/>
        </w:rPr>
      </w:pPr>
      <w:r w:rsidRPr="004100CF">
        <w:rPr>
          <w:rFonts w:ascii="Times New Roman" w:hAnsi="Times New Roman" w:cs="Times New Roman"/>
        </w:rPr>
        <w:t>These findings demonstrate that relative binding free-energy calculations can recover broad resistance-associated energetic trends for many well-characterized DOR genotypes, but binding energetics alone are insufficient to quantitatively reproduce phenotypic drug susceptibility. More comprehensive computational models incorporating conformational dynamics, enzyme function, and viral fitness will likely be required for predictive interpretation of HIV-1 drug resistance.</w:t>
      </w:r>
    </w:p>
    <w:p w14:paraId="57464158" w14:textId="77777777" w:rsidR="00831C83" w:rsidRPr="004100CF" w:rsidRDefault="00831C83">
      <w:pPr>
        <w:rPr>
          <w:rFonts w:ascii="Times New Roman" w:hAnsi="Times New Roman" w:cs="Times New Roman"/>
        </w:rPr>
      </w:pPr>
    </w:p>
    <w:p w14:paraId="3711A5D4" w14:textId="77777777" w:rsidR="000E15E2" w:rsidRPr="004100CF" w:rsidRDefault="000E15E2">
      <w:pPr>
        <w:rPr>
          <w:rFonts w:ascii="Times New Roman" w:hAnsi="Times New Roman" w:cs="Times New Roman"/>
        </w:rPr>
      </w:pPr>
    </w:p>
    <w:p w14:paraId="768B8CDC" w14:textId="77777777" w:rsidR="000E15E2" w:rsidRPr="004100CF" w:rsidRDefault="000E15E2">
      <w:pPr>
        <w:rPr>
          <w:rFonts w:ascii="Times New Roman" w:hAnsi="Times New Roman" w:cs="Times New Roman"/>
        </w:rPr>
      </w:pPr>
    </w:p>
    <w:p w14:paraId="4AD91FCE" w14:textId="77777777" w:rsidR="003D726F" w:rsidRPr="004100CF" w:rsidRDefault="003D726F">
      <w:pPr>
        <w:rPr>
          <w:rFonts w:ascii="Times New Roman" w:hAnsi="Times New Roman" w:cs="Times New Roman"/>
        </w:rPr>
      </w:pPr>
    </w:p>
    <w:p w14:paraId="371CA258" w14:textId="3330C091" w:rsidR="00831C83" w:rsidRPr="004100CF" w:rsidRDefault="00831C83">
      <w:pPr>
        <w:rPr>
          <w:rFonts w:ascii="Times New Roman" w:hAnsi="Times New Roman" w:cs="Times New Roman"/>
          <w:b/>
          <w:bCs/>
          <w:sz w:val="28"/>
          <w:szCs w:val="22"/>
        </w:rPr>
      </w:pPr>
      <w:r w:rsidRPr="004100CF">
        <w:rPr>
          <w:rFonts w:ascii="Times New Roman" w:hAnsi="Times New Roman" w:cs="Times New Roman"/>
          <w:b/>
          <w:bCs/>
          <w:sz w:val="28"/>
          <w:szCs w:val="22"/>
        </w:rPr>
        <w:lastRenderedPageBreak/>
        <w:t>Introduction</w:t>
      </w:r>
    </w:p>
    <w:p w14:paraId="2CE2D61A" w14:textId="475B0498" w:rsidR="00C96A03" w:rsidRPr="004100CF" w:rsidRDefault="00C96A03" w:rsidP="00C96A03">
      <w:pPr>
        <w:spacing w:after="240"/>
        <w:rPr>
          <w:rFonts w:ascii="Times New Roman" w:hAnsi="Times New Roman" w:cs="Times New Roman"/>
          <w:szCs w:val="24"/>
        </w:rPr>
      </w:pPr>
      <w:r w:rsidRPr="004100CF">
        <w:rPr>
          <w:rFonts w:ascii="Times New Roman" w:hAnsi="Times New Roman" w:cs="Times New Roman"/>
          <w:szCs w:val="24"/>
        </w:rPr>
        <w:t>NNRTIs noncompetitively inhibit the HIV-1 Reverse Transcriptase (RT) enzyme by binding to the allosteric NNRTI binding pocket (NNIBP),</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1,2</w:t>
      </w:r>
      <w:r w:rsidRPr="004100CF">
        <w:rPr>
          <w:rFonts w:ascii="Times New Roman" w:hAnsi="Times New Roman" w:cs="Times New Roman"/>
          <w:szCs w:val="24"/>
        </w:rPr>
        <w:fldChar w:fldCharType="end"/>
      </w:r>
      <w:r w:rsidRPr="004100CF">
        <w:rPr>
          <w:rFonts w:ascii="Times New Roman" w:hAnsi="Times New Roman" w:cs="Times New Roman"/>
          <w:szCs w:val="24"/>
        </w:rPr>
        <w:t>. The NNIBP is ~10Å from the RT DNA polymerase active site and forms only upon NNRTI binding, via an induced conformational change in the RT p66 subunit.</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3,4</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{"citationID":"8iPYHvpr","properties":{"unsorted":false,"formattedCitation":"\\super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5,6</w:t>
      </w:r>
      <w:r w:rsidRPr="004100CF">
        <w:rPr>
          <w:rFonts w:ascii="Times New Roman" w:hAnsi="Times New Roman" w:cs="Times New Roman"/>
          <w:szCs w:val="24"/>
        </w:rPr>
        <w:fldChar w:fldCharType="end"/>
      </w:r>
    </w:p>
    <w:p w14:paraId="153C7D5D" w14:textId="20A51D8C" w:rsidR="00C96A03" w:rsidRPr="004100CF" w:rsidRDefault="00C96A03" w:rsidP="00C96A03">
      <w:pPr>
        <w:spacing w:after="240"/>
        <w:rPr>
          <w:rFonts w:ascii="Times New Roman" w:hAnsi="Times New Roman" w:cs="Times New Roman"/>
          <w:szCs w:val="24"/>
        </w:rPr>
      </w:pPr>
      <w:r w:rsidRPr="004100CF">
        <w:rPr>
          <w:rFonts w:ascii="Times New Roman" w:hAnsi="Times New Roman" w:cs="Times New Roman"/>
          <w:szCs w:val="24"/>
        </w:rPr>
        <w:t xml:space="preserve">NNRTI resistance mutations </w:t>
      </w:r>
      <w:r w:rsidR="00574C6E" w:rsidRPr="004100CF">
        <w:rPr>
          <w:rFonts w:ascii="Times New Roman" w:hAnsi="Times New Roman" w:cs="Times New Roman"/>
          <w:szCs w:val="24"/>
        </w:rPr>
        <w:t>can</w:t>
      </w:r>
      <w:r w:rsidRPr="004100CF">
        <w:rPr>
          <w:rFonts w:ascii="Times New Roman" w:hAnsi="Times New Roman" w:cs="Times New Roman"/>
          <w:szCs w:val="24"/>
        </w:rPr>
        <w:t xml:space="preserve"> decrease HIV-1 susceptibility by affecting interactions between the inhibitor and the NNIBP.</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7</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K103N alters allosteric RT dynamics and permit a productive RT-template/primer-dNTP complex despite NNRTI binding</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8</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or stabilize the closed pocket form of RT, thus decreasing NNRTI binding affinity.</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9</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Y181C removes critical aromatic ring stacking interactions between NNRTIs and the NNIBP.</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10,11</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G190A adds a bulge in a compact binding region, causing steric conflict with the NNRTI.</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6</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The second generation NNRTIs Etravirine (ETR) and Rilpivirine (RPV) counteract such common NNRTI resistance mutations by introducing positional and conformational flexibility.</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sidRPr="004100CF">
        <w:rPr>
          <w:rFonts w:ascii="Cambria Math" w:hAnsi="Cambria Math" w:cs="Cambria Math"/>
          <w:szCs w:val="24"/>
        </w:rPr>
        <w:instrText>∼</w:instrText>
      </w:r>
      <w:r w:rsidRPr="004100CF">
        <w:rPr>
          <w:rFonts w:ascii="Times New Roman" w:hAnsi="Times New Roman" w:cs="Times New Roman"/>
          <w:szCs w:val="24"/>
        </w:rPr>
        <w:instrText xml:space="preserve">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sidRPr="004100CF">
        <w:rPr>
          <w:rFonts w:ascii="Cambria Math" w:hAnsi="Cambria Math" w:cs="Cambria Math"/>
          <w:szCs w:val="24"/>
        </w:rPr>
        <w:instrText>∼</w:instrText>
      </w:r>
      <w:r w:rsidRPr="004100CF">
        <w:rPr>
          <w:rFonts w:ascii="Times New Roman" w:hAnsi="Times New Roman" w:cs="Times New Roman"/>
          <w:szCs w:val="24"/>
        </w:rPr>
        <w:instrText xml:space="preserve">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12,13</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The flexible structures of ETR and RPV allow them to rotate within the NNIBP, permitting multiple interactions with NNIBP residues even in the presence of NNRTI mutations and thereby allowing them to retain activity against certain mutant viruses.</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6</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w:t>
      </w:r>
    </w:p>
    <w:p w14:paraId="4CA20B10" w14:textId="77777777" w:rsidR="00C96A03" w:rsidRPr="004100CF" w:rsidRDefault="00C96A03" w:rsidP="00C96A03">
      <w:pPr>
        <w:spacing w:after="240"/>
        <w:rPr>
          <w:rFonts w:ascii="Times New Roman" w:hAnsi="Times New Roman" w:cs="Times New Roman"/>
          <w:szCs w:val="24"/>
        </w:rPr>
      </w:pPr>
      <w:r w:rsidRPr="004100CF">
        <w:rPr>
          <w:rFonts w:ascii="Times New Roman" w:hAnsi="Times New Roman" w:cs="Times New Roman"/>
          <w:szCs w:val="24"/>
        </w:rPr>
        <w:t>DOR was designed by introducing cyclic constraints in a novel class of diaryl ether NNRTIs.</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14</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w:t>
      </w:r>
      <w:commentRangeStart w:id="0"/>
      <w:r w:rsidRPr="004100CF">
        <w:rPr>
          <w:rFonts w:ascii="Times New Roman" w:hAnsi="Times New Roman" w:cs="Times New Roman"/>
          <w:szCs w:val="24"/>
        </w:rPr>
        <w:t>DOR makes a unique H-bond with the backbone of Lys103, and the Tyr181 side chain is rotated by 90° away from Tyr188 when compared to apo, ETR, EFV, and RPV X-ray structures</w:t>
      </w:r>
      <w:commentRangeEnd w:id="0"/>
      <w:r w:rsidR="00FD121C" w:rsidRPr="004100CF">
        <w:rPr>
          <w:rStyle w:val="CommentReference"/>
          <w:rFonts w:ascii="Times New Roman" w:hAnsi="Times New Roman" w:cs="Times New Roman"/>
          <w:sz w:val="24"/>
          <w:szCs w:val="24"/>
        </w:rPr>
        <w:commentReference w:id="0"/>
      </w:r>
      <w:r w:rsidRPr="004100CF">
        <w:rPr>
          <w:rFonts w:ascii="Times New Roman" w:hAnsi="Times New Roman" w:cs="Times New Roman"/>
          <w:szCs w:val="24"/>
        </w:rPr>
        <w:t>.</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15</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As a result, binding of DOR is likely less dependent on Lys103 and Tyr181 and consequently has a superior profile against common resistance mutations at these sites. On the other hand, the central phenyl ring in DOR makes a hydrophobic bond with Val106, which is often mutated to alanine in viruses from patients with virological failure receiving DOR and which results in reduced DOR susceptibility</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16,17</w:t>
      </w:r>
      <w:r w:rsidRPr="004100CF">
        <w:rPr>
          <w:rFonts w:ascii="Times New Roman" w:hAnsi="Times New Roman" w:cs="Times New Roman"/>
          <w:szCs w:val="24"/>
        </w:rPr>
        <w:fldChar w:fldCharType="end"/>
      </w:r>
      <w:r w:rsidRPr="004100CF">
        <w:rPr>
          <w:rFonts w:ascii="Times New Roman" w:hAnsi="Times New Roman" w:cs="Times New Roman"/>
          <w:szCs w:val="24"/>
        </w:rPr>
        <w:t>. Similarly, combinations of V106A/I with F227C/L, L234I, and P225H cause &gt;100-fold reductions in susceptibility to DOR</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18</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w:t>
      </w:r>
    </w:p>
    <w:p w14:paraId="4428E31C" w14:textId="77777777" w:rsidR="00423928" w:rsidRDefault="00C96A03" w:rsidP="00725DDC">
      <w:pPr>
        <w:spacing w:after="240"/>
        <w:rPr>
          <w:rFonts w:ascii="Times New Roman" w:hAnsi="Times New Roman" w:cs="Times New Roman"/>
        </w:rPr>
      </w:pPr>
      <w:r w:rsidRPr="004100CF">
        <w:rPr>
          <w:rFonts w:ascii="Times New Roman" w:hAnsi="Times New Roman" w:cs="Times New Roman"/>
          <w:szCs w:val="24"/>
        </w:rPr>
        <w:t>This unique resistance profile has allowed DOR to become an integral component of the standard of care in antiretroviral therapy (ART).</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19–22</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Yet limited availability of DOR-resistance data has complicated its use in persons with pre-existing NNRTI resistance. To investigate </w:t>
      </w:r>
      <w:r w:rsidR="00D10CD4" w:rsidRPr="004100CF">
        <w:rPr>
          <w:rFonts w:ascii="Times New Roman" w:hAnsi="Times New Roman" w:cs="Times New Roman"/>
          <w:szCs w:val="24"/>
        </w:rPr>
        <w:t xml:space="preserve">a computational approach </w:t>
      </w:r>
      <w:r w:rsidRPr="004100CF">
        <w:rPr>
          <w:rFonts w:ascii="Times New Roman" w:hAnsi="Times New Roman" w:cs="Times New Roman"/>
          <w:szCs w:val="24"/>
        </w:rPr>
        <w:t>to fill</w:t>
      </w:r>
      <w:r w:rsidR="00D10CD4" w:rsidRPr="004100CF">
        <w:rPr>
          <w:rFonts w:ascii="Times New Roman" w:hAnsi="Times New Roman" w:cs="Times New Roman"/>
          <w:szCs w:val="24"/>
        </w:rPr>
        <w:t xml:space="preserve"> this</w:t>
      </w:r>
      <w:r w:rsidRPr="004100CF">
        <w:rPr>
          <w:rFonts w:ascii="Times New Roman" w:hAnsi="Times New Roman" w:cs="Times New Roman"/>
          <w:szCs w:val="24"/>
        </w:rPr>
        <w:t xml:space="preserve"> gap in DOR susceptibility data, we performed all-atom explicit solvent molecular dynamics (MD) simulations on 19 RT-DOR complexes, corresponding to wild-type (WT) RT and 18 DOR-associated genotypes.</w:t>
      </w:r>
      <w:r w:rsidR="00725DDC" w:rsidRPr="004100CF">
        <w:rPr>
          <w:rFonts w:ascii="Times New Roman" w:hAnsi="Times New Roman" w:cs="Times New Roman"/>
          <w:szCs w:val="24"/>
        </w:rPr>
        <w:t xml:space="preserve"> </w:t>
      </w:r>
      <w:commentRangeStart w:id="1"/>
      <w:r w:rsidR="00B97C82" w:rsidRPr="004100CF">
        <w:rPr>
          <w:rFonts w:ascii="Times New Roman" w:hAnsi="Times New Roman" w:cs="Times New Roman"/>
        </w:rPr>
        <w:t>Prior molecular simulation studies have successfully reproduced mutation-dependent changes in NNRTI binding affinity and elucidated the associated structural and conformational mechanisms of resistance</w:t>
      </w:r>
      <w:r w:rsidR="0047062D" w:rsidRPr="004100CF">
        <w:rPr>
          <w:rFonts w:ascii="Times New Roman" w:hAnsi="Times New Roman" w:cs="Times New Roman"/>
        </w:rPr>
        <w:t>.</w:t>
      </w:r>
      <w:r w:rsidR="00883619" w:rsidRPr="004100CF">
        <w:rPr>
          <w:rFonts w:ascii="Times New Roman" w:hAnsi="Times New Roman" w:cs="Times New Roman"/>
        </w:rPr>
        <w:fldChar w:fldCharType="begin"/>
      </w:r>
      <w:r w:rsidR="00E032F1" w:rsidRPr="004100CF">
        <w:rPr>
          <w:rFonts w:ascii="Times New Roman" w:hAnsi="Times New Roman" w:cs="Times New Roman"/>
        </w:rPr>
        <w:instrText xml:space="preserve"> ADDIN ZOTERO_ITEM CSL_CITATION {"citationID":"jcl052b4","properties":{"unsorted":true,"formattedCitation":"\\super 23\\uc0\\u8211{}29\\nosupersub{}","plainCitation":"23–29","noteIndex":0},"citationItems":[{"id":308,"uris":["http://zotero.org/users/19404620/items/PZTYH8TA"],"itemData":{"id":308,"type":"article-journal","container-title":"Journal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TMC125","volume":"125","author":[{"family":"Udier-Blagović","given":"Marina"},{"family":"Tirado-Rives","given":"Julian"},{"family":"Jorgensen","given":"William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E032F1" w:rsidRPr="004100CF">
        <w:rPr>
          <w:rFonts w:ascii="Cambria Math" w:hAnsi="Cambria Math" w:cs="Cambria Math"/>
        </w:rPr>
        <w:instrText>≫</w:instrText>
      </w:r>
      <w:r w:rsidR="00E032F1" w:rsidRPr="004100CF">
        <w:rPr>
          <w:rFonts w:ascii="Times New Roman" w:hAnsi="Times New Roman" w:cs="Times New Roman"/>
        </w:rP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íguez-Barrios","given":"Fátima"},{"family":"Balzarini","given":"Jan"},{"family":"Gago","given":"Federico"}],"issued":{"date-parts":[["2005",4,30]]}}},{"id":"sGQf21Pk/w0ZqaEhU","uris":["http://zotero.org/users/19404620/items/8EEHV937"],"itemData":{"id":"sGQf21Pk/w0ZqaEhU","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82:815–829. ©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rsidR="00883619" w:rsidRPr="004100CF">
        <w:rPr>
          <w:rFonts w:ascii="Times New Roman" w:hAnsi="Times New Roman" w:cs="Times New Roman"/>
        </w:rPr>
        <w:fldChar w:fldCharType="separate"/>
      </w:r>
      <w:r w:rsidR="00E032F1" w:rsidRPr="004100CF">
        <w:rPr>
          <w:rFonts w:ascii="Times New Roman" w:hAnsi="Times New Roman" w:cs="Times New Roman"/>
          <w:szCs w:val="24"/>
          <w:vertAlign w:val="superscript"/>
        </w:rPr>
        <w:t>23–29</w:t>
      </w:r>
      <w:r w:rsidR="00883619" w:rsidRPr="004100CF">
        <w:rPr>
          <w:rFonts w:ascii="Times New Roman" w:hAnsi="Times New Roman" w:cs="Times New Roman"/>
        </w:rPr>
        <w:fldChar w:fldCharType="end"/>
      </w:r>
      <w:commentRangeEnd w:id="1"/>
      <w:r w:rsidR="00FD121C" w:rsidRPr="004100CF">
        <w:rPr>
          <w:rStyle w:val="CommentReference"/>
          <w:rFonts w:ascii="Times New Roman" w:hAnsi="Times New Roman" w:cs="Times New Roman"/>
          <w:sz w:val="24"/>
          <w:szCs w:val="21"/>
        </w:rPr>
        <w:commentReference w:id="1"/>
      </w:r>
      <w:r w:rsidR="0047062D" w:rsidRPr="004100CF">
        <w:rPr>
          <w:rFonts w:ascii="Times New Roman" w:hAnsi="Times New Roman" w:cs="Times New Roman"/>
        </w:rPr>
        <w:t xml:space="preserve"> However, direct comparison with phenotypic susceptibility data for clinically relevant drug resistant mutations is lacking.</w:t>
      </w:r>
    </w:p>
    <w:p w14:paraId="5A484F64" w14:textId="4F928C9B" w:rsidR="000E15E2" w:rsidRPr="004100CF" w:rsidRDefault="0047062D" w:rsidP="00725DDC">
      <w:pPr>
        <w:spacing w:after="240"/>
        <w:rPr>
          <w:rFonts w:ascii="Times New Roman" w:hAnsi="Times New Roman" w:cs="Times New Roman"/>
          <w:szCs w:val="24"/>
        </w:rPr>
      </w:pPr>
      <w:commentRangeStart w:id="2"/>
      <w:r w:rsidRPr="004100CF">
        <w:rPr>
          <w:rFonts w:ascii="Times New Roman" w:hAnsi="Times New Roman" w:cs="Times New Roman"/>
        </w:rPr>
        <w:t>In this work, we performed RT-DOR binding free energy analysis using a non-equilibrium alchemical free energy perturbation protocol</w:t>
      </w:r>
      <w:r w:rsidR="000062F9" w:rsidRPr="004100CF">
        <w:rPr>
          <w:rFonts w:ascii="Times New Roman" w:hAnsi="Times New Roman" w:cs="Times New Roman"/>
        </w:rPr>
        <w:fldChar w:fldCharType="begin"/>
      </w:r>
      <w:r w:rsidR="00E032F1" w:rsidRPr="004100CF">
        <w:rPr>
          <w:rFonts w:ascii="Times New Roman" w:hAnsi="Times New Roman" w:cs="Times New Roman"/>
        </w:rPr>
        <w:instrText xml:space="preserve"> ADDIN ZOTERO_ITEM CSL_CITATION {"citationID":"sFxC04vT","properties":{"unsorted":false,"formattedCitation":"\\super 30,31\\nosupersub{}","plainCitation":"30,31","noteIndex":0},"citationItems":[{"id":257,"uris":["http://zotero.org/users/19404620/items/3AGKTMV5"],"itemData":{"id":257,"type":"article-journal","abstract":"This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0062F9" w:rsidRPr="004100CF">
        <w:rPr>
          <w:rFonts w:ascii="Times New Roman" w:hAnsi="Times New Roman" w:cs="Times New Roman"/>
        </w:rPr>
        <w:fldChar w:fldCharType="separate"/>
      </w:r>
      <w:r w:rsidR="00E032F1" w:rsidRPr="004100CF">
        <w:rPr>
          <w:rFonts w:ascii="Times New Roman" w:hAnsi="Times New Roman" w:cs="Times New Roman"/>
          <w:szCs w:val="24"/>
          <w:vertAlign w:val="superscript"/>
        </w:rPr>
        <w:t>30,31</w:t>
      </w:r>
      <w:r w:rsidR="000062F9" w:rsidRPr="004100CF">
        <w:rPr>
          <w:rFonts w:ascii="Times New Roman" w:hAnsi="Times New Roman" w:cs="Times New Roman"/>
        </w:rPr>
        <w:fldChar w:fldCharType="end"/>
      </w:r>
      <w:r w:rsidRPr="004100CF">
        <w:rPr>
          <w:rFonts w:ascii="Times New Roman" w:hAnsi="Times New Roman" w:cs="Times New Roman"/>
        </w:rPr>
        <w:t xml:space="preserve"> and absolute RT-DOR </w:t>
      </w:r>
      <w:r w:rsidR="001521FB" w:rsidRPr="004100CF">
        <w:rPr>
          <w:rFonts w:ascii="Times New Roman" w:hAnsi="Times New Roman" w:cs="Times New Roman"/>
        </w:rPr>
        <w:t>MM/GBSA</w:t>
      </w:r>
      <w:r w:rsidRPr="004100CF">
        <w:rPr>
          <w:rFonts w:ascii="Times New Roman" w:hAnsi="Times New Roman" w:cs="Times New Roman"/>
        </w:rPr>
        <w:t xml:space="preserve"> energy calculation</w:t>
      </w:r>
      <w:r w:rsidR="000062F9" w:rsidRPr="004100CF">
        <w:rPr>
          <w:rFonts w:ascii="Times New Roman" w:hAnsi="Times New Roman" w:cs="Times New Roman"/>
        </w:rPr>
        <w:t>s</w:t>
      </w:r>
      <w:r w:rsidRPr="004100CF">
        <w:rPr>
          <w:rFonts w:ascii="Times New Roman" w:hAnsi="Times New Roman" w:cs="Times New Roman"/>
        </w:rPr>
        <w:t xml:space="preserve"> using equilibrium MD simulations</w:t>
      </w:r>
      <w:r w:rsidR="00DB01C0" w:rsidRPr="004100CF">
        <w:rPr>
          <w:rFonts w:ascii="Times New Roman" w:hAnsi="Times New Roman" w:cs="Times New Roman"/>
        </w:rPr>
        <w:t xml:space="preserve"> on a curated genotype panel of DOR-associated mutations</w:t>
      </w:r>
      <w:r w:rsidRPr="004100CF">
        <w:rPr>
          <w:rFonts w:ascii="Times New Roman" w:hAnsi="Times New Roman" w:cs="Times New Roman"/>
        </w:rPr>
        <w:t>.</w:t>
      </w:r>
      <w:commentRangeEnd w:id="2"/>
      <w:r w:rsidR="00096ED7" w:rsidRPr="004100CF">
        <w:rPr>
          <w:rStyle w:val="CommentReference"/>
          <w:rFonts w:ascii="Times New Roman" w:hAnsi="Times New Roman" w:cs="Times New Roman"/>
          <w:sz w:val="24"/>
          <w:szCs w:val="21"/>
        </w:rPr>
        <w:commentReference w:id="2"/>
      </w:r>
      <w:r w:rsidRPr="004100CF">
        <w:rPr>
          <w:rFonts w:ascii="Times New Roman" w:hAnsi="Times New Roman" w:cs="Times New Roman"/>
        </w:rPr>
        <w:t xml:space="preserve"> Our results </w:t>
      </w:r>
      <w:r w:rsidR="00DB01C0" w:rsidRPr="004100CF">
        <w:rPr>
          <w:rFonts w:ascii="Times New Roman" w:hAnsi="Times New Roman" w:cs="Times New Roman"/>
        </w:rPr>
        <w:t>demonstrate</w:t>
      </w:r>
      <w:r w:rsidR="00714E97" w:rsidRPr="004100CF">
        <w:rPr>
          <w:rFonts w:ascii="Times New Roman" w:hAnsi="Times New Roman" w:cs="Times New Roman"/>
        </w:rPr>
        <w:t xml:space="preserve"> that </w:t>
      </w:r>
      <w:r w:rsidR="00DB01C0" w:rsidRPr="004100CF">
        <w:rPr>
          <w:rFonts w:ascii="Times New Roman" w:hAnsi="Times New Roman" w:cs="Times New Roman"/>
        </w:rPr>
        <w:t xml:space="preserve">even with a limited sample set, </w:t>
      </w:r>
      <w:r w:rsidR="00714E97" w:rsidRPr="004100CF">
        <w:rPr>
          <w:rFonts w:ascii="Times New Roman" w:hAnsi="Times New Roman" w:cs="Times New Roman"/>
        </w:rPr>
        <w:t xml:space="preserve">relative </w:t>
      </w:r>
      <w:r w:rsidR="00DB01C0" w:rsidRPr="004100CF">
        <w:rPr>
          <w:rFonts w:ascii="Times New Roman" w:hAnsi="Times New Roman" w:cs="Times New Roman"/>
        </w:rPr>
        <w:t xml:space="preserve">RT-DOR </w:t>
      </w:r>
      <w:r w:rsidR="00714E97" w:rsidRPr="004100CF">
        <w:rPr>
          <w:rFonts w:ascii="Times New Roman" w:hAnsi="Times New Roman" w:cs="Times New Roman"/>
        </w:rPr>
        <w:t xml:space="preserve">binding free energy can weakly correlate with </w:t>
      </w:r>
      <w:r w:rsidR="00DB01C0" w:rsidRPr="004100CF">
        <w:rPr>
          <w:rFonts w:ascii="Times New Roman" w:hAnsi="Times New Roman" w:cs="Times New Roman"/>
        </w:rPr>
        <w:t xml:space="preserve">experimentally observed </w:t>
      </w:r>
      <w:r w:rsidR="00E032F1" w:rsidRPr="004100CF">
        <w:rPr>
          <w:rFonts w:ascii="Times New Roman" w:hAnsi="Times New Roman" w:cs="Times New Roman"/>
        </w:rPr>
        <w:t xml:space="preserve">mutation-induced </w:t>
      </w:r>
      <w:r w:rsidR="00DB01C0" w:rsidRPr="004100CF">
        <w:rPr>
          <w:rFonts w:ascii="Times New Roman" w:hAnsi="Times New Roman" w:cs="Times New Roman"/>
        </w:rPr>
        <w:t>DOR fold-</w:t>
      </w:r>
      <w:r w:rsidR="00DB01C0" w:rsidRPr="004100CF">
        <w:rPr>
          <w:rFonts w:ascii="Times New Roman" w:hAnsi="Times New Roman" w:cs="Times New Roman"/>
        </w:rPr>
        <w:lastRenderedPageBreak/>
        <w:t xml:space="preserve">change in susceptibility. </w:t>
      </w:r>
      <w:r w:rsidR="003874B7" w:rsidRPr="004100CF">
        <w:rPr>
          <w:rFonts w:ascii="Times New Roman" w:hAnsi="Times New Roman" w:cs="Times New Roman"/>
        </w:rPr>
        <w:t xml:space="preserve">However, </w:t>
      </w:r>
      <w:r w:rsidR="001521FB" w:rsidRPr="004100CF">
        <w:rPr>
          <w:rFonts w:ascii="Times New Roman" w:hAnsi="Times New Roman" w:cs="Times New Roman"/>
        </w:rPr>
        <w:t xml:space="preserve">binding free energy or MM/GBSA do not generally demonstrate their utility as a reliably proxy for </w:t>
      </w:r>
      <w:r w:rsidR="001521FB" w:rsidRPr="004100CF">
        <w:rPr>
          <w:rFonts w:ascii="Times New Roman" w:hAnsi="Times New Roman" w:cs="Times New Roman"/>
          <w:i/>
          <w:iCs/>
        </w:rPr>
        <w:t xml:space="preserve">in vitro </w:t>
      </w:r>
      <w:r w:rsidR="000062F9" w:rsidRPr="004100CF">
        <w:rPr>
          <w:rFonts w:ascii="Times New Roman" w:hAnsi="Times New Roman" w:cs="Times New Roman"/>
        </w:rPr>
        <w:t>drug susceptibility experiments</w:t>
      </w:r>
      <w:r w:rsidR="001521FB" w:rsidRPr="004100CF">
        <w:rPr>
          <w:rFonts w:ascii="Times New Roman" w:hAnsi="Times New Roman" w:cs="Times New Roman"/>
        </w:rPr>
        <w:t>.</w:t>
      </w:r>
    </w:p>
    <w:p w14:paraId="2E58D795" w14:textId="6F9D89FA" w:rsidR="004260F0" w:rsidRPr="004100CF" w:rsidRDefault="0006771E" w:rsidP="00423928">
      <w:pPr>
        <w:spacing w:after="240"/>
        <w:rPr>
          <w:rFonts w:ascii="Times New Roman" w:hAnsi="Times New Roman" w:cs="Times New Roman"/>
          <w:b/>
          <w:bCs/>
          <w:sz w:val="28"/>
          <w:szCs w:val="22"/>
        </w:rPr>
      </w:pPr>
      <w:r w:rsidRPr="004100CF">
        <w:rPr>
          <w:rFonts w:ascii="Times New Roman" w:hAnsi="Times New Roman" w:cs="Times New Roman"/>
          <w:b/>
          <w:bCs/>
          <w:sz w:val="28"/>
          <w:szCs w:val="22"/>
        </w:rPr>
        <w:t>Methods</w:t>
      </w:r>
    </w:p>
    <w:p w14:paraId="6E1DB01F" w14:textId="50390BF8" w:rsidR="004260F0" w:rsidRPr="004100CF" w:rsidRDefault="007D7A4D" w:rsidP="004260F0">
      <w:pPr>
        <w:rPr>
          <w:rFonts w:ascii="Times New Roman" w:hAnsi="Times New Roman" w:cs="Times New Roman"/>
          <w:b/>
          <w:bCs/>
          <w:szCs w:val="24"/>
          <w:u w:val="single"/>
        </w:rPr>
      </w:pPr>
      <w:r w:rsidRPr="004100CF">
        <w:rPr>
          <w:rFonts w:ascii="Times New Roman" w:hAnsi="Times New Roman" w:cs="Times New Roman"/>
          <w:b/>
          <w:bCs/>
          <w:szCs w:val="24"/>
          <w:u w:val="single"/>
        </w:rPr>
        <w:t xml:space="preserve">3D </w:t>
      </w:r>
      <w:r w:rsidR="004260F0" w:rsidRPr="004100CF">
        <w:rPr>
          <w:rFonts w:ascii="Times New Roman" w:hAnsi="Times New Roman" w:cs="Times New Roman"/>
          <w:b/>
          <w:bCs/>
          <w:szCs w:val="24"/>
          <w:u w:val="single"/>
        </w:rPr>
        <w:t>Structure Preparation and mutation modeling</w:t>
      </w:r>
    </w:p>
    <w:p w14:paraId="03FA9518" w14:textId="5D9FBF94" w:rsidR="004260F0" w:rsidRPr="004100CF" w:rsidRDefault="004260F0" w:rsidP="004260F0">
      <w:pPr>
        <w:spacing w:after="240"/>
        <w:rPr>
          <w:rFonts w:ascii="Times New Roman" w:hAnsi="Times New Roman" w:cs="Times New Roman"/>
          <w:szCs w:val="24"/>
        </w:rPr>
      </w:pPr>
      <w:r w:rsidRPr="004100CF">
        <w:rPr>
          <w:rFonts w:ascii="Times New Roman" w:hAnsi="Times New Roman" w:cs="Times New Roman"/>
          <w:szCs w:val="24"/>
        </w:rPr>
        <w:t xml:space="preserve">The starting </w:t>
      </w:r>
      <w:r w:rsidRPr="004100CF">
        <w:rPr>
          <w:rFonts w:ascii="Times New Roman" w:hAnsi="Times New Roman" w:cs="Times New Roman"/>
          <w:i/>
          <w:iCs/>
          <w:szCs w:val="24"/>
        </w:rPr>
        <w:t>holo</w:t>
      </w:r>
      <w:r w:rsidRPr="004100CF">
        <w:rPr>
          <w:rFonts w:ascii="Times New Roman" w:hAnsi="Times New Roman" w:cs="Times New Roman"/>
          <w:szCs w:val="24"/>
        </w:rPr>
        <w:t xml:space="preserve"> structure was the crystal structure of HIV-1 RT bound to doravirine (DOR; PDB ligand residue 2KW) from PDB 4NCG (</w:t>
      </w:r>
      <w:hyperlink r:id="rId9" w:history="1">
        <w:r w:rsidRPr="004100CF">
          <w:rPr>
            <w:rStyle w:val="Hyperlink"/>
            <w:rFonts w:ascii="Times New Roman" w:hAnsi="Times New Roman" w:cs="Times New Roman"/>
            <w:szCs w:val="24"/>
          </w:rPr>
          <w:t>https://www.rcsb.org/structure/4NCG</w:t>
        </w:r>
      </w:hyperlink>
      <w:r w:rsidRPr="004100CF">
        <w:rPr>
          <w:rFonts w:ascii="Times New Roman" w:hAnsi="Times New Roman" w:cs="Times New Roman"/>
          <w:szCs w:val="24"/>
        </w:rPr>
        <w:t>).</w:t>
      </w:r>
      <w:r w:rsidRPr="004100CF">
        <w:rPr>
          <w:rFonts w:ascii="Times New Roman" w:hAnsi="Times New Roman" w:cs="Times New Roman"/>
          <w:szCs w:val="24"/>
        </w:rPr>
        <w:fldChar w:fldCharType="begin"/>
      </w:r>
      <w:r w:rsidRPr="004100CF">
        <w:rPr>
          <w:rFonts w:ascii="Times New Roman" w:hAnsi="Times New Roman" w:cs="Times New Roman"/>
          <w:szCs w:val="24"/>
        </w:rP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4100CF">
        <w:rPr>
          <w:rFonts w:ascii="Times New Roman" w:hAnsi="Times New Roman" w:cs="Times New Roman"/>
          <w:szCs w:val="24"/>
        </w:rPr>
        <w:fldChar w:fldCharType="separate"/>
      </w:r>
      <w:r w:rsidRPr="004100CF">
        <w:rPr>
          <w:rFonts w:ascii="Times New Roman" w:hAnsi="Times New Roman" w:cs="Times New Roman"/>
          <w:szCs w:val="24"/>
          <w:vertAlign w:val="superscript"/>
        </w:rPr>
        <w:t>14</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Mutant complexes were generated from the WT RT-DOR structure by introducing the selected p66 substitutions </w:t>
      </w:r>
      <w:r w:rsidRPr="004100CF">
        <w:rPr>
          <w:rFonts w:ascii="Times New Roman" w:hAnsi="Times New Roman" w:cs="Times New Roman"/>
          <w:i/>
          <w:iCs/>
          <w:szCs w:val="24"/>
        </w:rPr>
        <w:t>in silico</w:t>
      </w:r>
      <w:r w:rsidRPr="004100CF">
        <w:rPr>
          <w:rFonts w:ascii="Times New Roman" w:hAnsi="Times New Roman" w:cs="Times New Roman"/>
          <w:szCs w:val="24"/>
        </w:rPr>
        <w:t xml:space="preserve"> while preserving the crystallographic DOR pose. Missing heavy atoms were added, nonstandard residues were standardized, and hydrogens were rebuilt consistently across WT and mutant systems. DOR was rebuilt from an SDF template (</w:t>
      </w:r>
      <w:hyperlink r:id="rId10" w:history="1">
        <w:r w:rsidRPr="004100CF">
          <w:rPr>
            <w:rStyle w:val="Hyperlink"/>
            <w:rFonts w:ascii="Times New Roman" w:hAnsi="Times New Roman" w:cs="Times New Roman"/>
            <w:szCs w:val="24"/>
          </w:rPr>
          <w:t>https://pubchem.ncbi.nlm.nih.gov/compound/Doravirine</w:t>
        </w:r>
      </w:hyperlink>
      <w:r w:rsidRPr="004100CF">
        <w:rPr>
          <w:rFonts w:ascii="Times New Roman" w:hAnsi="Times New Roman" w:cs="Times New Roman"/>
          <w:szCs w:val="24"/>
        </w:rPr>
        <w:t>) and rigidly aligned to the crystallographic ligand heavy atoms by least-squares superposition using the Kabsch algorithm.</w:t>
      </w:r>
      <w:r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{"citationID":"7W9IyQRi","properties":{"unsorted":false,"formattedCitation":"\\super 32\\nosupersub{}","plainCitation":"32","noteIndex":0},"citationItems":[{"id":222,"uris":["http://zotero.org/users/19404620/items/WA8VTCHT"],"itemData":{"id":222,"type":"article-journal","container-title":"Acta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32</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3F36688D" w14:textId="77777777" w:rsidR="004260F0" w:rsidRPr="004100CF" w:rsidRDefault="004260F0" w:rsidP="004260F0">
      <w:pPr>
        <w:rPr>
          <w:rFonts w:ascii="Times New Roman" w:hAnsi="Times New Roman" w:cs="Times New Roman"/>
          <w:szCs w:val="24"/>
        </w:rPr>
      </w:pPr>
      <w:r w:rsidRPr="004100CF">
        <w:rPr>
          <w:rFonts w:ascii="Times New Roman" w:hAnsi="Times New Roman" w:cs="Times New Roman"/>
          <w:b/>
          <w:bCs/>
          <w:szCs w:val="24"/>
          <w:u w:val="single"/>
        </w:rPr>
        <w:t>Molecular dynamics simulations</w:t>
      </w:r>
    </w:p>
    <w:p w14:paraId="2555B0DB" w14:textId="1620B64D" w:rsidR="004260F0" w:rsidRPr="004100CF" w:rsidRDefault="0045260D" w:rsidP="004260F0">
      <w:pPr>
        <w:spacing w:after="240"/>
        <w:rPr>
          <w:rFonts w:ascii="Times New Roman" w:hAnsi="Times New Roman" w:cs="Times New Roman"/>
          <w:szCs w:val="24"/>
        </w:rPr>
      </w:pPr>
      <w:r w:rsidRPr="004100CF">
        <w:rPr>
          <w:rFonts w:ascii="Times New Roman" w:hAnsi="Times New Roman" w:cs="Times New Roman"/>
          <w:szCs w:val="24"/>
        </w:rPr>
        <w:t>Equilibrium</w:t>
      </w:r>
      <w:r w:rsidR="004260F0" w:rsidRPr="004100CF">
        <w:rPr>
          <w:rFonts w:ascii="Times New Roman" w:hAnsi="Times New Roman" w:cs="Times New Roman"/>
          <w:szCs w:val="24"/>
        </w:rPr>
        <w:t xml:space="preserve"> MD simulations were performed with OpenMM.</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{"citationID":"Z4dhb7v9","properties":{"unsorted":false,"formattedCitation":"\\super 33\\nosupersub{}","plainCitation":"33","noteIndex":0},"citationItems":[{"id":225,"uris":["http://zotero.org/users/19404620/items/VF4HPM48"],"itemData":{"id":225,"type":"article-journal","abstract":"OpenMM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33</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Protein and nucleic-acid parameters were assigned from the Amber14 OpenMM force-field files, using ff14SB for protein,</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{"citationID":"4nmpHmwv","properties":{"unsorted":false,"formattedCitation":"\\super 34\\nosupersub{}","plainCitation":"34","noteIndex":0},"citationItems":[{"id":227,"uris":["http://zotero.org/users/19404620/items/EYI2KZ5Y"],"itemData":{"id":227,"type":"article-journal","abstract":"Molecular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34</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bsc1 for DNA,</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{"citationID":"2ulRPWUZ","properties":{"unsorted":false,"formattedCitation":"\\super 35\\nosupersub{}","plainCitation":"35","noteIndex":0},"citationItems":[{"id":229,"uris":["http://zotero.org/users/19404620/items/YTBAPMJV"],"itemData":{"id":229,"type":"article-journal","abstract":"Parmbsc1, a new force field for DNA simulations, was broadly tested on nearly 100 DNA systems and overcame simulation artifacts that affected previous force fields.","container-title":"Nature Methods","DOI":"10.1038/nmeth.3658","ISSN":"1548-7105","issue":"1","journalAbbreviation":"Nat Methods","language":"en","license":"2016 Springer Nature America, Inc.","page":"55-58","publisher":"Nature Publishing Group","source":"www-nature-com.stanford.idm.oclc.org","title":"Parmbsc1: a refined force field for DNA simulations","title-short":"Parmbsc1","volume":"13","author":[{"family":"Ivani","given":"Ivan"},{"family":"Dans","given":"Pablo D."},{"family":"Noy","given":"Agnes"},{"family":"Pérez","given":"Alberto"},{"family":"Faustino","given":"Ignacio"},{"family":"Hospital","given":"Adam"},{"family":"Walther","given":"Jürgen"},{"family":"Andrio","given":"Pau"},{"family":"Goñi","given":"Ramon"},{"family":"Balaceanu","given":"Alexandra"},{"family":"Portella","given":"Guillem"},{"family":"Battistini","given":"Federica"},{"family":"Gelpí","given":"Josep Lluis"},{"family":"González","given":"Carlos"},{"family":"Vendruscolo","given":"Michele"},{"family":"Laughton","given":"Charles A."},{"family":"Harris","given":"Sarah A."},{"family":"Case","given":"David A."},{"family":"Orozco","given":"Modesto"}],"issued":{"date-parts":[["2016",1]]}}}],"schema":"https://github.com/citation-style-language/schema/raw/master/csl-citation.json"}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35</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and TIP3P water.</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{"citationID":"boT0ZgCs","properties":{"unsorted":false,"formattedCitation":"\\super 36\\nosupersub{}","plainCitation":"36","noteIndex":0},"citationItems":[{"id":231,"uris":["http://zotero.org/users/19404620/items/6F4CWEFZ"],"itemData":{"id":231,"type":"article-journal","abstract":"Classical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36</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DOR parameters were generated through the OpenFF/SMIRNOFF template generator using direct chemical perception,</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{"citationID":"UnebaBif","properties":{"unsorted":false,"formattedCitation":"\\super 37\\nosupersub{}","plainCitation":"37","noteIndex":0},"citationItems":[{"id":233,"uris":["http://zotero.org/users/19404620/items/E6BDSEJC"],"itemData":{"id":233,"type":"article-journal","abstract":"Traditional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w:instrText>
      </w:r>
      <w:r w:rsidR="00E032F1" w:rsidRPr="004100CF">
        <w:rPr>
          <w:rFonts w:ascii="Cambria Math" w:hAnsi="Cambria Math" w:cs="Cambria Math"/>
          <w:szCs w:val="24"/>
        </w:rPr>
        <w:instrText>∼</w:instrText>
      </w:r>
      <w:r w:rsidR="00E032F1" w:rsidRPr="004100CF">
        <w:rPr>
          <w:rFonts w:ascii="Times New Roman" w:hAnsi="Times New Roman" w:cs="Times New Roman"/>
          <w:szCs w:val="24"/>
        </w:rPr>
        <w:instrText xml:space="preserve">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37</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with Gasteiger partial charges.</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{"citationID":"eGQafwOT","properties":{"unsorted":false,"formattedCitation":"\\super 38\\nosupersub{}","plainCitation":"38","noteIndex":0},"citationItems":[{"id":235,"uris":["http://zotero.org/users/19404620/items/TBIEN3LN"],"itemData":{"id":235,"type":"article-journal","abstract":"A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38</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Each complex was solvated in a TIP3P periodic box with 1.0 nm padding and neutralized at 0.15 M ionic strength. Nonbonded interactions used particle-mesh Ewald electrostatics</w:t>
      </w:r>
      <w:r w:rsidR="004260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{"citationID":"R2wUPQOt","properties":{"unsorted":false,"formattedCitation":"\\super 39\\nosupersub{}","plainCitation":"39","noteIndex":0},"citationItems":[{"id":237,"uris":["http://zotero.org/users/19404620/items/JJF3VIYX"],"itemData":{"id":237,"type":"article-journal","abstract":"An N</w:instrText>
      </w:r>
      <w:r w:rsidR="00E032F1" w:rsidRPr="004100CF">
        <w:rPr>
          <w:rFonts w:ascii="Cambria Math" w:hAnsi="Cambria Math" w:cs="Cambria Math"/>
          <w:szCs w:val="24"/>
        </w:rPr>
        <w:instrText>⋅</w:instrText>
      </w:r>
      <w:r w:rsidR="00E032F1" w:rsidRPr="004100CF">
        <w:rPr>
          <w:rFonts w:ascii="Times New Roman" w:hAnsi="Times New Roman" w:cs="Times New Roman"/>
          <w:szCs w:val="24"/>
        </w:rPr>
        <w:instrText>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w:instrText>
      </w:r>
      <w:r w:rsidR="00E032F1" w:rsidRPr="004100CF">
        <w:rPr>
          <w:rFonts w:ascii="Cambria Math" w:hAnsi="Cambria Math" w:cs="Cambria Math"/>
          <w:szCs w:val="24"/>
        </w:rPr>
        <w:instrText>⋅</w:instrText>
      </w:r>
      <w:r w:rsidR="00E032F1" w:rsidRPr="004100CF">
        <w:rPr>
          <w:rFonts w:ascii="Times New Roman" w:hAnsi="Times New Roman" w:cs="Times New Roman"/>
          <w:szCs w:val="24"/>
        </w:rPr>
        <w:instrText xml:space="preserve">log(N) method for Ewald sums in large systems","title-short":"Particle mesh Ewald","volume":"98","author":[{"family":"Darden","given":"Tom"},{"family":"York","given":"Darrin"},{"family":"Pedersen","given":"Lee"}],"issued":{"date-parts":[["1993",6,15]]}}}],"schema":"https://github.com/citation-style-language/schema/raw/master/csl-citation.json"} </w:instrText>
      </w:r>
      <w:r w:rsidR="004260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39</w:t>
      </w:r>
      <w:r w:rsidR="004260F0" w:rsidRPr="004100CF">
        <w:rPr>
          <w:rFonts w:ascii="Times New Roman" w:hAnsi="Times New Roman" w:cs="Times New Roman"/>
          <w:szCs w:val="24"/>
        </w:rPr>
        <w:fldChar w:fldCharType="end"/>
      </w:r>
      <w:r w:rsidR="004260F0" w:rsidRPr="004100CF">
        <w:rPr>
          <w:rFonts w:ascii="Times New Roman" w:hAnsi="Times New Roman" w:cs="Times New Roman"/>
          <w:szCs w:val="24"/>
        </w:rPr>
        <w:t xml:space="preserve"> with a 1.0 nm cutoff, and bonds to hydrogen atoms were constrained.</w:t>
      </w:r>
    </w:p>
    <w:p w14:paraId="636E8DE9" w14:textId="77777777" w:rsidR="004260F0" w:rsidRPr="004100CF" w:rsidRDefault="004260F0" w:rsidP="004260F0">
      <w:pPr>
        <w:spacing w:after="240"/>
        <w:rPr>
          <w:rFonts w:ascii="Times New Roman" w:hAnsi="Times New Roman" w:cs="Times New Roman"/>
          <w:szCs w:val="24"/>
        </w:rPr>
      </w:pPr>
      <w:r w:rsidRPr="004100CF">
        <w:rPr>
          <w:rFonts w:ascii="Times New Roman" w:hAnsi="Times New Roman" w:cs="Times New Roman"/>
          <w:szCs w:val="24"/>
        </w:rPr>
        <w:t>Each WT or mutant complex was simulated in three independent 100 ns production replicates. Systems underwent a short pre-production minimization of the solvated system, followed by staged C</w:t>
      </w:r>
      <w:r w:rsidRPr="004100CF">
        <w:rPr>
          <w:rFonts w:ascii="Times New Roman" w:hAnsi="Times New Roman" w:cs="Times New Roman"/>
          <w:szCs w:val="24"/>
          <w:vertAlign w:val="subscript"/>
        </w:rPr>
        <w:t>α</w:t>
      </w:r>
      <w:r w:rsidRPr="004100CF">
        <w:rPr>
          <w:rFonts w:ascii="Times New Roman" w:hAnsi="Times New Roman" w:cs="Times New Roman"/>
          <w:szCs w:val="24"/>
        </w:rPr>
        <w:t>-restrained minimization (1,000 iterations at 50 kcal mol</w:t>
      </w:r>
      <w:r w:rsidRPr="004100CF">
        <w:rPr>
          <w:rFonts w:ascii="Times New Roman" w:hAnsi="Times New Roman" w:cs="Times New Roman"/>
          <w:szCs w:val="24"/>
          <w:vertAlign w:val="superscript"/>
        </w:rPr>
        <w:t>−1</w:t>
      </w:r>
      <w:r w:rsidRPr="004100CF">
        <w:rPr>
          <w:rFonts w:ascii="Times New Roman" w:hAnsi="Times New Roman" w:cs="Times New Roman"/>
          <w:szCs w:val="24"/>
        </w:rPr>
        <w:t xml:space="preserve"> Å</w:t>
      </w:r>
      <w:r w:rsidRPr="004100CF">
        <w:rPr>
          <w:rFonts w:ascii="Times New Roman" w:hAnsi="Times New Roman" w:cs="Times New Roman"/>
          <w:szCs w:val="24"/>
          <w:vertAlign w:val="superscript"/>
        </w:rPr>
        <w:t>−2</w:t>
      </w:r>
      <w:r w:rsidRPr="004100CF">
        <w:rPr>
          <w:rFonts w:ascii="Times New Roman" w:hAnsi="Times New Roman" w:cs="Times New Roman"/>
          <w:szCs w:val="24"/>
        </w:rPr>
        <w:t>, 1,000 iterations at 10 kcal mol</w:t>
      </w:r>
      <w:r w:rsidRPr="004100CF">
        <w:rPr>
          <w:rFonts w:ascii="Times New Roman" w:hAnsi="Times New Roman" w:cs="Times New Roman"/>
          <w:szCs w:val="24"/>
          <w:vertAlign w:val="superscript"/>
        </w:rPr>
        <w:t>−1</w:t>
      </w:r>
      <w:r w:rsidRPr="004100CF">
        <w:rPr>
          <w:rFonts w:ascii="Times New Roman" w:hAnsi="Times New Roman" w:cs="Times New Roman"/>
          <w:szCs w:val="24"/>
        </w:rPr>
        <w:t xml:space="preserve"> Å</w:t>
      </w:r>
      <w:r w:rsidRPr="004100CF">
        <w:rPr>
          <w:rFonts w:ascii="Times New Roman" w:hAnsi="Times New Roman" w:cs="Times New Roman"/>
          <w:szCs w:val="24"/>
          <w:vertAlign w:val="superscript"/>
        </w:rPr>
        <w:t>−2</w:t>
      </w:r>
      <w:r w:rsidRPr="004100CF">
        <w:rPr>
          <w:rFonts w:ascii="Times New Roman" w:hAnsi="Times New Roman" w:cs="Times New Roman"/>
          <w:szCs w:val="24"/>
        </w:rPr>
        <w:t>, and 5,000 unrestrained iterations). Systems were then heated from 10 K to 300 K over 25 ps under NVT conditions. Production simulations were run at 300 K and 1 bar using the Langevin middle integrator, a 2 fs timestep, 1 ps</w:t>
      </w:r>
      <w:r w:rsidRPr="004100CF">
        <w:rPr>
          <w:rFonts w:ascii="Times New Roman" w:hAnsi="Times New Roman" w:cs="Times New Roman"/>
          <w:szCs w:val="24"/>
          <w:vertAlign w:val="superscript"/>
        </w:rPr>
        <w:t>−1</w:t>
      </w:r>
      <w:r w:rsidRPr="004100CF">
        <w:rPr>
          <w:rFonts w:ascii="Times New Roman" w:hAnsi="Times New Roman" w:cs="Times New Roman"/>
          <w:szCs w:val="24"/>
        </w:rPr>
        <w:t xml:space="preserve"> friction coefficient, and a Monte Carlo barostat. State information was written every 2,000 integration steps. For downstream analysis, stripped protein-plus-ligand DCD trajectories were saved at approximately 200 evenly spaced frames per 100 ns production simulation.</w:t>
      </w:r>
    </w:p>
    <w:p w14:paraId="23470102" w14:textId="77777777" w:rsidR="004260F0" w:rsidRPr="004100CF" w:rsidRDefault="004260F0" w:rsidP="004260F0">
      <w:pPr>
        <w:rPr>
          <w:rFonts w:ascii="Times New Roman" w:hAnsi="Times New Roman" w:cs="Times New Roman"/>
          <w:szCs w:val="24"/>
        </w:rPr>
      </w:pPr>
      <w:r w:rsidRPr="004100CF">
        <w:rPr>
          <w:rFonts w:ascii="Times New Roman" w:hAnsi="Times New Roman" w:cs="Times New Roman"/>
          <w:b/>
          <w:bCs/>
          <w:szCs w:val="24"/>
          <w:u w:val="single"/>
        </w:rPr>
        <w:t>Trajectory processing and structural features</w:t>
      </w:r>
    </w:p>
    <w:p w14:paraId="75FE69A3" w14:textId="02542C41" w:rsidR="004260F0" w:rsidRPr="004100CF" w:rsidRDefault="004260F0" w:rsidP="004260F0">
      <w:pPr>
        <w:spacing w:after="240"/>
        <w:rPr>
          <w:rFonts w:ascii="Times New Roman" w:hAnsi="Times New Roman" w:cs="Times New Roman"/>
          <w:szCs w:val="24"/>
        </w:rPr>
      </w:pPr>
      <w:r w:rsidRPr="004100CF">
        <w:rPr>
          <w:rFonts w:ascii="Times New Roman" w:hAnsi="Times New Roman" w:cs="Times New Roman"/>
          <w:szCs w:val="24"/>
        </w:rPr>
        <w:t>Trajectory analyses were performed with MDAnalysis</w:t>
      </w:r>
      <w:r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{"citationID":"dulF9I72","properties":{"unsorted":false,"formattedCitation":"\\super 40\\nosupersub{}","plainCitation":"40","noteIndex":0},"citationItems":[{"id":240,"uris":["http://zotero.org/users/19404620/items/RPEHK5MV"],"itemData":{"id":240,"type":"article-journal","abstract":"MDAnalysis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40</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and MDTraj.</w:t>
      </w:r>
      <w:r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{"citationID":"MBYMA91P","properties":{"unsorted":false,"formattedCitation":"\\super 41\\nosupersub{}","plainCitation":"41","noteIndex":0},"citationItems":[{"id":243,"uris":["http://zotero.org/users/19404620/items/RFZX7FL3"],"itemData":{"id":243,"type":"article-journal","container-title":"Biophysical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41</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Periodic-boundary artifacts were corrected by making protein chains whole and wrapping DOR to the nearest periodic image of the protein center of mass. For structural comparisons, trajectories were aligned to the </w:t>
      </w:r>
      <w:r w:rsidR="007D7A4D" w:rsidRPr="004100CF">
        <w:rPr>
          <w:rFonts w:ascii="Times New Roman" w:hAnsi="Times New Roman" w:cs="Times New Roman"/>
          <w:szCs w:val="24"/>
        </w:rPr>
        <w:t>crystal structure</w:t>
      </w:r>
      <w:r w:rsidRPr="004100CF">
        <w:rPr>
          <w:rFonts w:ascii="Times New Roman" w:hAnsi="Times New Roman" w:cs="Times New Roman"/>
          <w:szCs w:val="24"/>
        </w:rPr>
        <w:t xml:space="preserve"> reference using C</w:t>
      </w:r>
      <w:r w:rsidR="007D7A4D" w:rsidRPr="004100CF">
        <w:rPr>
          <w:rFonts w:ascii="Times New Roman" w:hAnsi="Times New Roman" w:cs="Times New Roman"/>
          <w:szCs w:val="24"/>
          <w:vertAlign w:val="subscript"/>
        </w:rPr>
        <w:t>α</w:t>
      </w:r>
      <w:r w:rsidRPr="004100CF">
        <w:rPr>
          <w:rFonts w:ascii="Times New Roman" w:hAnsi="Times New Roman" w:cs="Times New Roman"/>
          <w:szCs w:val="24"/>
        </w:rPr>
        <w:t xml:space="preserve"> atoms. DOR pose </w:t>
      </w:r>
      <w:r w:rsidR="0087658B" w:rsidRPr="004100CF">
        <w:rPr>
          <w:rFonts w:ascii="Times New Roman" w:hAnsi="Times New Roman" w:cs="Times New Roman"/>
          <w:szCs w:val="24"/>
        </w:rPr>
        <w:t>root mean squared deviation (</w:t>
      </w:r>
      <w:r w:rsidRPr="004100CF">
        <w:rPr>
          <w:rFonts w:ascii="Times New Roman" w:hAnsi="Times New Roman" w:cs="Times New Roman"/>
          <w:szCs w:val="24"/>
        </w:rPr>
        <w:t>RMSD</w:t>
      </w:r>
      <w:r w:rsidR="0087658B" w:rsidRPr="004100CF">
        <w:rPr>
          <w:rFonts w:ascii="Times New Roman" w:hAnsi="Times New Roman" w:cs="Times New Roman"/>
          <w:szCs w:val="24"/>
        </w:rPr>
        <w:t>)</w:t>
      </w:r>
      <w:r w:rsidRPr="004100CF">
        <w:rPr>
          <w:rFonts w:ascii="Times New Roman" w:hAnsi="Times New Roman" w:cs="Times New Roman"/>
          <w:szCs w:val="24"/>
        </w:rPr>
        <w:t xml:space="preserve"> was computed after protein-pocket alignment from DOR heavy atoms relative to the crystallographic pose. Residue-DOR proximity features were computed as the minimum heavy-atom distance between DOR and each specified RT residue in each analyzed frame. </w:t>
      </w:r>
    </w:p>
    <w:p w14:paraId="3C279018" w14:textId="3ACC783C" w:rsidR="004260F0" w:rsidRPr="004100CF" w:rsidRDefault="004260F0" w:rsidP="004260F0">
      <w:pPr>
        <w:rPr>
          <w:rFonts w:ascii="Times New Roman" w:hAnsi="Times New Roman" w:cs="Times New Roman"/>
          <w:b/>
          <w:bCs/>
          <w:szCs w:val="24"/>
          <w:u w:val="single"/>
        </w:rPr>
      </w:pPr>
      <w:r w:rsidRPr="004100CF">
        <w:rPr>
          <w:rFonts w:ascii="Times New Roman" w:hAnsi="Times New Roman" w:cs="Times New Roman"/>
          <w:b/>
          <w:bCs/>
          <w:szCs w:val="24"/>
          <w:u w:val="single"/>
        </w:rPr>
        <w:lastRenderedPageBreak/>
        <w:t>MM/GBSA Calculations</w:t>
      </w:r>
    </w:p>
    <w:p w14:paraId="273046E2" w14:textId="6D05369D" w:rsidR="009D3750" w:rsidRPr="004100CF" w:rsidRDefault="004260F0" w:rsidP="004260F0">
      <w:pPr>
        <w:spacing w:after="240"/>
        <w:rPr>
          <w:rFonts w:ascii="Times New Roman" w:hAnsi="Times New Roman" w:cs="Times New Roman"/>
          <w:szCs w:val="24"/>
        </w:rPr>
      </w:pPr>
      <w:r w:rsidRPr="004100CF">
        <w:rPr>
          <w:rFonts w:ascii="Times New Roman" w:hAnsi="Times New Roman" w:cs="Times New Roman"/>
          <w:szCs w:val="24"/>
        </w:rPr>
        <w:t>For each replicate trajectory, MM/GBSA-style binding-energy components were computed from solute-only snapshots of the explicit-solvent simulations.</w:t>
      </w:r>
      <w:r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{"citationID":"wtMETtvS","properties":{"unsorted":false,"formattedCitation":"\\super 42\\nosupersub{}","plainCitation":"42","noteIndex":0},"citationItems":[{"id":246,"uris":["http://zotero.org/users/19404620/items/PXXKNW8K"],"itemData":{"id":246,"type":"article-journal","abstract":"Significant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42</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The analysis used the same molecular-mechanics parameters as the production simulations. We evaluated complex, receptor, and ligand energies separately, and computed binding components as </w:t>
      </w:r>
    </w:p>
    <w:p w14:paraId="08A9D11D" w14:textId="75C7E96D" w:rsidR="009D3750" w:rsidRPr="004100CF" w:rsidRDefault="004260F0" w:rsidP="009D3750">
      <w:pPr>
        <w:spacing w:after="240"/>
        <w:jc w:val="center"/>
        <w:rPr>
          <w:rFonts w:ascii="Times New Roman" w:hAnsi="Times New Roman" w:cs="Times New Roman"/>
          <w:szCs w:val="24"/>
        </w:rPr>
      </w:pPr>
      <w:r w:rsidRPr="004100CF">
        <w:rPr>
          <w:rFonts w:ascii="Times New Roman" w:hAnsi="Times New Roman" w:cs="Times New Roman"/>
          <w:szCs w:val="24"/>
        </w:rPr>
        <w:t>∆E = E</w:t>
      </w:r>
      <w:r w:rsidRPr="004100CF">
        <w:rPr>
          <w:rFonts w:ascii="Times New Roman" w:hAnsi="Times New Roman" w:cs="Times New Roman"/>
          <w:szCs w:val="24"/>
          <w:vertAlign w:val="subscript"/>
        </w:rPr>
        <w:t>complex</w:t>
      </w:r>
      <w:r w:rsidRPr="004100CF">
        <w:rPr>
          <w:rFonts w:ascii="Times New Roman" w:hAnsi="Times New Roman" w:cs="Times New Roman"/>
          <w:szCs w:val="24"/>
        </w:rPr>
        <w:t xml:space="preserve"> − E</w:t>
      </w:r>
      <w:r w:rsidRPr="004100CF">
        <w:rPr>
          <w:rFonts w:ascii="Times New Roman" w:hAnsi="Times New Roman" w:cs="Times New Roman"/>
          <w:szCs w:val="24"/>
          <w:vertAlign w:val="subscript"/>
        </w:rPr>
        <w:t>receptor</w:t>
      </w:r>
      <w:r w:rsidRPr="004100CF">
        <w:rPr>
          <w:rFonts w:ascii="Times New Roman" w:hAnsi="Times New Roman" w:cs="Times New Roman"/>
          <w:szCs w:val="24"/>
        </w:rPr>
        <w:t xml:space="preserve"> − E</w:t>
      </w:r>
      <w:r w:rsidRPr="004100CF">
        <w:rPr>
          <w:rFonts w:ascii="Times New Roman" w:hAnsi="Times New Roman" w:cs="Times New Roman"/>
          <w:szCs w:val="24"/>
          <w:vertAlign w:val="subscript"/>
        </w:rPr>
        <w:t>ligand</w:t>
      </w:r>
      <w:r w:rsidRPr="004100CF">
        <w:rPr>
          <w:rFonts w:ascii="Times New Roman" w:hAnsi="Times New Roman" w:cs="Times New Roman"/>
          <w:szCs w:val="24"/>
        </w:rPr>
        <w:t>.</w:t>
      </w:r>
    </w:p>
    <w:p w14:paraId="21719071" w14:textId="36AE1D6B" w:rsidR="00904E1B" w:rsidRPr="004100CF" w:rsidRDefault="004260F0" w:rsidP="004260F0">
      <w:pPr>
        <w:spacing w:after="240"/>
        <w:rPr>
          <w:rFonts w:ascii="Times New Roman" w:hAnsi="Times New Roman" w:cs="Times New Roman"/>
          <w:szCs w:val="24"/>
        </w:rPr>
      </w:pPr>
      <w:r w:rsidRPr="004100CF">
        <w:rPr>
          <w:rFonts w:ascii="Times New Roman" w:hAnsi="Times New Roman" w:cs="Times New Roman"/>
          <w:szCs w:val="24"/>
        </w:rPr>
        <w:t>Van der Waals and electrostatic molecular-mechanics terms were evaluated separately by selectively zeroing the complementary nonbonded parameters. Polar solvation was computed with the Onufriev-Bashford-Case generalized Born model,</w:t>
      </w:r>
      <w:r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{"citationID":"zMKShQIN","properties":{"unsorted":false,"formattedCitation":"\\super 43\\nosupersub{}","plainCitation":"43","noteIndex":0},"citationItems":[{"id":248,"uris":["http://zotero.org/users/19404620/items/NR457Q7X"],"itemData":{"id":248,"type":"article-journal","abstract":"Implicit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w:instrText>
      </w:r>
      <w:r w:rsidR="00E032F1" w:rsidRPr="004100CF">
        <w:rPr>
          <w:rFonts w:ascii="Cambria Math" w:hAnsi="Cambria Math" w:cs="Cambria Math"/>
          <w:szCs w:val="24"/>
        </w:rPr>
        <w:instrText>∼</w:instrText>
      </w:r>
      <w:r w:rsidR="00E032F1" w:rsidRPr="004100CF">
        <w:rPr>
          <w:rFonts w:ascii="Times New Roman" w:hAnsi="Times New Roman" w:cs="Times New Roman"/>
          <w:szCs w:val="24"/>
        </w:rPr>
        <w:instrText xml:space="preserve">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43</w:t>
      </w:r>
      <w:r w:rsidRPr="004100CF">
        <w:rPr>
          <w:rFonts w:ascii="Times New Roman" w:hAnsi="Times New Roman" w:cs="Times New Roman"/>
          <w:szCs w:val="24"/>
        </w:rPr>
        <w:fldChar w:fldCharType="end"/>
      </w:r>
      <w:r w:rsidRPr="004100CF">
        <w:rPr>
          <w:rFonts w:ascii="Times New Roman" w:hAnsi="Times New Roman" w:cs="Times New Roman"/>
          <w:szCs w:val="24"/>
        </w:rPr>
        <w:t xml:space="preserve"> and the nonpolar surface-area term was computed from the GBSA surface-area contribution. </w:t>
      </w:r>
      <w:r w:rsidR="00BE1E8F" w:rsidRPr="004100CF">
        <w:rPr>
          <w:rFonts w:ascii="Times New Roman" w:hAnsi="Times New Roman" w:cs="Times New Roman"/>
          <w:szCs w:val="24"/>
        </w:rPr>
        <w:t xml:space="preserve">Each snapshot was energy-minimized for 100 iterations with all atoms free before energy evaluation, to relieve steric overlaps that would otherwise dominate the van der Waals term. Replicate means are reported from the final 20 saved frames of each trajectory, corresponding to approximately the final 10 ns. WT-referenced shifts were calculated as </w:t>
      </w:r>
    </w:p>
    <w:p w14:paraId="65F7A4DE" w14:textId="05DD1D48" w:rsidR="00904E1B" w:rsidRPr="004100CF" w:rsidRDefault="00BE1E8F" w:rsidP="00904E1B">
      <w:pPr>
        <w:spacing w:after="240"/>
        <w:jc w:val="center"/>
        <w:rPr>
          <w:rFonts w:ascii="Times New Roman" w:hAnsi="Times New Roman" w:cs="Times New Roman"/>
          <w:szCs w:val="24"/>
        </w:rPr>
      </w:pPr>
      <w:r w:rsidRPr="004100CF">
        <w:rPr>
          <w:rFonts w:ascii="Times New Roman" w:hAnsi="Times New Roman" w:cs="Times New Roman"/>
          <w:szCs w:val="24"/>
        </w:rPr>
        <w:t>∆∆E = ∆E</w:t>
      </w:r>
      <w:r w:rsidR="00904E1B" w:rsidRPr="004100CF">
        <w:rPr>
          <w:rFonts w:ascii="Times New Roman" w:hAnsi="Times New Roman" w:cs="Times New Roman"/>
          <w:szCs w:val="24"/>
          <w:vertAlign w:val="subscript"/>
        </w:rPr>
        <w:t>M</w:t>
      </w:r>
      <w:r w:rsidRPr="004100CF">
        <w:rPr>
          <w:rFonts w:ascii="Times New Roman" w:hAnsi="Times New Roman" w:cs="Times New Roman"/>
          <w:szCs w:val="24"/>
          <w:vertAlign w:val="subscript"/>
        </w:rPr>
        <w:t>ut</w:t>
      </w:r>
      <w:r w:rsidRPr="004100CF">
        <w:rPr>
          <w:rFonts w:ascii="Times New Roman" w:hAnsi="Times New Roman" w:cs="Times New Roman"/>
          <w:szCs w:val="24"/>
        </w:rPr>
        <w:t xml:space="preserve"> − </w:t>
      </w:r>
      <w:r w:rsidRPr="004100CF">
        <w:rPr>
          <w:rFonts w:ascii="Cambria Math" w:hAnsi="Cambria Math" w:cs="Cambria Math"/>
          <w:szCs w:val="24"/>
        </w:rPr>
        <w:t>⟨</w:t>
      </w:r>
      <w:r w:rsidRPr="004100CF">
        <w:rPr>
          <w:rFonts w:ascii="Times New Roman" w:hAnsi="Times New Roman" w:cs="Times New Roman"/>
          <w:szCs w:val="24"/>
        </w:rPr>
        <w:t>∆E</w:t>
      </w:r>
      <w:r w:rsidRPr="004100CF">
        <w:rPr>
          <w:rFonts w:ascii="Times New Roman" w:hAnsi="Times New Roman" w:cs="Times New Roman"/>
          <w:szCs w:val="24"/>
          <w:vertAlign w:val="subscript"/>
        </w:rPr>
        <w:t>WT</w:t>
      </w:r>
      <w:r w:rsidRPr="004100CF">
        <w:rPr>
          <w:rFonts w:ascii="Cambria Math" w:hAnsi="Cambria Math" w:cs="Cambria Math"/>
          <w:szCs w:val="24"/>
        </w:rPr>
        <w:t>⟩</w:t>
      </w:r>
      <w:r w:rsidRPr="004100CF">
        <w:rPr>
          <w:rFonts w:ascii="Times New Roman" w:hAnsi="Times New Roman" w:cs="Times New Roman"/>
          <w:szCs w:val="24"/>
        </w:rPr>
        <w:t>,</w:t>
      </w:r>
    </w:p>
    <w:p w14:paraId="54CFC88D" w14:textId="1CBEFCDE" w:rsidR="004260F0" w:rsidRPr="004100CF" w:rsidRDefault="00BE1E8F" w:rsidP="004260F0">
      <w:pPr>
        <w:spacing w:after="240"/>
        <w:rPr>
          <w:rFonts w:ascii="Times New Roman" w:hAnsi="Times New Roman" w:cs="Times New Roman"/>
          <w:szCs w:val="24"/>
        </w:rPr>
      </w:pPr>
      <w:r w:rsidRPr="004100CF">
        <w:rPr>
          <w:rFonts w:ascii="Times New Roman" w:hAnsi="Times New Roman" w:cs="Times New Roman"/>
          <w:szCs w:val="24"/>
        </w:rPr>
        <w:t>referencing each mutant replicate to the mean of the three WT replicates, for total MM/GBSA energy and for van der Waals, electrostatic, GB polar-solvation, and nonpolar surface-area components</w:t>
      </w:r>
    </w:p>
    <w:p w14:paraId="524CF9F3" w14:textId="68543F18" w:rsidR="004260F0" w:rsidRPr="004100CF" w:rsidRDefault="00E50017" w:rsidP="0006771E">
      <w:pPr>
        <w:rPr>
          <w:rFonts w:ascii="Times New Roman" w:hAnsi="Times New Roman" w:cs="Times New Roman"/>
          <w:b/>
          <w:bCs/>
          <w:u w:val="single"/>
        </w:rPr>
      </w:pPr>
      <w:r w:rsidRPr="004100CF">
        <w:rPr>
          <w:rFonts w:ascii="Times New Roman" w:hAnsi="Times New Roman" w:cs="Times New Roman"/>
          <w:b/>
          <w:bCs/>
          <w:u w:val="single"/>
        </w:rPr>
        <w:t>Free Energy Perturbation Calculations</w:t>
      </w:r>
    </w:p>
    <w:p w14:paraId="35275A55" w14:textId="77777777" w:rsidR="009D3750" w:rsidRPr="004100CF" w:rsidRDefault="00E50017" w:rsidP="00E50017">
      <w:pPr>
        <w:pStyle w:val="NormalWeb"/>
        <w:spacing w:before="0" w:beforeAutospacing="0"/>
      </w:pPr>
      <w:r w:rsidRPr="004100CF">
        <w:t xml:space="preserve">For each genotype, the change in DOR binding free energy was computed from a thermodynamic cycle in which the p66 substitution was introduced alchemically in both the DOR-bound and the ligand-free enzyme, </w:t>
      </w:r>
    </w:p>
    <w:p w14:paraId="2DFE78CE" w14:textId="166D31BC" w:rsidR="009D3750" w:rsidRPr="004100CF" w:rsidRDefault="00E50017" w:rsidP="009D3750">
      <w:pPr>
        <w:pStyle w:val="NormalWeb"/>
        <w:spacing w:before="0" w:beforeAutospacing="0"/>
        <w:jc w:val="center"/>
      </w:pPr>
      <w:r w:rsidRPr="004100CF">
        <w:t>∆∆G</w:t>
      </w:r>
      <w:r w:rsidR="00904E1B" w:rsidRPr="004100CF">
        <w:rPr>
          <w:vertAlign w:val="subscript"/>
        </w:rPr>
        <w:t>bind</w:t>
      </w:r>
      <w:r w:rsidRPr="004100CF">
        <w:t xml:space="preserve"> = ∆G</w:t>
      </w:r>
      <w:r w:rsidRPr="004100CF">
        <w:rPr>
          <w:vertAlign w:val="subscript"/>
        </w:rPr>
        <w:t>holo</w:t>
      </w:r>
      <w:r w:rsidRPr="004100CF">
        <w:t xml:space="preserve"> − ∆G</w:t>
      </w:r>
      <w:r w:rsidRPr="004100CF">
        <w:rPr>
          <w:vertAlign w:val="subscript"/>
        </w:rPr>
        <w:t>apo</w:t>
      </w:r>
      <w:r w:rsidRPr="004100CF">
        <w:t>,</w:t>
      </w:r>
    </w:p>
    <w:p w14:paraId="229E5BC5" w14:textId="7BD02D1F" w:rsidR="00E50017" w:rsidRPr="004100CF" w:rsidRDefault="00E50017" w:rsidP="00E50017">
      <w:pPr>
        <w:pStyle w:val="NormalWeb"/>
        <w:spacing w:before="0" w:beforeAutospacing="0"/>
      </w:pPr>
      <w:r w:rsidRPr="004100CF">
        <w:t>so that positive values correspond to weaker DOR binding. Multipl</w:t>
      </w:r>
      <w:r w:rsidR="009D3750" w:rsidRPr="004100CF">
        <w:t>e</w:t>
      </w:r>
      <w:r w:rsidRPr="004100CF">
        <w:t xml:space="preserve"> substituted genotypes were decomposed into sequential single-residue legs (e.g. WT→K103N, then K103N→K103N+M230L), whose values were summed and standard errors combined in quadrature. Wild-type and mutant end states were connected by pmx hybrid residues,</w:t>
      </w:r>
      <w:r w:rsidR="007842CF" w:rsidRPr="004100CF">
        <w:fldChar w:fldCharType="begin"/>
      </w:r>
      <w:r w:rsidR="00E032F1" w:rsidRPr="004100CF">
        <w:instrText xml:space="preserve"> ADDIN ZOTERO_ITEM CSL_CITATION {"citationID":"38VucYMR","properties":{"unsorted":false,"formattedCitation":"\\super 44\\nosupersub{}","plainCitation":"44","noteIndex":0},"citationItems":[{"id":273,"uris":["http://zotero.org/users/19404620/items/P4QQPRMC"],"itemData":{"id":273,"type":"article-journal","abstract":"Computational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rsidR="007842CF" w:rsidRPr="004100CF">
        <w:fldChar w:fldCharType="separate"/>
      </w:r>
      <w:r w:rsidR="00E032F1" w:rsidRPr="004100CF">
        <w:rPr>
          <w:vertAlign w:val="superscript"/>
        </w:rPr>
        <w:t>44</w:t>
      </w:r>
      <w:r w:rsidR="007842CF" w:rsidRPr="004100CF">
        <w:fldChar w:fldCharType="end"/>
      </w:r>
      <w:r w:rsidRPr="004100CF">
        <w:t xml:space="preserve"> which share a common backbone and carry dummy atoms only where the two side chains differ, built with the amber14sbmut mutation force field to match the ff14SB parameters used for MD; DOR parameters were carried over from the same OpenFF 2.0.0 assignment and exported to GROMACS format through OpenFF Interchange. Hybrid systems were built in GROMACS 2023.1,</w:t>
      </w:r>
      <w:r w:rsidR="007842CF" w:rsidRPr="004100CF">
        <w:fldChar w:fldCharType="begin"/>
      </w:r>
      <w:r w:rsidR="00E032F1" w:rsidRPr="004100CF">
        <w:instrText xml:space="preserve"> ADDIN ZOTERO_ITEM CSL_CITATION {"citationID":"BLHWYYFl","properties":{"unsorted":false,"formattedCitation":"\\super 45\\nosupersub{}","plainCitation":"45","noteIndex":0},"citationItems":[{"id":276,"uris":["http://zotero.org/users/19404620/items/TBLRHTLF"],"itemData":{"id":276,"type":"article-journal","abstract":"GROMACS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rsidR="007842CF" w:rsidRPr="004100CF">
        <w:fldChar w:fldCharType="separate"/>
      </w:r>
      <w:r w:rsidR="00E032F1" w:rsidRPr="004100CF">
        <w:rPr>
          <w:vertAlign w:val="superscript"/>
        </w:rPr>
        <w:t>45</w:t>
      </w:r>
      <w:r w:rsidR="007842CF" w:rsidRPr="004100CF">
        <w:fldChar w:fldCharType="end"/>
      </w:r>
      <w:r w:rsidRPr="004100CF">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rsidR="00100DCA" w:rsidRPr="004100CF">
        <w:fldChar w:fldCharType="begin"/>
      </w:r>
      <w:r w:rsidR="00E032F1" w:rsidRPr="004100CF">
        <w:instrText xml:space="preserve"> ADDIN ZOTERO_ITEM CSL_CITATION {"citationID":"1FfJh2e5","properties":{"unsorted":false,"formattedCitation":"\\super 46\\nosupersub{}","plainCitation":"46","noteIndex":0},"citationItems":[{"id":278,"uris":["http://zotero.org/users/19404620/items/2KSP6TK6"],"itemData":{"id":278,"type":"article-journal","abstract":"The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rsidR="00100DCA" w:rsidRPr="004100CF">
        <w:fldChar w:fldCharType="separate"/>
      </w:r>
      <w:r w:rsidR="00E032F1" w:rsidRPr="004100CF">
        <w:rPr>
          <w:vertAlign w:val="superscript"/>
        </w:rPr>
        <w:t>46</w:t>
      </w:r>
      <w:r w:rsidR="00100DCA" w:rsidRPr="004100CF">
        <w:fldChar w:fldCharType="end"/>
      </w:r>
      <w:r w:rsidRPr="004100CF">
        <w:t xml:space="preserve"> Each replicate was seeded from the corresponding equilibrated MD starting structure.</w:t>
      </w:r>
    </w:p>
    <w:p w14:paraId="154D9409" w14:textId="5DF32138" w:rsidR="0006771E" w:rsidRPr="004100CF" w:rsidRDefault="007E05DC">
      <w:pPr>
        <w:rPr>
          <w:rFonts w:ascii="Times New Roman" w:hAnsi="Times New Roman" w:cs="Times New Roman"/>
        </w:rPr>
      </w:pPr>
      <w:r w:rsidRPr="004100CF">
        <w:rPr>
          <w:rFonts w:ascii="Times New Roman" w:hAnsi="Times New Roman" w:cs="Times New Roman"/>
        </w:rPr>
        <w:t>Non-equilibrium switching</w:t>
      </w:r>
      <w:r w:rsidRPr="004100CF">
        <w:rPr>
          <w:rFonts w:ascii="Times New Roman" w:hAnsi="Times New Roman" w:cs="Times New Roman"/>
        </w:rPr>
        <w:fldChar w:fldCharType="begin"/>
      </w:r>
      <w:r w:rsidRPr="004100CF">
        <w:rPr>
          <w:rFonts w:ascii="Times New Roman" w:hAnsi="Times New Roman" w:cs="Times New Roman"/>
        </w:rPr>
        <w:instrText xml:space="preserve"> ADDIN ZOTERO_ITEM CSL_CITATION {"citationID":"sRqAcJeQ","properties":{"unsorted":false,"formattedCitation":"\\super 47,48\\nosupersub{}","plainCitation":"47,48","noteIndex":0},"citationItems":[{"id":280,"uris":["http://zotero.org/users/19404620/items/B29ZBTET"],"itemData":{"id":280,"type":"article-journal","abstract":"An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Pr="004100CF">
        <w:rPr>
          <w:rFonts w:ascii="Times New Roman" w:hAnsi="Times New Roman" w:cs="Times New Roman"/>
        </w:rPr>
        <w:fldChar w:fldCharType="separate"/>
      </w:r>
      <w:r w:rsidRPr="004100CF">
        <w:rPr>
          <w:rFonts w:ascii="Times New Roman" w:hAnsi="Times New Roman" w:cs="Times New Roman"/>
          <w:vertAlign w:val="superscript"/>
        </w:rPr>
        <w:t>47,48</w:t>
      </w:r>
      <w:r w:rsidRPr="004100CF">
        <w:rPr>
          <w:rFonts w:ascii="Times New Roman" w:hAnsi="Times New Roman" w:cs="Times New Roman"/>
        </w:rPr>
        <w:fldChar w:fldCharType="end"/>
      </w:r>
      <w:r w:rsidRPr="004100CF">
        <w:rPr>
          <w:rFonts w:ascii="Times New Roman" w:hAnsi="Times New Roman" w:cs="Times New Roman"/>
        </w:rPr>
        <w:t xml:space="preserve"> requires sampling only at the two physical end states. Each end state (λ = 0, wild type; λ = 1, mutant) was minimized with the free-energy Hamiltonian active at that λ so that dummy atoms relax, warmed for 500 ps under a C-rescale barostat,</w:t>
      </w:r>
      <w:r w:rsidRPr="004100CF">
        <w:rPr>
          <w:rFonts w:ascii="Times New Roman" w:hAnsi="Times New Roman" w:cs="Times New Roman"/>
        </w:rPr>
        <w:fldChar w:fldCharType="begin"/>
      </w:r>
      <w:r w:rsidRPr="004100CF">
        <w:rPr>
          <w:rFonts w:ascii="Times New Roman" w:hAnsi="Times New Roman" w:cs="Times New Roman"/>
        </w:rPr>
        <w:instrText xml:space="preserve"> ADDIN ZOTERO_ITEM CSL_CITATION {"citationID":"g1dxHzMV","properties":{"unsorted":false,"formattedCitation":"\\super 49\\nosupersub{}","plainCitation":"49","noteIndex":0},"citationItems":[{"id":286,"uris":["http://zotero.org/users/19404620/items/KHLJJE3I"],"itemData":{"id":286,"type":"article-journal","abstract":"Molecular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rsidRPr="004100CF">
        <w:rPr>
          <w:rFonts w:ascii="Times New Roman" w:hAnsi="Times New Roman" w:cs="Times New Roman"/>
        </w:rPr>
        <w:fldChar w:fldCharType="separate"/>
      </w:r>
      <w:r w:rsidRPr="004100CF">
        <w:rPr>
          <w:rFonts w:ascii="Times New Roman" w:hAnsi="Times New Roman" w:cs="Times New Roman"/>
          <w:vertAlign w:val="superscript"/>
        </w:rPr>
        <w:t>49</w:t>
      </w:r>
      <w:r w:rsidRPr="004100CF">
        <w:rPr>
          <w:rFonts w:ascii="Times New Roman" w:hAnsi="Times New Roman" w:cs="Times New Roman"/>
        </w:rPr>
        <w:fldChar w:fldCharType="end"/>
      </w:r>
      <w:r w:rsidRPr="004100CF">
        <w:rPr>
          <w:rFonts w:ascii="Times New Roman" w:hAnsi="Times New Roman" w:cs="Times New Roman"/>
        </w:rPr>
        <w:t xml:space="preserve"> and then </w:t>
      </w:r>
      <w:r w:rsidRPr="004100CF">
        <w:rPr>
          <w:rFonts w:ascii="Times New Roman" w:hAnsi="Times New Roman" w:cs="Times New Roman"/>
        </w:rPr>
        <w:lastRenderedPageBreak/>
        <w:t>sampled for 5 ns at 300 K and 1 bar with velocity-rescaling temperature coupling and a Parrinello-Rahman barostat.</w:t>
      </w:r>
    </w:p>
    <w:p w14:paraId="500F3A1F" w14:textId="26F30E17" w:rsidR="000E15E2" w:rsidRPr="004100CF" w:rsidRDefault="004917E3" w:rsidP="004917E3">
      <w:pPr>
        <w:spacing w:after="240"/>
        <w:rPr>
          <w:rFonts w:ascii="Times New Roman" w:hAnsi="Times New Roman" w:cs="Times New Roman"/>
          <w:sz w:val="22"/>
          <w:szCs w:val="22"/>
        </w:rPr>
      </w:pPr>
      <w:r w:rsidRPr="004100CF">
        <w:rPr>
          <w:rFonts w:ascii="Times New Roman" w:hAnsi="Times New Roman" w:cs="Times New Roman"/>
          <w:b/>
          <w:bCs/>
          <w:noProof/>
          <w:sz w:val="22"/>
          <w:szCs w:val="22"/>
        </w:rPr>
        <w:drawing>
          <wp:inline distT="0" distB="0" distL="0" distR="0" wp14:anchorId="1EAD4FF4" wp14:editId="0224DF8B">
            <wp:extent cx="5943600" cy="6109335"/>
            <wp:effectExtent l="0" t="0" r="0" b="0"/>
            <wp:docPr id="1309979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79249" name="Picture 13099792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109335"/>
                    </a:xfrm>
                    <a:prstGeom prst="rect">
                      <a:avLst/>
                    </a:prstGeom>
                  </pic:spPr>
                </pic:pic>
              </a:graphicData>
            </a:graphic>
          </wp:inline>
        </w:drawing>
      </w:r>
      <w:r w:rsidRPr="004100CF">
        <w:rPr>
          <w:rFonts w:ascii="Times New Roman" w:hAnsi="Times New Roman" w:cs="Times New Roman"/>
          <w:b/>
          <w:bCs/>
          <w:sz w:val="22"/>
          <w:szCs w:val="22"/>
        </w:rPr>
        <w:t>Figure 1: Crystal structure of DOR bound to WT RT (PDB ID: 4NCG).</w:t>
      </w:r>
      <w:r w:rsidRPr="004100CF">
        <w:rPr>
          <w:rFonts w:ascii="Times New Roman" w:hAnsi="Times New Roman" w:cs="Times New Roman"/>
          <w:sz w:val="22"/>
          <w:szCs w:val="22"/>
        </w:rPr>
        <w:t xml:space="preserve"> </w:t>
      </w:r>
      <w:r w:rsidRPr="004100CF">
        <w:rPr>
          <w:rFonts w:ascii="Times New Roman" w:hAnsi="Times New Roman" w:cs="Times New Roman"/>
          <w:b/>
          <w:bCs/>
          <w:sz w:val="22"/>
          <w:szCs w:val="22"/>
        </w:rPr>
        <w:t>(A)</w:t>
      </w:r>
      <w:r w:rsidRPr="004100CF">
        <w:rPr>
          <w:rFonts w:ascii="Times New Roman" w:hAnsi="Times New Roman" w:cs="Times New Roman"/>
          <w:sz w:val="22"/>
          <w:szCs w:val="22"/>
        </w:rPr>
        <w:t xml:space="preserve"> Annotated structure of WT RT in complex with DOR simulated in this work. The NNIBP including DOR is highlighted in a light gray oval. </w:t>
      </w:r>
      <w:r w:rsidRPr="004100CF">
        <w:rPr>
          <w:rFonts w:ascii="Times New Roman" w:hAnsi="Times New Roman" w:cs="Times New Roman"/>
          <w:b/>
          <w:bCs/>
          <w:sz w:val="22"/>
          <w:szCs w:val="22"/>
        </w:rPr>
        <w:t xml:space="preserve">(B) </w:t>
      </w:r>
      <w:r w:rsidRPr="004100CF">
        <w:rPr>
          <w:rFonts w:ascii="Times New Roman" w:hAnsi="Times New Roman" w:cs="Times New Roman"/>
          <w:sz w:val="22"/>
          <w:szCs w:val="22"/>
        </w:rPr>
        <w:t xml:space="preserve">Visualization of DOR within the NNIBP, segmented into seven regions: β6 strand (blue), Pocket entrance (orange), 103-108 loop (yellow), Hydrophobic tunnel (green), β9-β10 hairpin (red), β12-β13 primer grip (purple), Distal pocket wall (teal). </w:t>
      </w:r>
      <w:r w:rsidRPr="004100CF">
        <w:rPr>
          <w:rFonts w:ascii="Times New Roman" w:hAnsi="Times New Roman" w:cs="Times New Roman"/>
          <w:b/>
          <w:bCs/>
          <w:sz w:val="22"/>
          <w:szCs w:val="22"/>
        </w:rPr>
        <w:t>(C)</w:t>
      </w:r>
      <w:r w:rsidRPr="004100CF">
        <w:rPr>
          <w:rFonts w:ascii="Times New Roman" w:hAnsi="Times New Roman" w:cs="Times New Roman"/>
          <w:i/>
          <w:iCs/>
          <w:sz w:val="22"/>
          <w:szCs w:val="22"/>
        </w:rPr>
        <w:t xml:space="preserve"> </w:t>
      </w:r>
      <w:r w:rsidRPr="004100CF">
        <w:rPr>
          <w:rFonts w:ascii="Times New Roman" w:hAnsi="Times New Roman" w:cs="Times New Roman"/>
          <w:sz w:val="22"/>
          <w:szCs w:val="22"/>
        </w:rPr>
        <w:t>Minimum heavy atom distances between DOR (yellow) and eight key NNIBP residues (pink).</w:t>
      </w:r>
    </w:p>
    <w:p w14:paraId="5AF0D3FE" w14:textId="5761C39A" w:rsidR="007E05DC" w:rsidRPr="004100CF" w:rsidRDefault="007E05DC" w:rsidP="007E05DC">
      <w:pPr>
        <w:pStyle w:val="NormalWeb"/>
      </w:pPr>
      <w:r w:rsidRPr="004100CF">
        <w:t xml:space="preserve">From each end-state trajectory, 100 evenly spaced frames were extracted after discarding the first 100 ps; each seeded an independent simulation in which λ was driven linearly to the opposite end state, giving 100 forward and 100 reverse work values per phase per replicate. Switching times </w:t>
      </w:r>
      <w:r w:rsidRPr="004100CF">
        <w:lastRenderedPageBreak/>
        <w:t>were 100 ps, or 500 ps for legs with widely separated forward and reverse work distributions (e.g. charge-changing WT→K103N leg inherited by the K103N-containing genotypes); control runs on neutral legs gave ∆G values invariant to switching time. Free energies were estimated with the Bennett acceptance ratio</w:t>
      </w:r>
      <w:r w:rsidRPr="004100CF">
        <w:fldChar w:fldCharType="begin"/>
      </w:r>
      <w:r w:rsidRPr="004100CF">
        <w:instrText xml:space="preserve"> ADDIN ZOTERO_ITEM CSL_CITATION {"citationID":"xyDqDfup","properties":{"unsorted":false,"formattedCitation":"\\super 50\\nosupersub{}","plainCitation":"50","noteIndex":0},"citationItems":[{"id":289,"uris":["http://zotero.org/users/19404620/items/DLL2VZVI"],"itemData":{"id":289,"type":"article-journal","abstract":"Near-optimal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rsidRPr="004100CF">
        <w:fldChar w:fldCharType="separate"/>
      </w:r>
      <w:r w:rsidRPr="004100CF">
        <w:rPr>
          <w:vertAlign w:val="superscript"/>
        </w:rPr>
        <w:t>50</w:t>
      </w:r>
      <w:r w:rsidRPr="004100CF">
        <w:fldChar w:fldCharType="end"/>
      </w:r>
      <w:r w:rsidRPr="004100CF">
        <w:t xml:space="preserve"> as implemented in pmx (100 bootstrap resamples,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rsidRPr="004100CF">
        <w:fldChar w:fldCharType="begin"/>
      </w:r>
      <w:r w:rsidRPr="004100CF">
        <w:instrText xml:space="preserve"> ADDIN ZOTERO_ITEM CSL_CITATION {"citationID":"32E8oipi","properties":{"unsorted":false,"formattedCitation":"\\super 51\\nosupersub{}","plainCitation":"51","noteIndex":0},"citationItems":[{"id":291,"uris":["http://zotero.org/users/19404620/items/AM8GLI8P"],"itemData":{"id":291,"type":"article-journal","abstract":"The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rsidRPr="004100CF">
        <w:fldChar w:fldCharType="separate"/>
      </w:r>
      <w:r w:rsidRPr="004100CF">
        <w:rPr>
          <w:vertAlign w:val="superscript"/>
        </w:rPr>
        <w:t>51</w:t>
      </w:r>
      <w:r w:rsidRPr="004100CF">
        <w:fldChar w:fldCharType="end"/>
      </w:r>
      <w:r w:rsidRPr="004100CF">
        <w:t xml:space="preserve"> because </w:t>
      </w:r>
      <w:r w:rsidRPr="004100CF">
        <w:rPr>
          <w:i/>
          <w:iCs/>
        </w:rPr>
        <w:t>holo</w:t>
      </w:r>
      <w:r w:rsidRPr="004100CF">
        <w:t xml:space="preserve"> and </w:t>
      </w:r>
      <w:r w:rsidRPr="004100CF">
        <w:rPr>
          <w:i/>
          <w:iCs/>
        </w:rPr>
        <w:t>apo</w:t>
      </w:r>
      <w:r w:rsidRPr="004100CF">
        <w:t xml:space="preserve"> box volumes differ by less than 1%, this correction cancels to below 10⁻³ kcal/mol in ∆∆G.</w:t>
      </w:r>
    </w:p>
    <w:p w14:paraId="6CB859D3" w14:textId="137B854A" w:rsidR="000E15E2" w:rsidRPr="00C06CDC" w:rsidRDefault="00831C83" w:rsidP="00C06CDC">
      <w:pPr>
        <w:spacing w:after="240"/>
        <w:rPr>
          <w:rFonts w:ascii="Times New Roman" w:hAnsi="Times New Roman" w:cs="Times New Roman"/>
          <w:b/>
          <w:bCs/>
          <w:sz w:val="28"/>
          <w:szCs w:val="22"/>
        </w:rPr>
      </w:pPr>
      <w:r w:rsidRPr="004100CF">
        <w:rPr>
          <w:rFonts w:ascii="Times New Roman" w:hAnsi="Times New Roman" w:cs="Times New Roman"/>
          <w:b/>
          <w:bCs/>
          <w:sz w:val="28"/>
          <w:szCs w:val="22"/>
        </w:rPr>
        <w:t>Results</w:t>
      </w:r>
    </w:p>
    <w:p w14:paraId="3BCD8929" w14:textId="083A566B" w:rsidR="00BA0839" w:rsidRPr="004100CF" w:rsidRDefault="00BA0839" w:rsidP="00BA0839">
      <w:pPr>
        <w:rPr>
          <w:rFonts w:ascii="Times New Roman" w:hAnsi="Times New Roman" w:cs="Times New Roman"/>
          <w:b/>
          <w:bCs/>
          <w:szCs w:val="24"/>
          <w:u w:val="single"/>
        </w:rPr>
      </w:pPr>
      <w:r w:rsidRPr="004100CF">
        <w:rPr>
          <w:rFonts w:ascii="Times New Roman" w:hAnsi="Times New Roman" w:cs="Times New Roman"/>
          <w:b/>
          <w:bCs/>
          <w:szCs w:val="24"/>
          <w:u w:val="single"/>
        </w:rPr>
        <w:t xml:space="preserve">DOR </w:t>
      </w:r>
      <w:r w:rsidR="008D0E12" w:rsidRPr="004100CF">
        <w:rPr>
          <w:rFonts w:ascii="Times New Roman" w:hAnsi="Times New Roman" w:cs="Times New Roman"/>
          <w:b/>
          <w:bCs/>
          <w:szCs w:val="24"/>
          <w:u w:val="single"/>
        </w:rPr>
        <w:t>p</w:t>
      </w:r>
      <w:r w:rsidRPr="004100CF">
        <w:rPr>
          <w:rFonts w:ascii="Times New Roman" w:hAnsi="Times New Roman" w:cs="Times New Roman"/>
          <w:b/>
          <w:bCs/>
          <w:szCs w:val="24"/>
          <w:u w:val="single"/>
        </w:rPr>
        <w:t>henotypic susceptibility landscape</w:t>
      </w:r>
    </w:p>
    <w:p w14:paraId="5713CBC0" w14:textId="77777777" w:rsidR="00BA0839" w:rsidRPr="004100CF" w:rsidRDefault="00BA0839" w:rsidP="00BA0839">
      <w:pPr>
        <w:spacing w:after="240"/>
        <w:rPr>
          <w:rFonts w:ascii="Times New Roman" w:hAnsi="Times New Roman" w:cs="Times New Roman"/>
          <w:szCs w:val="24"/>
        </w:rPr>
      </w:pPr>
      <w:r w:rsidRPr="004100CF">
        <w:rPr>
          <w:rFonts w:ascii="Times New Roman" w:hAnsi="Times New Roman" w:cs="Times New Roman"/>
          <w:szCs w:val="24"/>
        </w:rPr>
        <w:t xml:space="preserve">We assembled a panel of 18 DOR-associated genotypes for simulation together with WT RT. These genotypes were selected to cover three distinct categories: </w:t>
      </w:r>
    </w:p>
    <w:p w14:paraId="2D7C6722" w14:textId="77777777" w:rsidR="00BA0839" w:rsidRPr="004100CF" w:rsidRDefault="00BA0839" w:rsidP="00BA0839">
      <w:pPr>
        <w:pStyle w:val="ListParagraph"/>
        <w:numPr>
          <w:ilvl w:val="0"/>
          <w:numId w:val="2"/>
        </w:numPr>
        <w:spacing w:before="240" w:after="240"/>
        <w:rPr>
          <w:rFonts w:ascii="Times New Roman" w:hAnsi="Times New Roman" w:cs="Times New Roman"/>
          <w:szCs w:val="24"/>
        </w:rPr>
      </w:pPr>
      <w:r w:rsidRPr="004100CF">
        <w:rPr>
          <w:rFonts w:ascii="Times New Roman" w:hAnsi="Times New Roman" w:cs="Times New Roman"/>
          <w:i/>
          <w:iCs/>
          <w:szCs w:val="24"/>
        </w:rPr>
        <w:t>Susceptible phenotype</w:t>
      </w:r>
      <w:r w:rsidRPr="004100CF">
        <w:rPr>
          <w:rFonts w:ascii="Times New Roman" w:hAnsi="Times New Roman" w:cs="Times New Roman"/>
          <w:szCs w:val="24"/>
        </w:rPr>
        <w:t xml:space="preserve">: well-established low-impact control mutations associated with little, if any, reduction in DOR susceptibility. These include K103N, V106I, Y181C, and G190A. </w:t>
      </w:r>
    </w:p>
    <w:p w14:paraId="188D49C9" w14:textId="77777777" w:rsidR="00BA0839" w:rsidRPr="004100CF" w:rsidRDefault="00BA0839" w:rsidP="00BA0839">
      <w:pPr>
        <w:pStyle w:val="ListParagraph"/>
        <w:numPr>
          <w:ilvl w:val="0"/>
          <w:numId w:val="2"/>
        </w:numPr>
        <w:spacing w:before="240" w:after="240"/>
        <w:rPr>
          <w:rFonts w:ascii="Times New Roman" w:hAnsi="Times New Roman" w:cs="Times New Roman"/>
          <w:szCs w:val="24"/>
        </w:rPr>
      </w:pPr>
      <w:r w:rsidRPr="004100CF">
        <w:rPr>
          <w:rFonts w:ascii="Times New Roman" w:hAnsi="Times New Roman" w:cs="Times New Roman"/>
          <w:i/>
          <w:iCs/>
          <w:szCs w:val="24"/>
        </w:rPr>
        <w:t>Resistant phenotype</w:t>
      </w:r>
      <w:r w:rsidRPr="004100CF">
        <w:rPr>
          <w:rFonts w:ascii="Times New Roman" w:hAnsi="Times New Roman" w:cs="Times New Roman"/>
          <w:szCs w:val="24"/>
        </w:rPr>
        <w:t>: canonical DOR-associated resistance mutations and mutation patterns, consistently associated with reduced susceptibility. These were chosen to be K103N+M230L, V106A, Y188L, Y318F, A98G+F227C, V106A+F227L, V106A+L234I, V106A+P225H, and V106I+F227C.</w:t>
      </w:r>
    </w:p>
    <w:p w14:paraId="7F5473F7" w14:textId="77777777" w:rsidR="00BA0839" w:rsidRPr="004100CF" w:rsidRDefault="00BA0839" w:rsidP="00BA0839">
      <w:pPr>
        <w:pStyle w:val="ListParagraph"/>
        <w:numPr>
          <w:ilvl w:val="0"/>
          <w:numId w:val="2"/>
        </w:numPr>
        <w:spacing w:before="240" w:after="240"/>
        <w:rPr>
          <w:rFonts w:ascii="Times New Roman" w:hAnsi="Times New Roman" w:cs="Times New Roman"/>
          <w:szCs w:val="24"/>
        </w:rPr>
      </w:pPr>
      <w:r w:rsidRPr="004100CF">
        <w:rPr>
          <w:rFonts w:ascii="Times New Roman" w:hAnsi="Times New Roman" w:cs="Times New Roman"/>
          <w:i/>
          <w:iCs/>
          <w:szCs w:val="24"/>
        </w:rPr>
        <w:t>Uncertain phenotype</w:t>
      </w:r>
      <w:r w:rsidRPr="004100CF">
        <w:rPr>
          <w:rFonts w:ascii="Times New Roman" w:hAnsi="Times New Roman" w:cs="Times New Roman"/>
          <w:szCs w:val="24"/>
        </w:rPr>
        <w:t xml:space="preserve">: mutations and mutation patterns associated with limited or inconsistent reductions in susceptibility. These were K103N+L100I, K103N+P225H, V106M, G190E, and G190S. </w:t>
      </w:r>
    </w:p>
    <w:p w14:paraId="65F1C3AA" w14:textId="77777777" w:rsidR="00BA0839" w:rsidRPr="004100CF" w:rsidRDefault="00BA0839" w:rsidP="00BA0839">
      <w:pPr>
        <w:spacing w:before="240" w:after="240"/>
        <w:rPr>
          <w:rFonts w:ascii="Times New Roman" w:hAnsi="Times New Roman" w:cs="Times New Roman"/>
          <w:szCs w:val="24"/>
        </w:rPr>
      </w:pPr>
      <w:r w:rsidRPr="004100CF">
        <w:rPr>
          <w:rFonts w:ascii="Times New Roman" w:hAnsi="Times New Roman" w:cs="Times New Roman"/>
          <w:szCs w:val="24"/>
        </w:rPr>
        <w:t>Table 1 summarizes the median fold-change in DOR susceptibility used to define the panel and Supplementary Table 1 traces the isolate-level data indexed in the Stanford HIVDB (</w:t>
      </w:r>
      <w:hyperlink r:id="rId12" w:history="1">
        <w:r w:rsidRPr="004100CF">
          <w:rPr>
            <w:rStyle w:val="Hyperlink"/>
            <w:rFonts w:ascii="Times New Roman" w:hAnsi="Times New Roman" w:cs="Times New Roman"/>
            <w:szCs w:val="24"/>
          </w:rPr>
          <w:t>https://hivdb.stanford.edu/</w:t>
        </w:r>
      </w:hyperlink>
      <w:r w:rsidRPr="004100CF">
        <w:rPr>
          <w:rFonts w:ascii="Times New Roman" w:hAnsi="Times New Roman" w:cs="Times New Roman"/>
          <w:szCs w:val="24"/>
        </w:rPr>
        <w:t xml:space="preserve">). These susceptibility data were derived from assays performed using the Monogram PhenoSense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0"/>
        <w:gridCol w:w="1648"/>
        <w:gridCol w:w="1502"/>
        <w:gridCol w:w="999"/>
        <w:gridCol w:w="2118"/>
        <w:gridCol w:w="2011"/>
      </w:tblGrid>
      <w:tr w:rsidR="00BA0839" w:rsidRPr="004100CF" w14:paraId="2E223622" w14:textId="77777777" w:rsidTr="005A06D4">
        <w:trPr>
          <w:trHeight w:val="260"/>
        </w:trPr>
        <w:tc>
          <w:tcPr>
            <w:tcW w:w="9558" w:type="dxa"/>
            <w:gridSpan w:val="6"/>
            <w:tcBorders>
              <w:bottom w:val="single" w:sz="4" w:space="0" w:color="auto"/>
            </w:tcBorders>
          </w:tcPr>
          <w:p w14:paraId="06EC310B" w14:textId="77777777" w:rsidR="00BA0839" w:rsidRPr="004100CF" w:rsidRDefault="00BA0839" w:rsidP="005A06D4">
            <w:pPr>
              <w:rPr>
                <w:rFonts w:ascii="Times New Roman" w:hAnsi="Times New Roman" w:cs="Times New Roman"/>
                <w:b/>
                <w:bCs/>
                <w:color w:val="000000"/>
                <w:szCs w:val="24"/>
              </w:rPr>
            </w:pPr>
            <w:r w:rsidRPr="004100CF">
              <w:rPr>
                <w:rFonts w:ascii="Times New Roman" w:hAnsi="Times New Roman" w:cs="Times New Roman"/>
                <w:b/>
                <w:bCs/>
                <w:color w:val="000000"/>
                <w:szCs w:val="24"/>
              </w:rPr>
              <w:t>Table 1. Fold-change in DOR susceptibility associated with selected genotypes</w:t>
            </w:r>
          </w:p>
        </w:tc>
      </w:tr>
      <w:tr w:rsidR="00BA0839" w:rsidRPr="004100CF" w14:paraId="11E8D943" w14:textId="77777777" w:rsidTr="005A06D4">
        <w:trPr>
          <w:trHeight w:val="539"/>
        </w:trPr>
        <w:tc>
          <w:tcPr>
            <w:tcW w:w="1206" w:type="dxa"/>
            <w:tcBorders>
              <w:top w:val="single" w:sz="4" w:space="0" w:color="auto"/>
              <w:bottom w:val="single" w:sz="4" w:space="0" w:color="auto"/>
            </w:tcBorders>
            <w:hideMark/>
          </w:tcPr>
          <w:p w14:paraId="71838699"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Mutation category</w:t>
            </w:r>
          </w:p>
        </w:tc>
        <w:tc>
          <w:tcPr>
            <w:tcW w:w="1648" w:type="dxa"/>
            <w:tcBorders>
              <w:top w:val="single" w:sz="4" w:space="0" w:color="auto"/>
              <w:bottom w:val="single" w:sz="4" w:space="0" w:color="auto"/>
            </w:tcBorders>
            <w:hideMark/>
          </w:tcPr>
          <w:p w14:paraId="5DCF8A06" w14:textId="77777777" w:rsidR="00BA0839" w:rsidRPr="004100CF" w:rsidRDefault="00BA0839" w:rsidP="005A06D4">
            <w:pPr>
              <w:spacing w:line="480" w:lineRule="auto"/>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Mutation</w:t>
            </w:r>
          </w:p>
        </w:tc>
        <w:tc>
          <w:tcPr>
            <w:tcW w:w="1504" w:type="dxa"/>
            <w:tcBorders>
              <w:top w:val="single" w:sz="4" w:space="0" w:color="auto"/>
              <w:bottom w:val="single" w:sz="4" w:space="0" w:color="auto"/>
            </w:tcBorders>
            <w:hideMark/>
          </w:tcPr>
          <w:p w14:paraId="7DEEFE57"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54A03A9A"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Number of isolates</w:t>
            </w:r>
          </w:p>
        </w:tc>
        <w:tc>
          <w:tcPr>
            <w:tcW w:w="2151" w:type="dxa"/>
            <w:tcBorders>
              <w:top w:val="single" w:sz="4" w:space="0" w:color="auto"/>
              <w:bottom w:val="single" w:sz="4" w:space="0" w:color="auto"/>
            </w:tcBorders>
            <w:hideMark/>
          </w:tcPr>
          <w:p w14:paraId="21F50E79"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Raw fold-change values</w:t>
            </w:r>
          </w:p>
        </w:tc>
        <w:tc>
          <w:tcPr>
            <w:tcW w:w="2050" w:type="dxa"/>
            <w:tcBorders>
              <w:top w:val="single" w:sz="4" w:space="0" w:color="auto"/>
              <w:bottom w:val="single" w:sz="4" w:space="0" w:color="auto"/>
            </w:tcBorders>
            <w:hideMark/>
          </w:tcPr>
          <w:p w14:paraId="5138FA58"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Primary source studies</w:t>
            </w:r>
          </w:p>
        </w:tc>
      </w:tr>
      <w:tr w:rsidR="00BA0839" w:rsidRPr="004100CF" w14:paraId="444A1F00" w14:textId="77777777" w:rsidTr="005A06D4">
        <w:trPr>
          <w:trHeight w:val="340"/>
        </w:trPr>
        <w:tc>
          <w:tcPr>
            <w:tcW w:w="1206" w:type="dxa"/>
            <w:vMerge w:val="restart"/>
            <w:tcBorders>
              <w:top w:val="single" w:sz="4" w:space="0" w:color="auto"/>
            </w:tcBorders>
            <w:vAlign w:val="center"/>
            <w:hideMark/>
          </w:tcPr>
          <w:p w14:paraId="2CE3AA45"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Susceptible</w:t>
            </w:r>
          </w:p>
        </w:tc>
        <w:tc>
          <w:tcPr>
            <w:tcW w:w="1648" w:type="dxa"/>
            <w:tcBorders>
              <w:top w:val="single" w:sz="4" w:space="0" w:color="auto"/>
            </w:tcBorders>
            <w:hideMark/>
          </w:tcPr>
          <w:p w14:paraId="3507E51F"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V106I</w:t>
            </w:r>
          </w:p>
        </w:tc>
        <w:tc>
          <w:tcPr>
            <w:tcW w:w="1504" w:type="dxa"/>
            <w:tcBorders>
              <w:top w:val="single" w:sz="4" w:space="0" w:color="auto"/>
            </w:tcBorders>
            <w:hideMark/>
          </w:tcPr>
          <w:p w14:paraId="0AED97C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1.1</w:t>
            </w:r>
          </w:p>
        </w:tc>
        <w:tc>
          <w:tcPr>
            <w:tcW w:w="999" w:type="dxa"/>
            <w:tcBorders>
              <w:top w:val="single" w:sz="4" w:space="0" w:color="auto"/>
            </w:tcBorders>
            <w:hideMark/>
          </w:tcPr>
          <w:p w14:paraId="57E3712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2</w:t>
            </w:r>
          </w:p>
        </w:tc>
        <w:tc>
          <w:tcPr>
            <w:tcW w:w="2151" w:type="dxa"/>
            <w:tcBorders>
              <w:top w:val="single" w:sz="4" w:space="0" w:color="auto"/>
            </w:tcBorders>
            <w:hideMark/>
          </w:tcPr>
          <w:p w14:paraId="4B7894D2"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[0.8, 1.4]</w:t>
            </w:r>
          </w:p>
        </w:tc>
        <w:tc>
          <w:tcPr>
            <w:tcW w:w="2050" w:type="dxa"/>
            <w:tcBorders>
              <w:top w:val="single" w:sz="4" w:space="0" w:color="auto"/>
            </w:tcBorders>
            <w:hideMark/>
          </w:tcPr>
          <w:p w14:paraId="6BF22A35"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{"citationID":"fElh6OGk","properties":{"unsorted":false,"formattedCitation":"\\super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Orkin et al (2026)</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22</w:t>
            </w:r>
            <w:r w:rsidRPr="004100CF">
              <w:rPr>
                <w:rFonts w:ascii="Times New Roman" w:hAnsi="Times New Roman" w:cs="Times New Roman"/>
                <w:color w:val="000000"/>
                <w:sz w:val="22"/>
                <w:szCs w:val="22"/>
              </w:rPr>
              <w:fldChar w:fldCharType="end"/>
            </w:r>
          </w:p>
        </w:tc>
      </w:tr>
      <w:tr w:rsidR="00BA0839" w:rsidRPr="004100CF" w14:paraId="45B018FF" w14:textId="77777777" w:rsidTr="005A06D4">
        <w:trPr>
          <w:trHeight w:val="340"/>
        </w:trPr>
        <w:tc>
          <w:tcPr>
            <w:tcW w:w="1206" w:type="dxa"/>
            <w:vMerge/>
            <w:hideMark/>
          </w:tcPr>
          <w:p w14:paraId="6A94247B"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5048689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K103N</w:t>
            </w:r>
          </w:p>
        </w:tc>
        <w:tc>
          <w:tcPr>
            <w:tcW w:w="1504" w:type="dxa"/>
            <w:hideMark/>
          </w:tcPr>
          <w:p w14:paraId="04E11D89"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1.2</w:t>
            </w:r>
          </w:p>
        </w:tc>
        <w:tc>
          <w:tcPr>
            <w:tcW w:w="999" w:type="dxa"/>
            <w:hideMark/>
          </w:tcPr>
          <w:p w14:paraId="4B36B87B"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6</w:t>
            </w:r>
          </w:p>
        </w:tc>
        <w:tc>
          <w:tcPr>
            <w:tcW w:w="2151" w:type="dxa"/>
            <w:hideMark/>
          </w:tcPr>
          <w:p w14:paraId="0D502ADE"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[0.6, 1.2, 1.2, 1.3, 2.8, 3.0]</w:t>
            </w:r>
          </w:p>
        </w:tc>
        <w:tc>
          <w:tcPr>
            <w:tcW w:w="2050" w:type="dxa"/>
            <w:hideMark/>
          </w:tcPr>
          <w:p w14:paraId="5789348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{"citationID":"OQAQvJEJ","properties":{"unsorted":false,"formattedCitation":"\\super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p>
        </w:tc>
      </w:tr>
      <w:tr w:rsidR="00BA0839" w:rsidRPr="004100CF" w14:paraId="364BFFB7" w14:textId="77777777" w:rsidTr="005A06D4">
        <w:trPr>
          <w:trHeight w:val="340"/>
        </w:trPr>
        <w:tc>
          <w:tcPr>
            <w:tcW w:w="1206" w:type="dxa"/>
            <w:vMerge/>
            <w:hideMark/>
          </w:tcPr>
          <w:p w14:paraId="0FBBCA34"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3248DF05"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Y181C</w:t>
            </w:r>
          </w:p>
        </w:tc>
        <w:tc>
          <w:tcPr>
            <w:tcW w:w="1504" w:type="dxa"/>
            <w:hideMark/>
          </w:tcPr>
          <w:p w14:paraId="30A08A2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1.4</w:t>
            </w:r>
          </w:p>
        </w:tc>
        <w:tc>
          <w:tcPr>
            <w:tcW w:w="999" w:type="dxa"/>
            <w:hideMark/>
          </w:tcPr>
          <w:p w14:paraId="19E0AAA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4</w:t>
            </w:r>
          </w:p>
        </w:tc>
        <w:tc>
          <w:tcPr>
            <w:tcW w:w="2151" w:type="dxa"/>
            <w:hideMark/>
          </w:tcPr>
          <w:p w14:paraId="5AFF69C9"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[1.2, 1.3, 1.5, 6.0]</w:t>
            </w:r>
          </w:p>
        </w:tc>
        <w:tc>
          <w:tcPr>
            <w:tcW w:w="2050" w:type="dxa"/>
            <w:hideMark/>
          </w:tcPr>
          <w:p w14:paraId="138A28C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{"citationID":"TUXQIXQi","properties":{"unsorted":false,"formattedCitation":"\\super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p>
        </w:tc>
      </w:tr>
      <w:tr w:rsidR="00BA0839" w:rsidRPr="004100CF" w14:paraId="2EDC8A79" w14:textId="77777777" w:rsidTr="005A06D4">
        <w:trPr>
          <w:trHeight w:val="359"/>
        </w:trPr>
        <w:tc>
          <w:tcPr>
            <w:tcW w:w="1206" w:type="dxa"/>
            <w:vMerge/>
            <w:tcBorders>
              <w:bottom w:val="single" w:sz="4" w:space="0" w:color="auto"/>
            </w:tcBorders>
            <w:hideMark/>
          </w:tcPr>
          <w:p w14:paraId="1C9DCEA6" w14:textId="77777777" w:rsidR="00BA0839" w:rsidRPr="004100CF" w:rsidRDefault="00BA0839" w:rsidP="005A06D4">
            <w:pPr>
              <w:rPr>
                <w:rFonts w:ascii="Times New Roman" w:hAnsi="Times New Roman" w:cs="Times New Roman"/>
                <w:color w:val="000000"/>
                <w:sz w:val="22"/>
                <w:szCs w:val="22"/>
              </w:rPr>
            </w:pPr>
          </w:p>
        </w:tc>
        <w:tc>
          <w:tcPr>
            <w:tcW w:w="1648" w:type="dxa"/>
            <w:tcBorders>
              <w:bottom w:val="single" w:sz="4" w:space="0" w:color="auto"/>
            </w:tcBorders>
            <w:hideMark/>
          </w:tcPr>
          <w:p w14:paraId="6D0D6E8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G190A</w:t>
            </w:r>
          </w:p>
        </w:tc>
        <w:tc>
          <w:tcPr>
            <w:tcW w:w="1504" w:type="dxa"/>
            <w:tcBorders>
              <w:bottom w:val="single" w:sz="4" w:space="0" w:color="auto"/>
            </w:tcBorders>
            <w:hideMark/>
          </w:tcPr>
          <w:p w14:paraId="3755072E"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2.7</w:t>
            </w:r>
          </w:p>
        </w:tc>
        <w:tc>
          <w:tcPr>
            <w:tcW w:w="999" w:type="dxa"/>
            <w:tcBorders>
              <w:bottom w:val="single" w:sz="4" w:space="0" w:color="auto"/>
            </w:tcBorders>
            <w:hideMark/>
          </w:tcPr>
          <w:p w14:paraId="54015217"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w:t>
            </w:r>
          </w:p>
        </w:tc>
        <w:tc>
          <w:tcPr>
            <w:tcW w:w="2151" w:type="dxa"/>
            <w:tcBorders>
              <w:bottom w:val="single" w:sz="4" w:space="0" w:color="auto"/>
            </w:tcBorders>
            <w:hideMark/>
          </w:tcPr>
          <w:p w14:paraId="51B72927"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[1.8, 3.6]</w:t>
            </w:r>
          </w:p>
        </w:tc>
        <w:tc>
          <w:tcPr>
            <w:tcW w:w="2050" w:type="dxa"/>
            <w:tcBorders>
              <w:bottom w:val="single" w:sz="4" w:space="0" w:color="auto"/>
            </w:tcBorders>
            <w:hideMark/>
          </w:tcPr>
          <w:p w14:paraId="7AB28D1D" w14:textId="77777777" w:rsidR="00BA0839" w:rsidRPr="004100CF" w:rsidRDefault="00BA0839" w:rsidP="005A06D4">
            <w:pPr>
              <w:jc w:val="center"/>
              <w:rPr>
                <w:rFonts w:ascii="Times New Roman" w:hAnsi="Times New Roman" w:cs="Times New Roman"/>
                <w:color w:val="000000"/>
                <w:sz w:val="22"/>
                <w:szCs w:val="22"/>
              </w:rPr>
            </w:pPr>
            <w:bookmarkStart w:id="3" w:name="_Hlk230520854"/>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{"citationID":"qNCfGXhs","properties":{"unsorted":false,"formattedCitation":"\\super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bookmarkEnd w:id="3"/>
          </w:p>
        </w:tc>
      </w:tr>
      <w:tr w:rsidR="00BA0839" w:rsidRPr="004100CF" w14:paraId="7593CF3D" w14:textId="77777777" w:rsidTr="005A06D4">
        <w:trPr>
          <w:trHeight w:val="340"/>
        </w:trPr>
        <w:tc>
          <w:tcPr>
            <w:tcW w:w="1206" w:type="dxa"/>
            <w:vMerge w:val="restart"/>
            <w:tcBorders>
              <w:top w:val="single" w:sz="4" w:space="0" w:color="auto"/>
            </w:tcBorders>
            <w:vAlign w:val="center"/>
            <w:hideMark/>
          </w:tcPr>
          <w:p w14:paraId="5DB8FDE0"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lastRenderedPageBreak/>
              <w:t>Resistant</w:t>
            </w:r>
          </w:p>
        </w:tc>
        <w:tc>
          <w:tcPr>
            <w:tcW w:w="1648" w:type="dxa"/>
            <w:tcBorders>
              <w:top w:val="single" w:sz="4" w:space="0" w:color="auto"/>
            </w:tcBorders>
            <w:hideMark/>
          </w:tcPr>
          <w:p w14:paraId="1CF063E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Y318F</w:t>
            </w:r>
          </w:p>
        </w:tc>
        <w:tc>
          <w:tcPr>
            <w:tcW w:w="1504" w:type="dxa"/>
            <w:tcBorders>
              <w:top w:val="single" w:sz="4" w:space="0" w:color="auto"/>
            </w:tcBorders>
            <w:hideMark/>
          </w:tcPr>
          <w:p w14:paraId="4D34589F"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11</w:t>
            </w:r>
          </w:p>
        </w:tc>
        <w:tc>
          <w:tcPr>
            <w:tcW w:w="999" w:type="dxa"/>
            <w:tcBorders>
              <w:top w:val="single" w:sz="4" w:space="0" w:color="auto"/>
            </w:tcBorders>
            <w:hideMark/>
          </w:tcPr>
          <w:p w14:paraId="6C38BA34"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3</w:t>
            </w:r>
          </w:p>
        </w:tc>
        <w:tc>
          <w:tcPr>
            <w:tcW w:w="2151" w:type="dxa"/>
            <w:tcBorders>
              <w:top w:val="single" w:sz="4" w:space="0" w:color="auto"/>
            </w:tcBorders>
            <w:hideMark/>
          </w:tcPr>
          <w:p w14:paraId="574C530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Unavailable (see Table 2 in source study)</w:t>
            </w:r>
          </w:p>
        </w:tc>
        <w:tc>
          <w:tcPr>
            <w:tcW w:w="2050" w:type="dxa"/>
            <w:tcBorders>
              <w:top w:val="single" w:sz="4" w:space="0" w:color="auto"/>
            </w:tcBorders>
            <w:hideMark/>
          </w:tcPr>
          <w:p w14:paraId="261B04CC" w14:textId="209EE689"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Asante-Appiah et al (2021)</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{"citationID":"EX1gvYm7","properties":{"unsorted":false,"formattedCitation":"\\super 52\\nosupersub{}","plainCitation":"52","noteIndex":0},"citationItems":[{"id":131,"uris":["http://zotero.org/users/19404620/items/B8KKE9VH"],"itemData":{"id":131,"type":"article-journal","abstract":"Clinical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52</w:t>
            </w:r>
            <w:r w:rsidRPr="004100CF">
              <w:rPr>
                <w:rFonts w:ascii="Times New Roman" w:hAnsi="Times New Roman" w:cs="Times New Roman"/>
                <w:color w:val="000000"/>
                <w:sz w:val="22"/>
                <w:szCs w:val="22"/>
              </w:rPr>
              <w:fldChar w:fldCharType="end"/>
            </w:r>
          </w:p>
        </w:tc>
      </w:tr>
      <w:tr w:rsidR="00BA0839" w:rsidRPr="004100CF" w14:paraId="6B6C2A64" w14:textId="77777777" w:rsidTr="005A06D4">
        <w:trPr>
          <w:trHeight w:val="340"/>
        </w:trPr>
        <w:tc>
          <w:tcPr>
            <w:tcW w:w="1206" w:type="dxa"/>
            <w:vMerge/>
            <w:hideMark/>
          </w:tcPr>
          <w:p w14:paraId="42823BCA"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193C8C2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V106A</w:t>
            </w:r>
          </w:p>
        </w:tc>
        <w:tc>
          <w:tcPr>
            <w:tcW w:w="1504" w:type="dxa"/>
            <w:hideMark/>
          </w:tcPr>
          <w:p w14:paraId="42D8760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9.6</w:t>
            </w:r>
          </w:p>
        </w:tc>
        <w:tc>
          <w:tcPr>
            <w:tcW w:w="999" w:type="dxa"/>
            <w:hideMark/>
          </w:tcPr>
          <w:p w14:paraId="0533B7B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w:t>
            </w:r>
          </w:p>
        </w:tc>
        <w:tc>
          <w:tcPr>
            <w:tcW w:w="2151" w:type="dxa"/>
            <w:hideMark/>
          </w:tcPr>
          <w:p w14:paraId="2C1AC50A"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[7.1, 9.6, 28]</w:t>
            </w:r>
          </w:p>
        </w:tc>
        <w:tc>
          <w:tcPr>
            <w:tcW w:w="2050" w:type="dxa"/>
            <w:hideMark/>
          </w:tcPr>
          <w:p w14:paraId="1A05CBE7"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{"citationID":"PF84jPK8","properties":{"unsorted":false,"formattedCitation":"\\super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Feng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{"citationID":"Yngmo9Y2","properties":{"unsorted":false,"formattedCitation":"\\super 17\\nosupersub{}","plainCitation":"17","noteIndex":0},"citationItems":[{"id":200,"uris":["http://zotero.org/users/19404620/items/3N7LAJL2"],"itemData":{"id":200,"type":"article-journal","abstract":"Doravirine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17</w:t>
            </w:r>
            <w:r w:rsidRPr="004100CF">
              <w:rPr>
                <w:rFonts w:ascii="Times New Roman" w:hAnsi="Times New Roman" w:cs="Times New Roman"/>
                <w:color w:val="000000"/>
                <w:sz w:val="22"/>
                <w:szCs w:val="22"/>
              </w:rPr>
              <w:fldChar w:fldCharType="end"/>
            </w:r>
          </w:p>
        </w:tc>
      </w:tr>
      <w:tr w:rsidR="00BA0839" w:rsidRPr="004100CF" w14:paraId="690257E9" w14:textId="77777777" w:rsidTr="005A06D4">
        <w:trPr>
          <w:trHeight w:val="340"/>
        </w:trPr>
        <w:tc>
          <w:tcPr>
            <w:tcW w:w="1206" w:type="dxa"/>
            <w:vMerge/>
            <w:hideMark/>
          </w:tcPr>
          <w:p w14:paraId="2FA3377D"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2394855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A98G+F227C</w:t>
            </w:r>
          </w:p>
        </w:tc>
        <w:tc>
          <w:tcPr>
            <w:tcW w:w="1504" w:type="dxa"/>
            <w:hideMark/>
          </w:tcPr>
          <w:p w14:paraId="13CB0BCE"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93</w:t>
            </w:r>
          </w:p>
        </w:tc>
        <w:tc>
          <w:tcPr>
            <w:tcW w:w="999" w:type="dxa"/>
            <w:hideMark/>
          </w:tcPr>
          <w:p w14:paraId="6F90AB1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w:t>
            </w:r>
          </w:p>
        </w:tc>
        <w:tc>
          <w:tcPr>
            <w:tcW w:w="2151" w:type="dxa"/>
            <w:hideMark/>
          </w:tcPr>
          <w:p w14:paraId="1C004F4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[93]</w:t>
            </w:r>
          </w:p>
        </w:tc>
        <w:tc>
          <w:tcPr>
            <w:tcW w:w="2050" w:type="dxa"/>
            <w:hideMark/>
          </w:tcPr>
          <w:p w14:paraId="52ECFF13" w14:textId="7A3DE354"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{"citationID":"A8Oinhsw","properties":{"unsorted":false,"formattedCitation":"\\super 53\\nosupersub{}","plainCitation":"53","noteIndex":0},"citationItems":[{"id":208,"uris":["http://zotero.org/users/19404620/items/UIKXA4PH"],"itemData":{"id":208,"type":"webpage","publisher":"John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53</w:t>
            </w:r>
            <w:r w:rsidRPr="004100CF">
              <w:rPr>
                <w:rFonts w:ascii="Times New Roman" w:hAnsi="Times New Roman" w:cs="Times New Roman"/>
                <w:color w:val="000000"/>
                <w:sz w:val="22"/>
                <w:szCs w:val="22"/>
              </w:rPr>
              <w:fldChar w:fldCharType="end"/>
            </w:r>
          </w:p>
        </w:tc>
      </w:tr>
      <w:tr w:rsidR="00BA0839" w:rsidRPr="004100CF" w14:paraId="7D604EA1" w14:textId="77777777" w:rsidTr="005A06D4">
        <w:trPr>
          <w:trHeight w:val="340"/>
        </w:trPr>
        <w:tc>
          <w:tcPr>
            <w:tcW w:w="1206" w:type="dxa"/>
            <w:vMerge/>
            <w:hideMark/>
          </w:tcPr>
          <w:p w14:paraId="19F387F3"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2EB323E2"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V106I+F227C</w:t>
            </w:r>
          </w:p>
        </w:tc>
        <w:tc>
          <w:tcPr>
            <w:tcW w:w="1504" w:type="dxa"/>
            <w:hideMark/>
          </w:tcPr>
          <w:p w14:paraId="29746E3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105</w:t>
            </w:r>
          </w:p>
        </w:tc>
        <w:tc>
          <w:tcPr>
            <w:tcW w:w="999" w:type="dxa"/>
            <w:hideMark/>
          </w:tcPr>
          <w:p w14:paraId="72B42683"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w:t>
            </w:r>
          </w:p>
        </w:tc>
        <w:tc>
          <w:tcPr>
            <w:tcW w:w="2151" w:type="dxa"/>
            <w:hideMark/>
          </w:tcPr>
          <w:p w14:paraId="04367232"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[105]</w:t>
            </w:r>
          </w:p>
        </w:tc>
        <w:tc>
          <w:tcPr>
            <w:tcW w:w="2050" w:type="dxa"/>
            <w:hideMark/>
          </w:tcPr>
          <w:p w14:paraId="37C78C5B" w14:textId="0548187B"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{"citationID":"lcT7Ijjb","properties":{"unsorted":false,"formattedCitation":"\\super 53\\nosupersub{}","plainCitation":"53","noteIndex":0},"citationItems":[{"id":208,"uris":["http://zotero.org/users/19404620/items/UIKXA4PH"],"itemData":{"id":208,"type":"webpage","publisher":"John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53</w:t>
            </w:r>
            <w:r w:rsidRPr="004100CF">
              <w:rPr>
                <w:rFonts w:ascii="Times New Roman" w:hAnsi="Times New Roman" w:cs="Times New Roman"/>
                <w:color w:val="000000"/>
                <w:sz w:val="22"/>
                <w:szCs w:val="22"/>
              </w:rPr>
              <w:fldChar w:fldCharType="end"/>
            </w:r>
          </w:p>
        </w:tc>
      </w:tr>
      <w:tr w:rsidR="00BA0839" w:rsidRPr="004100CF" w14:paraId="4AEA0215" w14:textId="77777777" w:rsidTr="005A06D4">
        <w:trPr>
          <w:trHeight w:val="340"/>
        </w:trPr>
        <w:tc>
          <w:tcPr>
            <w:tcW w:w="1206" w:type="dxa"/>
            <w:vMerge/>
            <w:hideMark/>
          </w:tcPr>
          <w:p w14:paraId="72B572F1"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36077C84"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V106A+F227L</w:t>
            </w:r>
          </w:p>
        </w:tc>
        <w:tc>
          <w:tcPr>
            <w:tcW w:w="1504" w:type="dxa"/>
            <w:hideMark/>
          </w:tcPr>
          <w:p w14:paraId="58409C42"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106</w:t>
            </w:r>
          </w:p>
        </w:tc>
        <w:tc>
          <w:tcPr>
            <w:tcW w:w="999" w:type="dxa"/>
            <w:hideMark/>
          </w:tcPr>
          <w:p w14:paraId="41B774AE"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w:t>
            </w:r>
          </w:p>
        </w:tc>
        <w:tc>
          <w:tcPr>
            <w:tcW w:w="2151" w:type="dxa"/>
            <w:hideMark/>
          </w:tcPr>
          <w:p w14:paraId="360415D9"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[106]</w:t>
            </w:r>
          </w:p>
        </w:tc>
        <w:tc>
          <w:tcPr>
            <w:tcW w:w="2050" w:type="dxa"/>
            <w:hideMark/>
          </w:tcPr>
          <w:p w14:paraId="55C6E91E"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Orkin et al (2026)</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22</w:t>
            </w:r>
            <w:r w:rsidRPr="004100CF">
              <w:rPr>
                <w:rFonts w:ascii="Times New Roman" w:hAnsi="Times New Roman" w:cs="Times New Roman"/>
                <w:color w:val="000000"/>
                <w:sz w:val="22"/>
                <w:szCs w:val="22"/>
              </w:rPr>
              <w:fldChar w:fldCharType="end"/>
            </w:r>
          </w:p>
        </w:tc>
      </w:tr>
      <w:tr w:rsidR="00BA0839" w:rsidRPr="004100CF" w14:paraId="597C7E73" w14:textId="77777777" w:rsidTr="005A06D4">
        <w:trPr>
          <w:trHeight w:val="340"/>
        </w:trPr>
        <w:tc>
          <w:tcPr>
            <w:tcW w:w="1206" w:type="dxa"/>
            <w:vMerge/>
            <w:hideMark/>
          </w:tcPr>
          <w:p w14:paraId="0E5EC5D6"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64D84CE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Y188L</w:t>
            </w:r>
          </w:p>
        </w:tc>
        <w:tc>
          <w:tcPr>
            <w:tcW w:w="1504" w:type="dxa"/>
            <w:hideMark/>
          </w:tcPr>
          <w:p w14:paraId="590C040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149</w:t>
            </w:r>
          </w:p>
        </w:tc>
        <w:tc>
          <w:tcPr>
            <w:tcW w:w="999" w:type="dxa"/>
            <w:hideMark/>
          </w:tcPr>
          <w:p w14:paraId="3D044C67"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6</w:t>
            </w:r>
          </w:p>
        </w:tc>
        <w:tc>
          <w:tcPr>
            <w:tcW w:w="2151" w:type="dxa"/>
            <w:hideMark/>
          </w:tcPr>
          <w:p w14:paraId="68F3D18C"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[95, 116, 116, 181, 181, 182]</w:t>
            </w:r>
          </w:p>
        </w:tc>
        <w:tc>
          <w:tcPr>
            <w:tcW w:w="2050" w:type="dxa"/>
            <w:hideMark/>
          </w:tcPr>
          <w:p w14:paraId="6CBAE8A9" w14:textId="5FF2716F"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{"citationID":"SNOn14BB","properties":{"unsorted":false,"formattedCitation":"\\super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Hazuda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{"citationID":"iEuvspek","properties":{"unsorted":false,"formattedCitation":"\\super 54\\nosupersub{}","plainCitation":"54","noteIndex":0},"citationItems":[{"id":210,"uris":["http://zotero.org/users/19404620/items/JW4TMFXK"],"itemData":{"id":210,"type":"webpage","publisher":"22nd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54</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Lai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{"citationID":"r5HkVSPs","properties":{"unsorted":false,"formattedCitation":"\\super 53\\nosupersub{}","plainCitation":"53","noteIndex":0},"citationItems":[{"id":208,"uris":["http://zotero.org/users/19404620/items/UIKXA4PH"],"itemData":{"id":208,"type":"webpage","publisher":"John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53</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Orkin et al (2026)</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22</w:t>
            </w:r>
            <w:r w:rsidRPr="004100CF">
              <w:rPr>
                <w:rFonts w:ascii="Times New Roman" w:hAnsi="Times New Roman" w:cs="Times New Roman"/>
                <w:color w:val="000000"/>
                <w:sz w:val="22"/>
                <w:szCs w:val="22"/>
              </w:rPr>
              <w:fldChar w:fldCharType="end"/>
            </w:r>
          </w:p>
        </w:tc>
      </w:tr>
      <w:tr w:rsidR="00BA0839" w:rsidRPr="004100CF" w14:paraId="63DB64DE" w14:textId="77777777" w:rsidTr="005A06D4">
        <w:trPr>
          <w:trHeight w:val="340"/>
        </w:trPr>
        <w:tc>
          <w:tcPr>
            <w:tcW w:w="1206" w:type="dxa"/>
            <w:vMerge/>
            <w:hideMark/>
          </w:tcPr>
          <w:p w14:paraId="180BE090"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1AB2C58A"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V106A+P225H</w:t>
            </w:r>
          </w:p>
        </w:tc>
        <w:tc>
          <w:tcPr>
            <w:tcW w:w="1504" w:type="dxa"/>
            <w:hideMark/>
          </w:tcPr>
          <w:p w14:paraId="5750EEB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153</w:t>
            </w:r>
          </w:p>
        </w:tc>
        <w:tc>
          <w:tcPr>
            <w:tcW w:w="999" w:type="dxa"/>
            <w:hideMark/>
          </w:tcPr>
          <w:p w14:paraId="56E2A31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w:t>
            </w:r>
          </w:p>
        </w:tc>
        <w:tc>
          <w:tcPr>
            <w:tcW w:w="2151" w:type="dxa"/>
            <w:hideMark/>
          </w:tcPr>
          <w:p w14:paraId="4F96B30B"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[95, 210]</w:t>
            </w:r>
          </w:p>
        </w:tc>
        <w:tc>
          <w:tcPr>
            <w:tcW w:w="2050" w:type="dxa"/>
            <w:hideMark/>
          </w:tcPr>
          <w:p w14:paraId="635F8E1A" w14:textId="48251994"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{"citationID":"y9MGbkL3","properties":{"unsorted":false,"formattedCitation":"\\super 53\\nosupersub{}","plainCitation":"53","noteIndex":0},"citationItems":[{"id":208,"uris":["http://zotero.org/users/19404620/items/UIKXA4PH"],"itemData":{"id":208,"type":"webpage","publisher":"John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53</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Orkin et al (2026)</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22</w:t>
            </w:r>
            <w:r w:rsidRPr="004100CF">
              <w:rPr>
                <w:rFonts w:ascii="Times New Roman" w:hAnsi="Times New Roman" w:cs="Times New Roman"/>
                <w:color w:val="000000"/>
                <w:sz w:val="22"/>
                <w:szCs w:val="22"/>
              </w:rPr>
              <w:fldChar w:fldCharType="end"/>
            </w:r>
          </w:p>
        </w:tc>
      </w:tr>
      <w:tr w:rsidR="00BA0839" w:rsidRPr="004100CF" w14:paraId="131FEAA4" w14:textId="77777777" w:rsidTr="005A06D4">
        <w:trPr>
          <w:trHeight w:val="386"/>
        </w:trPr>
        <w:tc>
          <w:tcPr>
            <w:tcW w:w="1206" w:type="dxa"/>
            <w:vMerge/>
            <w:hideMark/>
          </w:tcPr>
          <w:p w14:paraId="72B9884A" w14:textId="77777777" w:rsidR="00BA0839" w:rsidRPr="004100CF" w:rsidRDefault="00BA0839" w:rsidP="005A06D4">
            <w:pPr>
              <w:rPr>
                <w:rFonts w:ascii="Times New Roman" w:hAnsi="Times New Roman" w:cs="Times New Roman"/>
                <w:color w:val="000000"/>
                <w:sz w:val="22"/>
                <w:szCs w:val="22"/>
              </w:rPr>
            </w:pPr>
          </w:p>
        </w:tc>
        <w:tc>
          <w:tcPr>
            <w:tcW w:w="1648" w:type="dxa"/>
            <w:hideMark/>
          </w:tcPr>
          <w:p w14:paraId="52AE7173"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V106A+L234I</w:t>
            </w:r>
          </w:p>
        </w:tc>
        <w:tc>
          <w:tcPr>
            <w:tcW w:w="1504" w:type="dxa"/>
            <w:hideMark/>
          </w:tcPr>
          <w:p w14:paraId="09431848"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161</w:t>
            </w:r>
          </w:p>
        </w:tc>
        <w:tc>
          <w:tcPr>
            <w:tcW w:w="999" w:type="dxa"/>
            <w:hideMark/>
          </w:tcPr>
          <w:p w14:paraId="6E072AEA"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w:t>
            </w:r>
          </w:p>
        </w:tc>
        <w:tc>
          <w:tcPr>
            <w:tcW w:w="2151" w:type="dxa"/>
            <w:hideMark/>
          </w:tcPr>
          <w:p w14:paraId="24064C05"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[150, 173]</w:t>
            </w:r>
          </w:p>
        </w:tc>
        <w:tc>
          <w:tcPr>
            <w:tcW w:w="2050" w:type="dxa"/>
            <w:hideMark/>
          </w:tcPr>
          <w:p w14:paraId="209F1CC8" w14:textId="33CEC51C"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Feng et al (2014)</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{"citationID":"DnX8jZfI","properties":{"unsorted":false,"formattedCitation":"\\super 55\\nosupersub{}","plainCitation":"55","noteIndex":0},"citationItems":[{"id":212,"uris":["http://zotero.org/users/19404620/items/HLTMG9NM"],"itemData":{"id":212,"type":"article-journal","abstract":"Background: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55</w:t>
            </w:r>
            <w:r w:rsidRPr="004100CF">
              <w:rPr>
                <w:rFonts w:ascii="Times New Roman" w:hAnsi="Times New Roman" w:cs="Times New Roman"/>
                <w:color w:val="000000"/>
                <w:sz w:val="22"/>
                <w:szCs w:val="22"/>
              </w:rPr>
              <w:fldChar w:fldCharType="end"/>
            </w:r>
            <w:r w:rsidRPr="004100CF">
              <w:rPr>
                <w:rFonts w:ascii="Times New Roman" w:hAnsi="Times New Roman" w:cs="Times New Roman"/>
                <w:color w:val="000000"/>
                <w:sz w:val="22"/>
                <w:szCs w:val="22"/>
              </w:rPr>
              <w:t>; Smith et al (2016)</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{"citationID":"jt8k6vke","properties":{"unsorted":false,"formattedCitation":"\\super 55\\nosupersub{}","plainCitation":"55","noteIndex":0},"citationItems":[{"id":212,"uris":["http://zotero.org/users/19404620/items/HLTMG9NM"],"itemData":{"id":212,"type":"article-journal","abstract":"Background: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55</w:t>
            </w:r>
            <w:r w:rsidRPr="004100CF">
              <w:rPr>
                <w:rFonts w:ascii="Times New Roman" w:hAnsi="Times New Roman" w:cs="Times New Roman"/>
                <w:color w:val="000000"/>
                <w:sz w:val="22"/>
                <w:szCs w:val="22"/>
              </w:rPr>
              <w:fldChar w:fldCharType="end"/>
            </w:r>
          </w:p>
        </w:tc>
      </w:tr>
      <w:tr w:rsidR="00BA0839" w:rsidRPr="004100CF" w14:paraId="30170A6A" w14:textId="77777777" w:rsidTr="005A06D4">
        <w:trPr>
          <w:trHeight w:val="386"/>
        </w:trPr>
        <w:tc>
          <w:tcPr>
            <w:tcW w:w="1206" w:type="dxa"/>
            <w:tcBorders>
              <w:bottom w:val="single" w:sz="4" w:space="0" w:color="auto"/>
            </w:tcBorders>
          </w:tcPr>
          <w:p w14:paraId="4A796214" w14:textId="77777777" w:rsidR="00BA0839" w:rsidRPr="004100CF" w:rsidRDefault="00BA0839" w:rsidP="005A06D4">
            <w:pPr>
              <w:rPr>
                <w:rFonts w:ascii="Times New Roman" w:hAnsi="Times New Roman" w:cs="Times New Roman"/>
                <w:color w:val="000000"/>
                <w:sz w:val="22"/>
                <w:szCs w:val="22"/>
              </w:rPr>
            </w:pPr>
          </w:p>
        </w:tc>
        <w:tc>
          <w:tcPr>
            <w:tcW w:w="1648" w:type="dxa"/>
            <w:tcBorders>
              <w:bottom w:val="single" w:sz="4" w:space="0" w:color="auto"/>
            </w:tcBorders>
          </w:tcPr>
          <w:p w14:paraId="2DB48490" w14:textId="77777777"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K103N+M230L</w:t>
            </w:r>
          </w:p>
        </w:tc>
        <w:tc>
          <w:tcPr>
            <w:tcW w:w="1504" w:type="dxa"/>
            <w:tcBorders>
              <w:bottom w:val="single" w:sz="4" w:space="0" w:color="auto"/>
            </w:tcBorders>
          </w:tcPr>
          <w:p w14:paraId="014E665A" w14:textId="77777777"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36</w:t>
            </w:r>
          </w:p>
        </w:tc>
        <w:tc>
          <w:tcPr>
            <w:tcW w:w="999" w:type="dxa"/>
            <w:tcBorders>
              <w:bottom w:val="single" w:sz="4" w:space="0" w:color="auto"/>
            </w:tcBorders>
          </w:tcPr>
          <w:p w14:paraId="37B93C99" w14:textId="77777777"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1</w:t>
            </w:r>
          </w:p>
        </w:tc>
        <w:tc>
          <w:tcPr>
            <w:tcW w:w="2151" w:type="dxa"/>
            <w:tcBorders>
              <w:bottom w:val="single" w:sz="4" w:space="0" w:color="auto"/>
            </w:tcBorders>
          </w:tcPr>
          <w:p w14:paraId="5856925F" w14:textId="77777777"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[36]</w:t>
            </w:r>
          </w:p>
        </w:tc>
        <w:tc>
          <w:tcPr>
            <w:tcW w:w="2050" w:type="dxa"/>
            <w:tcBorders>
              <w:bottom w:val="single" w:sz="4" w:space="0" w:color="auto"/>
            </w:tcBorders>
          </w:tcPr>
          <w:p w14:paraId="0C3A352F" w14:textId="6BAC7D10"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{"citationID":"0N5BrjjB","properties":{"unsorted":false,"formattedCitation":"\\super 53\\nosupersub{}","plainCitation":"53","noteIndex":0},"citationItems":[{"id":208,"uris":["http://zotero.org/users/19404620/items/UIKXA4PH"],"itemData":{"id":208,"type":"webpage","publisher":"John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53</w:t>
            </w:r>
            <w:r w:rsidRPr="004100CF">
              <w:rPr>
                <w:rFonts w:ascii="Times New Roman" w:hAnsi="Times New Roman" w:cs="Times New Roman"/>
                <w:color w:val="000000"/>
                <w:sz w:val="22"/>
                <w:szCs w:val="22"/>
              </w:rPr>
              <w:fldChar w:fldCharType="end"/>
            </w:r>
          </w:p>
        </w:tc>
      </w:tr>
      <w:tr w:rsidR="00BA0839" w:rsidRPr="004100CF" w14:paraId="475CE906" w14:textId="77777777" w:rsidTr="005A06D4">
        <w:trPr>
          <w:trHeight w:val="340"/>
        </w:trPr>
        <w:tc>
          <w:tcPr>
            <w:tcW w:w="1206" w:type="dxa"/>
            <w:vMerge w:val="restart"/>
            <w:tcBorders>
              <w:top w:val="single" w:sz="4" w:space="0" w:color="auto"/>
            </w:tcBorders>
            <w:vAlign w:val="center"/>
            <w:hideMark/>
          </w:tcPr>
          <w:p w14:paraId="7EF76324" w14:textId="77777777" w:rsidR="00BA0839" w:rsidRPr="004100CF" w:rsidRDefault="00BA0839" w:rsidP="005A06D4">
            <w:pPr>
              <w:jc w:val="center"/>
              <w:rPr>
                <w:rFonts w:ascii="Times New Roman" w:hAnsi="Times New Roman" w:cs="Times New Roman"/>
                <w:b/>
                <w:bCs/>
                <w:color w:val="000000"/>
                <w:sz w:val="22"/>
                <w:szCs w:val="22"/>
              </w:rPr>
            </w:pPr>
            <w:r w:rsidRPr="004100CF">
              <w:rPr>
                <w:rFonts w:ascii="Times New Roman" w:hAnsi="Times New Roman" w:cs="Times New Roman"/>
                <w:b/>
                <w:bCs/>
                <w:color w:val="000000"/>
                <w:sz w:val="22"/>
                <w:szCs w:val="22"/>
              </w:rPr>
              <w:t xml:space="preserve">Uncertain </w:t>
            </w:r>
          </w:p>
        </w:tc>
        <w:tc>
          <w:tcPr>
            <w:tcW w:w="1648" w:type="dxa"/>
            <w:tcBorders>
              <w:top w:val="single" w:sz="4" w:space="0" w:color="auto"/>
            </w:tcBorders>
            <w:hideMark/>
          </w:tcPr>
          <w:p w14:paraId="73A345B9"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V106M</w:t>
            </w:r>
          </w:p>
        </w:tc>
        <w:tc>
          <w:tcPr>
            <w:tcW w:w="1504" w:type="dxa"/>
            <w:tcBorders>
              <w:top w:val="single" w:sz="4" w:space="0" w:color="auto"/>
            </w:tcBorders>
            <w:hideMark/>
          </w:tcPr>
          <w:p w14:paraId="59B6CEC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3.4</w:t>
            </w:r>
          </w:p>
        </w:tc>
        <w:tc>
          <w:tcPr>
            <w:tcW w:w="999" w:type="dxa"/>
            <w:tcBorders>
              <w:top w:val="single" w:sz="4" w:space="0" w:color="auto"/>
            </w:tcBorders>
            <w:hideMark/>
          </w:tcPr>
          <w:p w14:paraId="5526A864"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w:t>
            </w:r>
          </w:p>
        </w:tc>
        <w:tc>
          <w:tcPr>
            <w:tcW w:w="2151" w:type="dxa"/>
            <w:tcBorders>
              <w:top w:val="single" w:sz="4" w:space="0" w:color="auto"/>
            </w:tcBorders>
            <w:hideMark/>
          </w:tcPr>
          <w:p w14:paraId="4716DBD8"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[3.4]</w:t>
            </w:r>
          </w:p>
        </w:tc>
        <w:tc>
          <w:tcPr>
            <w:tcW w:w="2050" w:type="dxa"/>
            <w:tcBorders>
              <w:top w:val="single" w:sz="4" w:space="0" w:color="auto"/>
            </w:tcBorders>
            <w:hideMark/>
          </w:tcPr>
          <w:p w14:paraId="52FCCD4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{"citationID":"5ImOAsH1","properties":{"unsorted":false,"formattedCitation":"\\super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p>
        </w:tc>
      </w:tr>
      <w:tr w:rsidR="00BA0839" w:rsidRPr="004100CF" w14:paraId="62F9E523" w14:textId="77777777" w:rsidTr="005A06D4">
        <w:trPr>
          <w:trHeight w:val="467"/>
        </w:trPr>
        <w:tc>
          <w:tcPr>
            <w:tcW w:w="1206" w:type="dxa"/>
            <w:vMerge/>
            <w:hideMark/>
          </w:tcPr>
          <w:p w14:paraId="52647427" w14:textId="77777777" w:rsidR="00BA0839" w:rsidRPr="004100CF" w:rsidRDefault="00BA0839" w:rsidP="005A06D4">
            <w:pPr>
              <w:spacing w:line="480" w:lineRule="auto"/>
              <w:rPr>
                <w:rFonts w:ascii="Times New Roman" w:hAnsi="Times New Roman" w:cs="Times New Roman"/>
                <w:color w:val="000000"/>
                <w:sz w:val="22"/>
                <w:szCs w:val="22"/>
              </w:rPr>
            </w:pPr>
          </w:p>
        </w:tc>
        <w:tc>
          <w:tcPr>
            <w:tcW w:w="1648" w:type="dxa"/>
            <w:hideMark/>
          </w:tcPr>
          <w:p w14:paraId="72C8E85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G190S</w:t>
            </w:r>
          </w:p>
        </w:tc>
        <w:tc>
          <w:tcPr>
            <w:tcW w:w="1504" w:type="dxa"/>
            <w:hideMark/>
          </w:tcPr>
          <w:p w14:paraId="20871CB7"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5.2</w:t>
            </w:r>
          </w:p>
        </w:tc>
        <w:tc>
          <w:tcPr>
            <w:tcW w:w="999" w:type="dxa"/>
            <w:hideMark/>
          </w:tcPr>
          <w:p w14:paraId="7A6565BA"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4</w:t>
            </w:r>
          </w:p>
        </w:tc>
        <w:tc>
          <w:tcPr>
            <w:tcW w:w="2151" w:type="dxa"/>
            <w:hideMark/>
          </w:tcPr>
          <w:p w14:paraId="1EFC9B31"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[1.5, 4.5, 5.9, 11]</w:t>
            </w:r>
          </w:p>
        </w:tc>
        <w:tc>
          <w:tcPr>
            <w:tcW w:w="2050" w:type="dxa"/>
            <w:hideMark/>
          </w:tcPr>
          <w:p w14:paraId="5BDA5BA0"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{"citationID":"KFT3tPG6","properties":{"unsorted":false,"formattedCitation":"\\super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p>
        </w:tc>
      </w:tr>
      <w:tr w:rsidR="00BA0839" w:rsidRPr="004100CF" w14:paraId="20C09B71" w14:textId="77777777" w:rsidTr="005A06D4">
        <w:trPr>
          <w:trHeight w:val="521"/>
        </w:trPr>
        <w:tc>
          <w:tcPr>
            <w:tcW w:w="1206" w:type="dxa"/>
            <w:vMerge/>
            <w:hideMark/>
          </w:tcPr>
          <w:p w14:paraId="27D84BA7" w14:textId="77777777" w:rsidR="00BA0839" w:rsidRPr="004100CF" w:rsidRDefault="00BA0839" w:rsidP="005A06D4">
            <w:pPr>
              <w:spacing w:line="480" w:lineRule="auto"/>
              <w:rPr>
                <w:rFonts w:ascii="Times New Roman" w:hAnsi="Times New Roman" w:cs="Times New Roman"/>
                <w:color w:val="000000"/>
                <w:sz w:val="22"/>
                <w:szCs w:val="22"/>
              </w:rPr>
            </w:pPr>
          </w:p>
        </w:tc>
        <w:tc>
          <w:tcPr>
            <w:tcW w:w="1648" w:type="dxa"/>
            <w:hideMark/>
          </w:tcPr>
          <w:p w14:paraId="2FDB1AA3"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K103N+L100I</w:t>
            </w:r>
          </w:p>
        </w:tc>
        <w:tc>
          <w:tcPr>
            <w:tcW w:w="1504" w:type="dxa"/>
            <w:hideMark/>
          </w:tcPr>
          <w:p w14:paraId="0399B84F"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6.8</w:t>
            </w:r>
          </w:p>
        </w:tc>
        <w:tc>
          <w:tcPr>
            <w:tcW w:w="999" w:type="dxa"/>
            <w:hideMark/>
          </w:tcPr>
          <w:p w14:paraId="3B40610D"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8</w:t>
            </w:r>
          </w:p>
        </w:tc>
        <w:tc>
          <w:tcPr>
            <w:tcW w:w="2151" w:type="dxa"/>
            <w:hideMark/>
          </w:tcPr>
          <w:p w14:paraId="2FD80BF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[2.7, 4.5, 4.6, 5.1, 8.4, 10, 11, 19]</w:t>
            </w:r>
          </w:p>
        </w:tc>
        <w:tc>
          <w:tcPr>
            <w:tcW w:w="2050" w:type="dxa"/>
            <w:hideMark/>
          </w:tcPr>
          <w:p w14:paraId="0E4FA6D9"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{"citationID":"pekGNnut","properties":{"unsorted":false,"formattedCitation":"\\super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p>
        </w:tc>
      </w:tr>
      <w:tr w:rsidR="00BA0839" w:rsidRPr="004100CF" w14:paraId="5F3B58F6" w14:textId="77777777" w:rsidTr="005A06D4">
        <w:trPr>
          <w:trHeight w:val="350"/>
        </w:trPr>
        <w:tc>
          <w:tcPr>
            <w:tcW w:w="1206" w:type="dxa"/>
            <w:vMerge/>
            <w:hideMark/>
          </w:tcPr>
          <w:p w14:paraId="1817F1E7" w14:textId="77777777" w:rsidR="00BA0839" w:rsidRPr="004100CF" w:rsidRDefault="00BA0839" w:rsidP="005A06D4">
            <w:pPr>
              <w:spacing w:line="480" w:lineRule="auto"/>
              <w:rPr>
                <w:rFonts w:ascii="Times New Roman" w:hAnsi="Times New Roman" w:cs="Times New Roman"/>
                <w:color w:val="000000"/>
                <w:sz w:val="22"/>
                <w:szCs w:val="22"/>
              </w:rPr>
            </w:pPr>
          </w:p>
        </w:tc>
        <w:tc>
          <w:tcPr>
            <w:tcW w:w="1648" w:type="dxa"/>
            <w:hideMark/>
          </w:tcPr>
          <w:p w14:paraId="69A7F911" w14:textId="46F2ED54"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K103N+P225H</w:t>
            </w:r>
          </w:p>
        </w:tc>
        <w:tc>
          <w:tcPr>
            <w:tcW w:w="1504" w:type="dxa"/>
            <w:hideMark/>
          </w:tcPr>
          <w:p w14:paraId="6C0AEC52" w14:textId="707C96C9"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7.8</w:t>
            </w:r>
          </w:p>
        </w:tc>
        <w:tc>
          <w:tcPr>
            <w:tcW w:w="999" w:type="dxa"/>
            <w:hideMark/>
          </w:tcPr>
          <w:p w14:paraId="7A18FC3F"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2</w:t>
            </w:r>
          </w:p>
        </w:tc>
        <w:tc>
          <w:tcPr>
            <w:tcW w:w="2151" w:type="dxa"/>
            <w:hideMark/>
          </w:tcPr>
          <w:p w14:paraId="2B9203D6"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sz w:val="22"/>
                <w:szCs w:val="22"/>
              </w:rPr>
              <w:t>[5.7, 10]</w:t>
            </w:r>
          </w:p>
        </w:tc>
        <w:tc>
          <w:tcPr>
            <w:tcW w:w="2050" w:type="dxa"/>
            <w:hideMark/>
          </w:tcPr>
          <w:p w14:paraId="1BA9E177" w14:textId="77777777"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(2014)</w:t>
            </w:r>
            <w:r w:rsidRPr="004100CF">
              <w:rPr>
                <w:rFonts w:ascii="Times New Roman" w:hAnsi="Times New Roman" w:cs="Times New Roman"/>
                <w:color w:val="000000"/>
                <w:sz w:val="22"/>
                <w:szCs w:val="22"/>
              </w:rPr>
              <w:fldChar w:fldCharType="begin"/>
            </w:r>
            <w:r w:rsidRPr="004100CF">
              <w:rPr>
                <w:rFonts w:ascii="Times New Roman" w:hAnsi="Times New Roman" w:cs="Times New Roman"/>
                <w:color w:val="000000"/>
                <w:sz w:val="22"/>
                <w:szCs w:val="22"/>
              </w:rPr>
              <w:instrText xml:space="preserve"> ADDIN ZOTERO_ITEM CSL_CITATION {"citationID":"dk8ipzQr","properties":{"unsorted":false,"formattedCitation":"\\super 16\\nosupersub{}","plainCitation":"16","noteIndex":0},"citationItems":[{"id":202,"uris":["http://zotero.org/users/19404620/items/4IJXPB4P"],"itemData":{"id":202,"type":"article-journal","abstract":"Nonnucleoside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4100CF">
              <w:rPr>
                <w:rFonts w:ascii="Times New Roman" w:hAnsi="Times New Roman" w:cs="Times New Roman"/>
                <w:color w:val="000000"/>
                <w:sz w:val="22"/>
                <w:szCs w:val="22"/>
              </w:rPr>
              <w:fldChar w:fldCharType="separate"/>
            </w:r>
            <w:r w:rsidRPr="004100CF">
              <w:rPr>
                <w:rFonts w:ascii="Times New Roman" w:hAnsi="Times New Roman" w:cs="Times New Roman"/>
                <w:color w:val="000000"/>
                <w:sz w:val="22"/>
                <w:szCs w:val="24"/>
                <w:vertAlign w:val="superscript"/>
              </w:rPr>
              <w:t>16</w:t>
            </w:r>
            <w:r w:rsidRPr="004100CF">
              <w:rPr>
                <w:rFonts w:ascii="Times New Roman" w:hAnsi="Times New Roman" w:cs="Times New Roman"/>
                <w:color w:val="000000"/>
                <w:sz w:val="22"/>
                <w:szCs w:val="22"/>
              </w:rPr>
              <w:fldChar w:fldCharType="end"/>
            </w:r>
          </w:p>
        </w:tc>
      </w:tr>
      <w:tr w:rsidR="00BA0839" w:rsidRPr="004100CF" w14:paraId="1B1087BE" w14:textId="77777777" w:rsidTr="005A06D4">
        <w:trPr>
          <w:trHeight w:val="350"/>
        </w:trPr>
        <w:tc>
          <w:tcPr>
            <w:tcW w:w="1206" w:type="dxa"/>
            <w:vMerge/>
            <w:tcBorders>
              <w:bottom w:val="single" w:sz="4" w:space="0" w:color="auto"/>
            </w:tcBorders>
          </w:tcPr>
          <w:p w14:paraId="02D0C131" w14:textId="77777777" w:rsidR="00BA0839" w:rsidRPr="004100CF" w:rsidRDefault="00BA0839" w:rsidP="005A06D4">
            <w:pPr>
              <w:spacing w:line="480" w:lineRule="auto"/>
              <w:rPr>
                <w:rFonts w:ascii="Times New Roman" w:hAnsi="Times New Roman" w:cs="Times New Roman"/>
                <w:color w:val="000000"/>
                <w:sz w:val="22"/>
                <w:szCs w:val="22"/>
              </w:rPr>
            </w:pPr>
          </w:p>
        </w:tc>
        <w:tc>
          <w:tcPr>
            <w:tcW w:w="1648" w:type="dxa"/>
            <w:tcBorders>
              <w:bottom w:val="single" w:sz="4" w:space="0" w:color="auto"/>
            </w:tcBorders>
          </w:tcPr>
          <w:p w14:paraId="1D9036E4" w14:textId="77777777"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G190E</w:t>
            </w:r>
          </w:p>
        </w:tc>
        <w:tc>
          <w:tcPr>
            <w:tcW w:w="1504" w:type="dxa"/>
            <w:tcBorders>
              <w:bottom w:val="single" w:sz="4" w:space="0" w:color="auto"/>
            </w:tcBorders>
          </w:tcPr>
          <w:p w14:paraId="40968440" w14:textId="57C740A5"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18</w:t>
            </w:r>
          </w:p>
        </w:tc>
        <w:tc>
          <w:tcPr>
            <w:tcW w:w="999" w:type="dxa"/>
            <w:tcBorders>
              <w:bottom w:val="single" w:sz="4" w:space="0" w:color="auto"/>
            </w:tcBorders>
          </w:tcPr>
          <w:p w14:paraId="695C574D" w14:textId="560FDF62"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1</w:t>
            </w:r>
          </w:p>
        </w:tc>
        <w:tc>
          <w:tcPr>
            <w:tcW w:w="2151" w:type="dxa"/>
            <w:tcBorders>
              <w:bottom w:val="single" w:sz="4" w:space="0" w:color="auto"/>
            </w:tcBorders>
          </w:tcPr>
          <w:p w14:paraId="168E0CD3" w14:textId="77777777" w:rsidR="00BA0839" w:rsidRPr="004100CF" w:rsidRDefault="00BA0839" w:rsidP="005A06D4">
            <w:pPr>
              <w:jc w:val="center"/>
              <w:rPr>
                <w:rFonts w:ascii="Times New Roman" w:hAnsi="Times New Roman" w:cs="Times New Roman"/>
                <w:sz w:val="22"/>
                <w:szCs w:val="22"/>
              </w:rPr>
            </w:pPr>
            <w:r w:rsidRPr="004100CF">
              <w:rPr>
                <w:rFonts w:ascii="Times New Roman" w:hAnsi="Times New Roman" w:cs="Times New Roman"/>
                <w:sz w:val="22"/>
                <w:szCs w:val="22"/>
              </w:rPr>
              <w:t>[18]</w:t>
            </w:r>
          </w:p>
        </w:tc>
        <w:tc>
          <w:tcPr>
            <w:tcW w:w="2050" w:type="dxa"/>
            <w:tcBorders>
              <w:bottom w:val="single" w:sz="4" w:space="0" w:color="auto"/>
            </w:tcBorders>
          </w:tcPr>
          <w:p w14:paraId="628ECB0C" w14:textId="258593C6" w:rsidR="00BA0839" w:rsidRPr="004100CF" w:rsidRDefault="00BA0839" w:rsidP="005A06D4">
            <w:pPr>
              <w:jc w:val="center"/>
              <w:rPr>
                <w:rFonts w:ascii="Times New Roman" w:hAnsi="Times New Roman" w:cs="Times New Roman"/>
                <w:color w:val="000000"/>
                <w:sz w:val="22"/>
                <w:szCs w:val="22"/>
              </w:rPr>
            </w:pPr>
            <w:r w:rsidRPr="004100CF">
              <w:rPr>
                <w:rFonts w:ascii="Times New Roman" w:hAnsi="Times New Roman" w:cs="Times New Roman"/>
                <w:color w:val="000000"/>
                <w:sz w:val="22"/>
                <w:szCs w:val="22"/>
              </w:rPr>
              <w:t>Lai et al (2018)</w:t>
            </w:r>
            <w:r w:rsidRPr="004100CF">
              <w:rPr>
                <w:rFonts w:ascii="Times New Roman" w:hAnsi="Times New Roman" w:cs="Times New Roman"/>
                <w:color w:val="000000"/>
                <w:sz w:val="22"/>
                <w:szCs w:val="22"/>
              </w:rPr>
              <w:fldChar w:fldCharType="begin"/>
            </w:r>
            <w:r w:rsidR="00E032F1" w:rsidRPr="004100CF">
              <w:rPr>
                <w:rFonts w:ascii="Times New Roman" w:hAnsi="Times New Roman" w:cs="Times New Roman"/>
                <w:color w:val="000000"/>
                <w:sz w:val="22"/>
                <w:szCs w:val="22"/>
              </w:rPr>
              <w:instrText xml:space="preserve"> ADDIN ZOTERO_ITEM CSL_CITATION {"citationID":"clMt889n","properties":{"unsorted":false,"formattedCitation":"\\super 53\\nosupersub{}","plainCitation":"53","noteIndex":0},"citationItems":[{"id":208,"uris":["http://zotero.org/users/19404620/items/UIKXA4PH"],"itemData":{"id":208,"type":"webpage","publisher":"John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4100CF">
              <w:rPr>
                <w:rFonts w:ascii="Times New Roman" w:hAnsi="Times New Roman" w:cs="Times New Roman"/>
                <w:color w:val="000000"/>
                <w:sz w:val="22"/>
                <w:szCs w:val="22"/>
              </w:rPr>
              <w:fldChar w:fldCharType="separate"/>
            </w:r>
            <w:r w:rsidR="00E032F1" w:rsidRPr="004100CF">
              <w:rPr>
                <w:rFonts w:ascii="Times New Roman" w:hAnsi="Times New Roman" w:cs="Times New Roman"/>
                <w:color w:val="000000"/>
                <w:sz w:val="22"/>
                <w:szCs w:val="24"/>
                <w:vertAlign w:val="superscript"/>
              </w:rPr>
              <w:t>53</w:t>
            </w:r>
            <w:r w:rsidRPr="004100CF">
              <w:rPr>
                <w:rFonts w:ascii="Times New Roman" w:hAnsi="Times New Roman" w:cs="Times New Roman"/>
                <w:color w:val="000000"/>
                <w:sz w:val="22"/>
                <w:szCs w:val="22"/>
              </w:rPr>
              <w:fldChar w:fldCharType="end"/>
            </w:r>
          </w:p>
        </w:tc>
      </w:tr>
    </w:tbl>
    <w:p w14:paraId="217B8E6F" w14:textId="086CF801" w:rsidR="000E15E2" w:rsidRPr="004100CF" w:rsidRDefault="000E15E2" w:rsidP="000E15E2">
      <w:pPr>
        <w:rPr>
          <w:rFonts w:ascii="Times New Roman" w:hAnsi="Times New Roman" w:cs="Times New Roman"/>
        </w:rPr>
      </w:pPr>
    </w:p>
    <w:p w14:paraId="44C5F9DA" w14:textId="31DD1574" w:rsidR="009D30A5" w:rsidRPr="004100CF" w:rsidRDefault="009D30A5" w:rsidP="009D30A5">
      <w:pPr>
        <w:rPr>
          <w:rFonts w:ascii="Times New Roman" w:hAnsi="Times New Roman" w:cs="Times New Roman"/>
          <w:b/>
          <w:bCs/>
          <w:szCs w:val="24"/>
          <w:u w:val="single"/>
        </w:rPr>
      </w:pPr>
      <w:r w:rsidRPr="004100CF">
        <w:rPr>
          <w:rFonts w:ascii="Times New Roman" w:hAnsi="Times New Roman" w:cs="Times New Roman"/>
          <w:b/>
          <w:bCs/>
          <w:szCs w:val="24"/>
          <w:u w:val="single"/>
        </w:rPr>
        <w:t>RT-DOR binding free energy analyses</w:t>
      </w:r>
    </w:p>
    <w:p w14:paraId="62CC092D" w14:textId="4729D6D8" w:rsidR="00703302" w:rsidRPr="004100CF" w:rsidRDefault="003E5220" w:rsidP="000E15E2">
      <w:pPr>
        <w:rPr>
          <w:rFonts w:ascii="Times New Roman" w:hAnsi="Times New Roman" w:cs="Times New Roman"/>
          <w:szCs w:val="24"/>
        </w:rPr>
      </w:pPr>
      <w:r w:rsidRPr="004100CF">
        <w:rPr>
          <w:rFonts w:ascii="Times New Roman" w:hAnsi="Times New Roman" w:cs="Times New Roman"/>
          <w:szCs w:val="24"/>
        </w:rPr>
        <w:t xml:space="preserve">Starting from the published X-ray crystal structure of WT RT bound to DOR (Figure 1), we introduced each mutation </w:t>
      </w:r>
      <w:r w:rsidRPr="004100CF">
        <w:rPr>
          <w:rFonts w:ascii="Times New Roman" w:hAnsi="Times New Roman" w:cs="Times New Roman"/>
          <w:i/>
          <w:iCs/>
          <w:szCs w:val="24"/>
        </w:rPr>
        <w:t>in silico</w:t>
      </w:r>
      <w:r w:rsidRPr="004100CF">
        <w:rPr>
          <w:rFonts w:ascii="Times New Roman" w:hAnsi="Times New Roman" w:cs="Times New Roman"/>
          <w:szCs w:val="24"/>
        </w:rP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7AE142F" w14:textId="58DEB6DD" w:rsidR="00703302" w:rsidRPr="004100CF" w:rsidRDefault="00703302" w:rsidP="008D0E12">
      <w:pPr>
        <w:spacing w:before="240" w:after="240"/>
        <w:rPr>
          <w:rFonts w:ascii="Times New Roman" w:hAnsi="Times New Roman" w:cs="Times New Roman"/>
          <w:szCs w:val="24"/>
        </w:rPr>
      </w:pPr>
      <w:r w:rsidRPr="004100CF">
        <w:rPr>
          <w:rFonts w:ascii="Times New Roman" w:hAnsi="Times New Roman" w:cs="Times New Roman"/>
          <w:szCs w:val="24"/>
        </w:rPr>
        <w:t xml:space="preserve">For each system, we ran three independent 100ns all-atom, explicit-solvent production simulations. Since RT undergoes </w:t>
      </w:r>
      <w:r w:rsidR="00851C44" w:rsidRPr="004100CF">
        <w:rPr>
          <w:rFonts w:ascii="Times New Roman" w:hAnsi="Times New Roman" w:cs="Times New Roman"/>
          <w:szCs w:val="24"/>
        </w:rPr>
        <w:t>domain</w:t>
      </w:r>
      <w:r w:rsidRPr="004100CF">
        <w:rPr>
          <w:rFonts w:ascii="Times New Roman" w:hAnsi="Times New Roman" w:cs="Times New Roman"/>
          <w:szCs w:val="24"/>
        </w:rPr>
        <w:t xml:space="preserve"> rearrangements on the</w:t>
      </w:r>
      <w:r w:rsidR="00DB0CDA" w:rsidRPr="004100CF">
        <w:rPr>
          <w:rFonts w:ascii="Times New Roman" w:hAnsi="Times New Roman" w:cs="Times New Roman"/>
          <w:szCs w:val="24"/>
        </w:rPr>
        <w:t xml:space="preserve"> millisecond</w:t>
      </w:r>
      <w:r w:rsidRPr="004100CF">
        <w:rPr>
          <w:rFonts w:ascii="Times New Roman" w:hAnsi="Times New Roman" w:cs="Times New Roman"/>
          <w:szCs w:val="24"/>
        </w:rPr>
        <w:t xml:space="preserve"> timescale</w:t>
      </w:r>
      <w:r w:rsidR="00AD1C7A" w:rsidRPr="004100CF">
        <w:rPr>
          <w:rFonts w:ascii="Times New Roman" w:hAnsi="Times New Roman" w:cs="Times New Roman"/>
          <w:szCs w:val="24"/>
        </w:rPr>
        <w:t>,</w:t>
      </w:r>
      <w:r w:rsidR="000745F0" w:rsidRPr="004100CF">
        <w:rPr>
          <w:rFonts w:ascii="Times New Roman" w:hAnsi="Times New Roman" w:cs="Times New Roman"/>
          <w:szCs w:val="24"/>
        </w:rPr>
        <w:fldChar w:fldCharType="begin"/>
      </w:r>
      <w:r w:rsidR="00E032F1" w:rsidRPr="004100CF">
        <w:rPr>
          <w:rFonts w:ascii="Times New Roman" w:hAnsi="Times New Roman" w:cs="Times New Roman"/>
          <w:szCs w:val="24"/>
        </w:rPr>
        <w:instrText xml:space="preserve"> ADDIN ZOTERO_ITEM CSL_CITATION {"citationID":"7g77Zrf7","properties":{"unsorted":false,"formattedCitation":"\\super 56\\nosupersub{}","plainCitation":"56","noteIndex":0},"citationItems":[{"id":314,"uris":["http://zotero.org/users/19404620/items/IZKA6784"],"itemData":{"id":314,"type":"article-journal","abstract":"Single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rsidR="000745F0" w:rsidRPr="004100CF">
        <w:rPr>
          <w:rFonts w:ascii="Times New Roman" w:hAnsi="Times New Roman" w:cs="Times New Roman"/>
          <w:szCs w:val="24"/>
        </w:rPr>
        <w:fldChar w:fldCharType="separate"/>
      </w:r>
      <w:r w:rsidR="00E032F1" w:rsidRPr="004100CF">
        <w:rPr>
          <w:rFonts w:ascii="Times New Roman" w:hAnsi="Times New Roman" w:cs="Times New Roman"/>
          <w:szCs w:val="24"/>
          <w:vertAlign w:val="superscript"/>
        </w:rPr>
        <w:t>56</w:t>
      </w:r>
      <w:r w:rsidR="000745F0" w:rsidRPr="004100CF">
        <w:rPr>
          <w:rFonts w:ascii="Times New Roman" w:hAnsi="Times New Roman" w:cs="Times New Roman"/>
          <w:szCs w:val="24"/>
        </w:rPr>
        <w:fldChar w:fldCharType="end"/>
      </w:r>
      <w:r w:rsidR="00AD1C7A" w:rsidRPr="004100CF">
        <w:rPr>
          <w:rFonts w:ascii="Times New Roman" w:hAnsi="Times New Roman" w:cs="Times New Roman"/>
          <w:szCs w:val="24"/>
        </w:rPr>
        <w:t xml:space="preserve"> these relatively short MD runs are unlikely to capture converged dynamics of the full RT molecule. </w:t>
      </w:r>
      <w:r w:rsidR="00B06E69" w:rsidRPr="004100CF">
        <w:rPr>
          <w:rFonts w:ascii="Times New Roman" w:hAnsi="Times New Roman" w:cs="Times New Roman"/>
          <w:szCs w:val="24"/>
        </w:rPr>
        <w:t xml:space="preserve">However, </w:t>
      </w:r>
      <w:r w:rsidR="00AD1C7A" w:rsidRPr="004100CF">
        <w:rPr>
          <w:rFonts w:ascii="Times New Roman" w:hAnsi="Times New Roman" w:cs="Times New Roman"/>
          <w:szCs w:val="24"/>
        </w:rPr>
        <w:t xml:space="preserve">DOR pose </w:t>
      </w:r>
      <w:r w:rsidR="0087658B" w:rsidRPr="004100CF">
        <w:rPr>
          <w:rFonts w:ascii="Times New Roman" w:hAnsi="Times New Roman" w:cs="Times New Roman"/>
          <w:szCs w:val="24"/>
        </w:rPr>
        <w:t xml:space="preserve">RMSD </w:t>
      </w:r>
      <w:r w:rsidR="00AD1C7A" w:rsidRPr="004100CF">
        <w:rPr>
          <w:rFonts w:ascii="Times New Roman" w:hAnsi="Times New Roman" w:cs="Times New Roman"/>
          <w:szCs w:val="24"/>
        </w:rPr>
        <w:t xml:space="preserve">and DOR-RT </w:t>
      </w:r>
      <w:r w:rsidR="0087658B" w:rsidRPr="004100CF">
        <w:rPr>
          <w:rFonts w:ascii="Times New Roman" w:hAnsi="Times New Roman" w:cs="Times New Roman"/>
          <w:szCs w:val="24"/>
        </w:rPr>
        <w:t xml:space="preserve">center of mass </w:t>
      </w:r>
      <w:r w:rsidR="00943376" w:rsidRPr="004100CF">
        <w:rPr>
          <w:rFonts w:ascii="Times New Roman" w:hAnsi="Times New Roman" w:cs="Times New Roman"/>
          <w:szCs w:val="24"/>
        </w:rPr>
        <w:t xml:space="preserve">distance </w:t>
      </w:r>
      <w:r w:rsidR="00AD1C7A" w:rsidRPr="004100CF">
        <w:rPr>
          <w:rFonts w:ascii="Times New Roman" w:hAnsi="Times New Roman" w:cs="Times New Roman"/>
          <w:szCs w:val="24"/>
        </w:rPr>
        <w:t xml:space="preserve">fluctuations </w:t>
      </w:r>
      <w:r w:rsidR="00567977" w:rsidRPr="004100CF">
        <w:rPr>
          <w:rFonts w:ascii="Times New Roman" w:hAnsi="Times New Roman" w:cs="Times New Roman"/>
          <w:szCs w:val="24"/>
        </w:rPr>
        <w:t>suggested</w:t>
      </w:r>
      <w:r w:rsidR="00AD1C7A" w:rsidRPr="004100CF">
        <w:rPr>
          <w:rFonts w:ascii="Times New Roman" w:hAnsi="Times New Roman" w:cs="Times New Roman"/>
          <w:szCs w:val="24"/>
        </w:rPr>
        <w:t xml:space="preserve"> that DOR dynamics within the NNIBP </w:t>
      </w:r>
      <w:r w:rsidR="002C6515" w:rsidRPr="004100CF">
        <w:rPr>
          <w:rFonts w:ascii="Times New Roman" w:hAnsi="Times New Roman" w:cs="Times New Roman"/>
          <w:szCs w:val="24"/>
        </w:rPr>
        <w:t>were relatively stable</w:t>
      </w:r>
      <w:r w:rsidR="00AD1C7A" w:rsidRPr="004100CF">
        <w:rPr>
          <w:rFonts w:ascii="Times New Roman" w:hAnsi="Times New Roman" w:cs="Times New Roman"/>
          <w:szCs w:val="24"/>
        </w:rPr>
        <w:t xml:space="preserve"> </w:t>
      </w:r>
      <w:r w:rsidR="009B49B5" w:rsidRPr="004100CF">
        <w:rPr>
          <w:rFonts w:ascii="Times New Roman" w:hAnsi="Times New Roman" w:cs="Times New Roman"/>
          <w:szCs w:val="24"/>
        </w:rPr>
        <w:t xml:space="preserve">during the course of the simulations </w:t>
      </w:r>
      <w:r w:rsidR="00AD1C7A" w:rsidRPr="004100CF">
        <w:rPr>
          <w:rFonts w:ascii="Times New Roman" w:hAnsi="Times New Roman" w:cs="Times New Roman"/>
          <w:szCs w:val="24"/>
        </w:rPr>
        <w:t>(</w:t>
      </w:r>
      <w:r w:rsidR="00B06E69" w:rsidRPr="004100CF">
        <w:rPr>
          <w:rFonts w:ascii="Times New Roman" w:hAnsi="Times New Roman" w:cs="Times New Roman"/>
          <w:szCs w:val="24"/>
        </w:rPr>
        <w:t>Supplementary Figure 1</w:t>
      </w:r>
      <w:r w:rsidR="00AD1C7A" w:rsidRPr="004100CF">
        <w:rPr>
          <w:rFonts w:ascii="Times New Roman" w:hAnsi="Times New Roman" w:cs="Times New Roman"/>
          <w:szCs w:val="24"/>
        </w:rPr>
        <w:t>).</w:t>
      </w:r>
      <w:r w:rsidRPr="004100CF">
        <w:rPr>
          <w:rFonts w:ascii="Times New Roman" w:hAnsi="Times New Roman" w:cs="Times New Roman"/>
          <w:szCs w:val="24"/>
        </w:rPr>
        <w:t xml:space="preserve"> </w:t>
      </w:r>
    </w:p>
    <w:p w14:paraId="7F6710A7" w14:textId="47404BF8" w:rsidR="007E05DC" w:rsidRPr="004100CF" w:rsidRDefault="007E05DC" w:rsidP="008D0E12">
      <w:pPr>
        <w:spacing w:before="240" w:after="240"/>
        <w:rPr>
          <w:rFonts w:ascii="Times New Roman" w:hAnsi="Times New Roman" w:cs="Times New Roman"/>
          <w:szCs w:val="24"/>
        </w:rPr>
      </w:pPr>
      <w:r w:rsidRPr="004100CF">
        <w:rPr>
          <w:rFonts w:ascii="Times New Roman" w:hAnsi="Times New Roman" w:cs="Times New Roman"/>
          <w:szCs w:val="24"/>
        </w:rPr>
        <w:t xml:space="preserve">We sampled RT-DOR structures from these </w:t>
      </w:r>
      <w:r w:rsidRPr="004100CF">
        <w:rPr>
          <w:rFonts w:ascii="Times New Roman" w:hAnsi="Times New Roman" w:cs="Times New Roman"/>
          <w:i/>
          <w:iCs/>
          <w:szCs w:val="24"/>
        </w:rPr>
        <w:t xml:space="preserve">holo </w:t>
      </w:r>
      <w:r w:rsidRPr="004100CF">
        <w:rPr>
          <w:rFonts w:ascii="Times New Roman" w:hAnsi="Times New Roman" w:cs="Times New Roman"/>
          <w:szCs w:val="24"/>
        </w:rPr>
        <w:t xml:space="preserve">(RT+DOR) and corresponding </w:t>
      </w:r>
      <w:r w:rsidRPr="004100CF">
        <w:rPr>
          <w:rFonts w:ascii="Times New Roman" w:hAnsi="Times New Roman" w:cs="Times New Roman"/>
          <w:i/>
          <w:iCs/>
          <w:szCs w:val="24"/>
        </w:rPr>
        <w:t xml:space="preserve">apo </w:t>
      </w:r>
      <w:r w:rsidRPr="004100CF">
        <w:rPr>
          <w:rFonts w:ascii="Times New Roman" w:hAnsi="Times New Roman" w:cs="Times New Roman"/>
          <w:szCs w:val="24"/>
        </w:rPr>
        <w:t>(RT only) simulations to compute the relative binding free energy, ∆∆G</w:t>
      </w:r>
      <w:r w:rsidRPr="004100CF">
        <w:rPr>
          <w:rFonts w:ascii="Times New Roman" w:hAnsi="Times New Roman" w:cs="Times New Roman"/>
          <w:szCs w:val="24"/>
          <w:vertAlign w:val="subscript"/>
        </w:rPr>
        <w:t>bind</w:t>
      </w:r>
      <w:r w:rsidRPr="004100CF">
        <w:rPr>
          <w:rFonts w:ascii="Times New Roman" w:hAnsi="Times New Roman" w:cs="Times New Roman"/>
          <w:szCs w:val="24"/>
        </w:rPr>
        <w:t>, between the mutant and WT RT-DOR complexes using a non-equilibrium alchemical free energy calculation protocol (Figure 2). Additionally, we calculated the average MM/GBSA energy over the final 20 frames of each equilibrium trajectory, corresponding to approximately the final 10ns. For each mutant genotype, we then computed WT-referenced energetic changes for the total MM/GBSA energy (∆∆E</w:t>
      </w:r>
      <w:r w:rsidRPr="004100CF">
        <w:rPr>
          <w:rFonts w:ascii="Times New Roman" w:hAnsi="Times New Roman" w:cs="Times New Roman"/>
          <w:szCs w:val="24"/>
          <w:vertAlign w:val="subscript"/>
        </w:rPr>
        <w:t>Total</w:t>
      </w:r>
      <w:r w:rsidRPr="004100CF">
        <w:rPr>
          <w:rFonts w:ascii="Times New Roman" w:hAnsi="Times New Roman" w:cs="Times New Roman"/>
          <w:szCs w:val="24"/>
        </w:rPr>
        <w:t xml:space="preserve">) </w:t>
      </w:r>
      <w:r w:rsidRPr="004100CF">
        <w:rPr>
          <w:rFonts w:ascii="Times New Roman" w:hAnsi="Times New Roman" w:cs="Times New Roman"/>
          <w:szCs w:val="24"/>
        </w:rPr>
        <w:lastRenderedPageBreak/>
        <w:t>and for four individual energy components: van der Waals (</w:t>
      </w:r>
      <w:r w:rsidRPr="004100CF">
        <w:rPr>
          <w:rFonts w:ascii="Times New Roman" w:hAnsi="Times New Roman" w:cs="Times New Roman"/>
        </w:rPr>
        <w:t>∆∆E</w:t>
      </w:r>
      <w:r w:rsidRPr="004100CF">
        <w:rPr>
          <w:rFonts w:ascii="Times New Roman" w:hAnsi="Times New Roman" w:cs="Times New Roman"/>
          <w:vertAlign w:val="subscript"/>
        </w:rPr>
        <w:t>vdW</w:t>
      </w:r>
      <w:r w:rsidRPr="004100CF">
        <w:rPr>
          <w:rFonts w:ascii="Times New Roman" w:hAnsi="Times New Roman" w:cs="Times New Roman"/>
          <w:szCs w:val="24"/>
        </w:rPr>
        <w:t>), electrostatic (∆∆E</w:t>
      </w:r>
      <w:r w:rsidRPr="004100CF">
        <w:rPr>
          <w:rFonts w:ascii="Times New Roman" w:hAnsi="Times New Roman" w:cs="Times New Roman"/>
          <w:szCs w:val="24"/>
          <w:vertAlign w:val="subscript"/>
        </w:rPr>
        <w:t>elec</w:t>
      </w:r>
      <w:r w:rsidRPr="004100CF">
        <w:rPr>
          <w:rFonts w:ascii="Times New Roman" w:hAnsi="Times New Roman" w:cs="Times New Roman"/>
          <w:szCs w:val="24"/>
        </w:rPr>
        <w:t>), generalized Born polar solvation (∆∆E</w:t>
      </w:r>
      <w:r w:rsidRPr="004100CF">
        <w:rPr>
          <w:rFonts w:ascii="Times New Roman" w:hAnsi="Times New Roman" w:cs="Times New Roman"/>
          <w:szCs w:val="24"/>
          <w:vertAlign w:val="subscript"/>
        </w:rPr>
        <w:t>GB</w:t>
      </w:r>
      <w:r w:rsidRPr="004100CF">
        <w:rPr>
          <w:rFonts w:ascii="Times New Roman" w:hAnsi="Times New Roman" w:cs="Times New Roman"/>
          <w:szCs w:val="24"/>
        </w:rPr>
        <w:t>), and nonpolar surface area (∆∆E</w:t>
      </w:r>
      <w:r w:rsidRPr="004100CF">
        <w:rPr>
          <w:rFonts w:ascii="Times New Roman" w:hAnsi="Times New Roman" w:cs="Times New Roman"/>
          <w:szCs w:val="24"/>
          <w:vertAlign w:val="subscript"/>
        </w:rPr>
        <w:t>SA</w:t>
      </w:r>
      <w:r w:rsidRPr="004100CF">
        <w:rPr>
          <w:rFonts w:ascii="Times New Roman" w:hAnsi="Times New Roman" w:cs="Times New Roman"/>
          <w:szCs w:val="24"/>
        </w:rPr>
        <w:t>) contributions. The results are summarized in Table 2, Supplementary Figure 2, and Supplementary Table 3.</w:t>
      </w:r>
    </w:p>
    <w:p w14:paraId="0E3EFB35" w14:textId="200722B0" w:rsidR="003D7E51" w:rsidRPr="004100CF" w:rsidRDefault="003D7E51" w:rsidP="009D30A5">
      <w:pPr>
        <w:spacing w:before="240" w:after="240"/>
        <w:rPr>
          <w:rFonts w:ascii="Times New Roman" w:hAnsi="Times New Roman" w:cs="Times New Roman"/>
          <w:szCs w:val="24"/>
        </w:rPr>
      </w:pPr>
      <w:r w:rsidRPr="004100CF">
        <w:rPr>
          <w:rFonts w:ascii="Times New Roman" w:hAnsi="Times New Roman" w:cs="Times New Roman"/>
          <w:noProof/>
          <w:szCs w:val="24"/>
        </w:rPr>
        <w:drawing>
          <wp:inline distT="0" distB="0" distL="0" distR="0" wp14:anchorId="7870DA20" wp14:editId="1832ACA0">
            <wp:extent cx="5943600" cy="3738245"/>
            <wp:effectExtent l="0" t="0" r="0" b="0"/>
            <wp:docPr id="95013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30311" name="Picture 950130311"/>
                    <pic:cNvPicPr/>
                  </pic:nvPicPr>
                  <pic:blipFill>
                    <a:blip r:embed="rId13"/>
                    <a:stretch>
                      <a:fillRect/>
                    </a:stretch>
                  </pic:blipFill>
                  <pic:spPr>
                    <a:xfrm>
                      <a:off x="0" y="0"/>
                      <a:ext cx="5943600" cy="3738245"/>
                    </a:xfrm>
                    <a:prstGeom prst="rect">
                      <a:avLst/>
                    </a:prstGeom>
                  </pic:spPr>
                </pic:pic>
              </a:graphicData>
            </a:graphic>
          </wp:inline>
        </w:drawing>
      </w:r>
      <w:r w:rsidRPr="004100CF">
        <w:rPr>
          <w:rFonts w:ascii="Times New Roman" w:hAnsi="Times New Roman" w:cs="Times New Roman"/>
          <w:b/>
          <w:bCs/>
          <w:sz w:val="22"/>
          <w:szCs w:val="22"/>
        </w:rPr>
        <w:t xml:space="preserve"> Figure 2: Free Energy Perturbation (FEP) protocol used to estimate ∆∆G</w:t>
      </w:r>
      <w:r w:rsidRPr="004100CF">
        <w:rPr>
          <w:rFonts w:ascii="Times New Roman" w:hAnsi="Times New Roman" w:cs="Times New Roman"/>
          <w:b/>
          <w:bCs/>
          <w:sz w:val="22"/>
          <w:szCs w:val="22"/>
          <w:vertAlign w:val="subscript"/>
        </w:rPr>
        <w:t>bind</w:t>
      </w:r>
      <w:r w:rsidRPr="004100CF">
        <w:rPr>
          <w:rFonts w:ascii="Times New Roman" w:hAnsi="Times New Roman" w:cs="Times New Roman"/>
          <w:b/>
          <w:bCs/>
          <w:sz w:val="22"/>
          <w:szCs w:val="22"/>
        </w:rPr>
        <w:t xml:space="preserve"> for DOR Resistance Associated Mutations.</w:t>
      </w:r>
      <w:r w:rsidRPr="004100CF">
        <w:rPr>
          <w:rFonts w:ascii="Times New Roman" w:hAnsi="Times New Roman" w:cs="Times New Roman"/>
          <w:sz w:val="22"/>
          <w:szCs w:val="22"/>
        </w:rPr>
        <w:t xml:space="preserve"> </w:t>
      </w:r>
      <w:r w:rsidRPr="004100CF">
        <w:rPr>
          <w:rFonts w:ascii="Times New Roman" w:hAnsi="Times New Roman" w:cs="Times New Roman"/>
          <w:b/>
          <w:bCs/>
          <w:sz w:val="22"/>
          <w:szCs w:val="22"/>
        </w:rPr>
        <w:t>(A)</w:t>
      </w:r>
      <w:r w:rsidRPr="004100CF">
        <w:rPr>
          <w:rFonts w:ascii="Times New Roman" w:hAnsi="Times New Roman" w:cs="Times New Roman"/>
          <w:sz w:val="22"/>
          <w:szCs w:val="22"/>
        </w:rPr>
        <w:t xml:space="preserve"> Thermodynamic cycle illustrating how the alchemical transformations between WT</w:t>
      </w:r>
      <w:r w:rsidRPr="004100CF">
        <w:rPr>
          <w:rFonts w:ascii="Times New Roman" w:hAnsi="Times New Roman" w:cs="Times New Roman"/>
          <w:sz w:val="22"/>
          <w:szCs w:val="22"/>
        </w:rPr>
        <w:sym w:font="Symbol" w:char="F0AB"/>
      </w:r>
      <w:r w:rsidRPr="004100CF">
        <w:rPr>
          <w:rFonts w:ascii="Times New Roman" w:hAnsi="Times New Roman" w:cs="Times New Roman"/>
          <w:sz w:val="22"/>
          <w:szCs w:val="22"/>
        </w:rPr>
        <w:t xml:space="preserve">Mut configurations </w:t>
      </w:r>
      <w:r w:rsidR="000073C6" w:rsidRPr="004100CF">
        <w:rPr>
          <w:rFonts w:ascii="Times New Roman" w:hAnsi="Times New Roman" w:cs="Times New Roman"/>
          <w:sz w:val="22"/>
          <w:szCs w:val="22"/>
        </w:rPr>
        <w:t xml:space="preserve">in </w:t>
      </w:r>
      <w:r w:rsidR="000073C6" w:rsidRPr="004100CF">
        <w:rPr>
          <w:rFonts w:ascii="Times New Roman" w:hAnsi="Times New Roman" w:cs="Times New Roman"/>
          <w:i/>
          <w:iCs/>
          <w:sz w:val="22"/>
          <w:szCs w:val="22"/>
        </w:rPr>
        <w:t xml:space="preserve">holo </w:t>
      </w:r>
      <w:r w:rsidR="000073C6" w:rsidRPr="004100CF">
        <w:rPr>
          <w:rFonts w:ascii="Times New Roman" w:hAnsi="Times New Roman" w:cs="Times New Roman"/>
          <w:sz w:val="22"/>
          <w:szCs w:val="22"/>
        </w:rPr>
        <w:t xml:space="preserve">and </w:t>
      </w:r>
      <w:r w:rsidR="000073C6" w:rsidRPr="004100CF">
        <w:rPr>
          <w:rFonts w:ascii="Times New Roman" w:hAnsi="Times New Roman" w:cs="Times New Roman"/>
          <w:i/>
          <w:iCs/>
          <w:sz w:val="22"/>
          <w:szCs w:val="22"/>
        </w:rPr>
        <w:t xml:space="preserve">apo </w:t>
      </w:r>
      <w:r w:rsidR="000073C6" w:rsidRPr="004100CF">
        <w:rPr>
          <w:rFonts w:ascii="Times New Roman" w:hAnsi="Times New Roman" w:cs="Times New Roman"/>
          <w:sz w:val="22"/>
          <w:szCs w:val="22"/>
        </w:rPr>
        <w:t xml:space="preserve">states </w:t>
      </w:r>
      <w:r w:rsidRPr="004100CF">
        <w:rPr>
          <w:rFonts w:ascii="Times New Roman" w:hAnsi="Times New Roman" w:cs="Times New Roman"/>
          <w:sz w:val="22"/>
          <w:szCs w:val="22"/>
        </w:rPr>
        <w:t xml:space="preserve">provide the same ∆∆G </w:t>
      </w:r>
      <w:r w:rsidR="000073C6" w:rsidRPr="004100CF">
        <w:rPr>
          <w:rFonts w:ascii="Times New Roman" w:hAnsi="Times New Roman" w:cs="Times New Roman"/>
          <w:sz w:val="22"/>
          <w:szCs w:val="22"/>
        </w:rPr>
        <w:t>result as the binding free energy, ∆G, change from WT to Mut</w:t>
      </w:r>
      <w:r w:rsidRPr="004100CF">
        <w:rPr>
          <w:rFonts w:ascii="Times New Roman" w:hAnsi="Times New Roman" w:cs="Times New Roman"/>
          <w:sz w:val="22"/>
          <w:szCs w:val="22"/>
        </w:rPr>
        <w:t xml:space="preserve">. </w:t>
      </w:r>
      <w:r w:rsidRPr="004100CF">
        <w:rPr>
          <w:rFonts w:ascii="Times New Roman" w:hAnsi="Times New Roman" w:cs="Times New Roman"/>
          <w:b/>
          <w:bCs/>
          <w:sz w:val="22"/>
          <w:szCs w:val="22"/>
        </w:rPr>
        <w:t xml:space="preserve">(B) </w:t>
      </w:r>
      <w:r w:rsidRPr="004100CF">
        <w:rPr>
          <w:rFonts w:ascii="Times New Roman" w:hAnsi="Times New Roman" w:cs="Times New Roman"/>
          <w:sz w:val="22"/>
          <w:szCs w:val="22"/>
        </w:rPr>
        <w:t xml:space="preserve">Visualization of </w:t>
      </w:r>
      <w:r w:rsidR="000073C6" w:rsidRPr="004100CF">
        <w:rPr>
          <w:rFonts w:ascii="Times New Roman" w:hAnsi="Times New Roman" w:cs="Times New Roman"/>
          <w:sz w:val="22"/>
          <w:szCs w:val="22"/>
        </w:rPr>
        <w:t>the hybrid residue topology used to drive the transition between WT (</w:t>
      </w:r>
      <w:r w:rsidR="000073C6" w:rsidRPr="004100CF">
        <w:rPr>
          <w:rFonts w:ascii="Times New Roman" w:hAnsi="Times New Roman" w:cs="Times New Roman"/>
          <w:sz w:val="22"/>
          <w:szCs w:val="22"/>
        </w:rPr>
        <w:sym w:font="Symbol" w:char="F06C"/>
      </w:r>
      <w:r w:rsidR="000073C6" w:rsidRPr="004100CF">
        <w:rPr>
          <w:rFonts w:ascii="Times New Roman" w:hAnsi="Times New Roman" w:cs="Times New Roman"/>
          <w:sz w:val="22"/>
          <w:szCs w:val="22"/>
        </w:rPr>
        <w:t xml:space="preserve"> = 0) and Mut (</w:t>
      </w:r>
      <w:r w:rsidR="000073C6" w:rsidRPr="004100CF">
        <w:rPr>
          <w:rFonts w:ascii="Times New Roman" w:hAnsi="Times New Roman" w:cs="Times New Roman"/>
          <w:sz w:val="22"/>
          <w:szCs w:val="22"/>
        </w:rPr>
        <w:sym w:font="Symbol" w:char="F06C"/>
      </w:r>
      <w:r w:rsidR="000073C6" w:rsidRPr="004100CF">
        <w:rPr>
          <w:rFonts w:ascii="Times New Roman" w:hAnsi="Times New Roman" w:cs="Times New Roman"/>
          <w:sz w:val="22"/>
          <w:szCs w:val="22"/>
        </w:rPr>
        <w:t xml:space="preserve"> = 1). As an illustration, in case of V106A, the </w:t>
      </w:r>
      <w:r w:rsidR="002E236A" w:rsidRPr="004100CF">
        <w:rPr>
          <w:rFonts w:ascii="Times New Roman" w:hAnsi="Times New Roman" w:cs="Times New Roman"/>
          <w:sz w:val="22"/>
          <w:szCs w:val="22"/>
        </w:rPr>
        <w:t xml:space="preserve">RT p66 </w:t>
      </w:r>
      <w:r w:rsidR="000073C6" w:rsidRPr="004100CF">
        <w:rPr>
          <w:rFonts w:ascii="Times New Roman" w:hAnsi="Times New Roman" w:cs="Times New Roman"/>
          <w:sz w:val="22"/>
          <w:szCs w:val="22"/>
        </w:rPr>
        <w:t xml:space="preserve">residue 106 contains atoms for both Valine and Alanine: When </w:t>
      </w:r>
      <w:r w:rsidR="000073C6" w:rsidRPr="004100CF">
        <w:rPr>
          <w:rFonts w:ascii="Times New Roman" w:hAnsi="Times New Roman" w:cs="Times New Roman"/>
          <w:sz w:val="22"/>
          <w:szCs w:val="22"/>
        </w:rPr>
        <w:sym w:font="Symbol" w:char="F06C"/>
      </w:r>
      <w:r w:rsidR="000073C6" w:rsidRPr="004100CF">
        <w:rPr>
          <w:rFonts w:ascii="Times New Roman" w:hAnsi="Times New Roman" w:cs="Times New Roman"/>
          <w:sz w:val="22"/>
          <w:szCs w:val="22"/>
        </w:rPr>
        <w:t xml:space="preserve"> = 0, Valine sidechain atoms (green) are on and Alanine atoms (red) are off. When </w:t>
      </w:r>
      <w:r w:rsidR="000073C6" w:rsidRPr="004100CF">
        <w:rPr>
          <w:rFonts w:ascii="Times New Roman" w:hAnsi="Times New Roman" w:cs="Times New Roman"/>
          <w:sz w:val="22"/>
          <w:szCs w:val="22"/>
        </w:rPr>
        <w:sym w:font="Symbol" w:char="F06C"/>
      </w:r>
      <w:r w:rsidR="000073C6" w:rsidRPr="004100CF">
        <w:rPr>
          <w:rFonts w:ascii="Times New Roman" w:hAnsi="Times New Roman" w:cs="Times New Roman"/>
          <w:sz w:val="22"/>
          <w:szCs w:val="22"/>
        </w:rPr>
        <w:t xml:space="preserve"> = 1, Valine sidechain atoms are switched off and Alanine atoms are switched on. </w:t>
      </w:r>
      <w:r w:rsidRPr="004100CF">
        <w:rPr>
          <w:rFonts w:ascii="Times New Roman" w:hAnsi="Times New Roman" w:cs="Times New Roman"/>
          <w:b/>
          <w:bCs/>
          <w:sz w:val="22"/>
          <w:szCs w:val="22"/>
        </w:rPr>
        <w:t>(C)</w:t>
      </w:r>
      <w:r w:rsidRPr="004100CF">
        <w:rPr>
          <w:rFonts w:ascii="Times New Roman" w:hAnsi="Times New Roman" w:cs="Times New Roman"/>
          <w:i/>
          <w:iCs/>
          <w:sz w:val="22"/>
          <w:szCs w:val="22"/>
        </w:rPr>
        <w:t xml:space="preserve"> </w:t>
      </w:r>
      <w:r w:rsidR="002E236A" w:rsidRPr="004100CF">
        <w:rPr>
          <w:rFonts w:ascii="Times New Roman" w:hAnsi="Times New Roman" w:cs="Times New Roman"/>
          <w:sz w:val="22"/>
          <w:szCs w:val="22"/>
        </w:rPr>
        <w:t>Work done to mutate residues from WT</w:t>
      </w:r>
      <w:r w:rsidR="002E236A" w:rsidRPr="004100CF">
        <w:rPr>
          <w:rFonts w:ascii="Times New Roman" w:hAnsi="Times New Roman" w:cs="Times New Roman"/>
          <w:sz w:val="22"/>
          <w:szCs w:val="22"/>
        </w:rPr>
        <w:sym w:font="Wingdings" w:char="F0E0"/>
      </w:r>
      <w:r w:rsidR="002E236A" w:rsidRPr="004100CF">
        <w:rPr>
          <w:rFonts w:ascii="Times New Roman" w:hAnsi="Times New Roman" w:cs="Times New Roman"/>
          <w:sz w:val="22"/>
          <w:szCs w:val="22"/>
        </w:rPr>
        <w:t>Mut (Forward) and Mut</w:t>
      </w:r>
      <w:r w:rsidR="002E236A" w:rsidRPr="004100CF">
        <w:rPr>
          <w:rFonts w:ascii="Times New Roman" w:hAnsi="Times New Roman" w:cs="Times New Roman"/>
          <w:sz w:val="22"/>
          <w:szCs w:val="22"/>
        </w:rPr>
        <w:sym w:font="Wingdings" w:char="F0E0"/>
      </w:r>
      <w:r w:rsidR="002E236A" w:rsidRPr="004100CF">
        <w:rPr>
          <w:rFonts w:ascii="Times New Roman" w:hAnsi="Times New Roman" w:cs="Times New Roman"/>
          <w:sz w:val="22"/>
          <w:szCs w:val="22"/>
        </w:rPr>
        <w:t xml:space="preserve">WT (Reverse) is recorded and histogram over </w:t>
      </w:r>
      <w:r w:rsidR="002E236A" w:rsidRPr="004100CF">
        <w:rPr>
          <w:rFonts w:ascii="Times New Roman" w:hAnsi="Times New Roman" w:cs="Times New Roman"/>
          <w:i/>
          <w:iCs/>
          <w:sz w:val="22"/>
          <w:szCs w:val="22"/>
        </w:rPr>
        <w:t xml:space="preserve">N </w:t>
      </w:r>
      <w:r w:rsidR="002E236A" w:rsidRPr="004100CF">
        <w:rPr>
          <w:rFonts w:ascii="Times New Roman" w:hAnsi="Times New Roman" w:cs="Times New Roman"/>
          <w:sz w:val="22"/>
          <w:szCs w:val="22"/>
        </w:rPr>
        <w:t xml:space="preserve">= 100 switches in both directions is plotted to get the ∆G value in both </w:t>
      </w:r>
      <w:r w:rsidR="002E236A" w:rsidRPr="004100CF">
        <w:rPr>
          <w:rFonts w:ascii="Times New Roman" w:hAnsi="Times New Roman" w:cs="Times New Roman"/>
          <w:i/>
          <w:iCs/>
          <w:sz w:val="22"/>
          <w:szCs w:val="22"/>
        </w:rPr>
        <w:t xml:space="preserve">holo </w:t>
      </w:r>
      <w:r w:rsidR="002E236A" w:rsidRPr="004100CF">
        <w:rPr>
          <w:rFonts w:ascii="Times New Roman" w:hAnsi="Times New Roman" w:cs="Times New Roman"/>
          <w:sz w:val="22"/>
          <w:szCs w:val="22"/>
        </w:rPr>
        <w:t xml:space="preserve">and </w:t>
      </w:r>
      <w:r w:rsidR="002E236A" w:rsidRPr="004100CF">
        <w:rPr>
          <w:rFonts w:ascii="Times New Roman" w:hAnsi="Times New Roman" w:cs="Times New Roman"/>
          <w:i/>
          <w:iCs/>
          <w:sz w:val="22"/>
          <w:szCs w:val="22"/>
        </w:rPr>
        <w:t xml:space="preserve">apo </w:t>
      </w:r>
      <w:r w:rsidR="002E236A" w:rsidRPr="004100CF">
        <w:rPr>
          <w:rFonts w:ascii="Times New Roman" w:hAnsi="Times New Roman" w:cs="Times New Roman"/>
          <w:sz w:val="22"/>
          <w:szCs w:val="22"/>
        </w:rPr>
        <w:t xml:space="preserve">configurations. </w:t>
      </w:r>
      <w:r w:rsidR="002E236A" w:rsidRPr="004100CF">
        <w:rPr>
          <w:rFonts w:ascii="Times New Roman" w:hAnsi="Times New Roman" w:cs="Times New Roman"/>
          <w:b/>
          <w:bCs/>
          <w:sz w:val="22"/>
          <w:szCs w:val="22"/>
        </w:rPr>
        <w:t>(D)</w:t>
      </w:r>
      <w:r w:rsidR="002E236A" w:rsidRPr="004100CF">
        <w:rPr>
          <w:rFonts w:ascii="Times New Roman" w:hAnsi="Times New Roman" w:cs="Times New Roman"/>
          <w:sz w:val="22"/>
          <w:szCs w:val="22"/>
        </w:rPr>
        <w:t xml:space="preserve"> Shift in binding free energy, ∆∆G</w:t>
      </w:r>
      <w:r w:rsidR="002E236A" w:rsidRPr="004100CF">
        <w:rPr>
          <w:rFonts w:ascii="Times New Roman" w:hAnsi="Times New Roman" w:cs="Times New Roman"/>
          <w:sz w:val="22"/>
          <w:szCs w:val="22"/>
          <w:vertAlign w:val="subscript"/>
        </w:rPr>
        <w:t>bind</w:t>
      </w:r>
      <w:r w:rsidR="002E236A" w:rsidRPr="004100CF">
        <w:rPr>
          <w:rFonts w:ascii="Times New Roman" w:hAnsi="Times New Roman" w:cs="Times New Roman"/>
          <w:sz w:val="22"/>
          <w:szCs w:val="22"/>
        </w:rPr>
        <w:t>, computed using this protocol plotted against median DOR fold-reduction values for each genotype. Error bars denote standard error</w:t>
      </w:r>
      <w:r w:rsidR="00DD61CC" w:rsidRPr="004100CF">
        <w:rPr>
          <w:rFonts w:ascii="Times New Roman" w:hAnsi="Times New Roman" w:cs="Times New Roman"/>
          <w:sz w:val="22"/>
          <w:szCs w:val="22"/>
        </w:rPr>
        <w:t>s</w:t>
      </w:r>
      <w:r w:rsidR="002E236A" w:rsidRPr="004100CF">
        <w:rPr>
          <w:rFonts w:ascii="Times New Roman" w:hAnsi="Times New Roman" w:cs="Times New Roman"/>
          <w:sz w:val="22"/>
          <w:szCs w:val="22"/>
        </w:rPr>
        <w:t xml:space="preserve"> of the mean across triplicates.</w:t>
      </w:r>
    </w:p>
    <w:p w14:paraId="0EB7409B" w14:textId="77777777" w:rsidR="007E05DC" w:rsidRDefault="007E05DC" w:rsidP="007E05DC">
      <w:pPr>
        <w:spacing w:after="240"/>
        <w:rPr>
          <w:rFonts w:ascii="Times New Roman" w:hAnsi="Times New Roman" w:cs="Times New Roman"/>
        </w:rPr>
      </w:pPr>
      <w:r w:rsidRPr="004100CF">
        <w:rPr>
          <w:rFonts w:ascii="Times New Roman" w:hAnsi="Times New Roman" w:cs="Times New Roman"/>
        </w:rPr>
        <w:t>First, we observe that 3 out of 4 “Susceptible” mutations are predicted to have weak impact on RT-DOR binding free energy (∆∆G</w:t>
      </w:r>
      <w:r w:rsidRPr="004100CF">
        <w:rPr>
          <w:rFonts w:ascii="Times New Roman" w:hAnsi="Times New Roman" w:cs="Times New Roman"/>
          <w:vertAlign w:val="subscript"/>
        </w:rPr>
        <w:t xml:space="preserve">bind </w:t>
      </w:r>
      <w:r w:rsidRPr="004100CF">
        <w:rPr>
          <w:rFonts w:ascii="Times New Roman" w:hAnsi="Times New Roman" w:cs="Times New Roman"/>
        </w:rPr>
        <w:t>&lt; 0.5kcal/mol within error) with V106I as the strong exception. Conversely, 7 out of 9 “Resistant” mutations are predicted to have strong impact on RT-DOR binding free energy (∆∆G</w:t>
      </w:r>
      <w:r w:rsidRPr="004100CF">
        <w:rPr>
          <w:rFonts w:ascii="Times New Roman" w:hAnsi="Times New Roman" w:cs="Times New Roman"/>
          <w:vertAlign w:val="subscript"/>
        </w:rPr>
        <w:t xml:space="preserve">bind </w:t>
      </w:r>
      <w:r w:rsidRPr="004100CF">
        <w:rPr>
          <w:rFonts w:ascii="Times New Roman" w:hAnsi="Times New Roman" w:cs="Times New Roman"/>
        </w:rPr>
        <w:t>&gt; 0.5kcal/mol within error) with A98G+F227C and K103N+M230L as the exceptions. In this respect, amongst the mutations in the “Uncertain” phenotype category, only K103N+L100I is predicted to have a weak impact on RT-DOR binding free energy, and the rest are predicted to have a strong impact.</w:t>
      </w:r>
    </w:p>
    <w:p w14:paraId="4E7CC69E" w14:textId="77777777" w:rsidR="00C06CDC" w:rsidRDefault="00C06CDC" w:rsidP="00C06CDC">
      <w:pPr>
        <w:spacing w:after="240"/>
        <w:rPr>
          <w:rFonts w:ascii="Times New Roman" w:hAnsi="Times New Roman" w:cs="Times New Roman"/>
        </w:rPr>
      </w:pPr>
      <w:r w:rsidRPr="004100CF">
        <w:rPr>
          <w:rFonts w:ascii="Times New Roman" w:hAnsi="Times New Roman" w:cs="Times New Roman"/>
        </w:rPr>
        <w:lastRenderedPageBreak/>
        <w:t>Second, only 1 out of 4 Susceptible mutations, K103N, is predicted to have weak impact on RT-DOR interface energy (∆∆E</w:t>
      </w:r>
      <w:r w:rsidRPr="004100CF">
        <w:rPr>
          <w:rFonts w:ascii="Times New Roman" w:hAnsi="Times New Roman" w:cs="Times New Roman"/>
          <w:vertAlign w:val="subscript"/>
        </w:rPr>
        <w:t>Total</w:t>
      </w:r>
      <w:r w:rsidRPr="004100CF">
        <w:rPr>
          <w:rFonts w:ascii="Times New Roman" w:hAnsi="Times New Roman" w:cs="Times New Roman"/>
        </w:rPr>
        <w:t xml:space="preserve"> &lt; 0.5kcal/mol within error). </w:t>
      </w:r>
      <w:commentRangeStart w:id="4"/>
      <w:r w:rsidRPr="004100CF">
        <w:rPr>
          <w:rFonts w:ascii="Times New Roman" w:hAnsi="Times New Roman" w:cs="Times New Roman"/>
        </w:rPr>
        <w:t>8 out of 9 Resistant mutations are predicted to have strong impact on RT-DOR interface energy (∆∆E</w:t>
      </w:r>
      <w:r w:rsidRPr="004100CF">
        <w:rPr>
          <w:rFonts w:ascii="Times New Roman" w:hAnsi="Times New Roman" w:cs="Times New Roman"/>
          <w:vertAlign w:val="subscript"/>
        </w:rPr>
        <w:t>Total</w:t>
      </w:r>
      <w:r w:rsidRPr="004100CF">
        <w:rPr>
          <w:rFonts w:ascii="Times New Roman" w:hAnsi="Times New Roman" w:cs="Times New Roman"/>
        </w:rPr>
        <w:t xml:space="preserve"> &gt; 0.5kcal/mol within error) with K103N+M230L as the only exception</w:t>
      </w:r>
      <w:commentRangeEnd w:id="4"/>
      <w:r w:rsidR="00AF4BCB" w:rsidRPr="004100CF">
        <w:rPr>
          <w:rStyle w:val="CommentReference"/>
          <w:rFonts w:ascii="Times New Roman" w:hAnsi="Times New Roman" w:cs="Times New Roman"/>
          <w:sz w:val="24"/>
          <w:szCs w:val="21"/>
        </w:rPr>
        <w:commentReference w:id="4"/>
      </w:r>
      <w:r w:rsidRPr="004100CF">
        <w:rPr>
          <w:rFonts w:ascii="Times New Roman" w:hAnsi="Times New Roman" w:cs="Times New Roman"/>
        </w:rPr>
        <w:t>. By the same logic, amongst the Uncertain phenotype, K103N+L100I and K103N+P225H are predicted to have weak impact on RT-DOR interface energy, while the rest are predicted to have a strong impact. Out of the 13 genotypes predicted to have positive ∆∆E</w:t>
      </w:r>
      <w:r w:rsidRPr="004100CF">
        <w:rPr>
          <w:rFonts w:ascii="Times New Roman" w:hAnsi="Times New Roman" w:cs="Times New Roman"/>
          <w:vertAlign w:val="subscript"/>
        </w:rPr>
        <w:t>Total</w:t>
      </w:r>
      <w:r w:rsidRPr="004100CF">
        <w:rPr>
          <w:rFonts w:ascii="Times New Roman" w:hAnsi="Times New Roman" w:cs="Times New Roman"/>
        </w:rPr>
        <w:t xml:space="preserve"> (within error), 9 of them involve ∆∆E</w:t>
      </w:r>
      <w:r w:rsidRPr="004100CF">
        <w:rPr>
          <w:rFonts w:ascii="Times New Roman" w:hAnsi="Times New Roman" w:cs="Times New Roman"/>
          <w:vertAlign w:val="subscript"/>
        </w:rPr>
        <w:t>vdW</w:t>
      </w:r>
      <w:r w:rsidRPr="004100CF">
        <w:rPr>
          <w:rFonts w:ascii="Times New Roman" w:hAnsi="Times New Roman" w:cs="Times New Roman"/>
        </w:rPr>
        <w:t xml:space="preserve"> as the dominant contribution. In the remaining 4 genotypes, ∆∆E</w:t>
      </w:r>
      <w:r w:rsidRPr="004100CF">
        <w:rPr>
          <w:rFonts w:ascii="Times New Roman" w:hAnsi="Times New Roman" w:cs="Times New Roman"/>
          <w:vertAlign w:val="subscript"/>
        </w:rPr>
        <w:t>GB</w:t>
      </w:r>
      <w:r w:rsidRPr="004100CF">
        <w:rPr>
          <w:rFonts w:ascii="Times New Roman" w:hAnsi="Times New Roman" w:cs="Times New Roman"/>
        </w:rPr>
        <w:t xml:space="preserve"> has the major contribution. ∆∆E</w:t>
      </w:r>
      <w:r w:rsidRPr="004100CF">
        <w:rPr>
          <w:rFonts w:ascii="Times New Roman" w:hAnsi="Times New Roman" w:cs="Times New Roman"/>
          <w:vertAlign w:val="subscript"/>
        </w:rPr>
        <w:t>elec</w:t>
      </w:r>
      <w:r w:rsidRPr="004100CF">
        <w:rPr>
          <w:rFonts w:ascii="Times New Roman" w:hAnsi="Times New Roman" w:cs="Times New Roman"/>
        </w:rPr>
        <w:t xml:space="preserve"> exhibits </w:t>
      </w:r>
      <w:r w:rsidRPr="004100CF">
        <w:rPr>
          <w:rFonts w:ascii="Times New Roman" w:hAnsi="Times New Roman" w:cs="Times New Roman"/>
          <w:i/>
          <w:iCs/>
        </w:rPr>
        <w:t xml:space="preserve">negative </w:t>
      </w:r>
      <w:r w:rsidRPr="004100CF">
        <w:rPr>
          <w:rFonts w:ascii="Times New Roman" w:hAnsi="Times New Roman" w:cs="Times New Roman"/>
        </w:rPr>
        <w:t>values in case of 10 out of the 18 genotypes, while ∆∆E</w:t>
      </w:r>
      <w:r w:rsidRPr="004100CF">
        <w:rPr>
          <w:rFonts w:ascii="Times New Roman" w:hAnsi="Times New Roman" w:cs="Times New Roman"/>
          <w:vertAlign w:val="subscript"/>
        </w:rPr>
        <w:t>SA</w:t>
      </w:r>
      <w:r w:rsidRPr="004100CF">
        <w:rPr>
          <w:rFonts w:ascii="Times New Roman" w:hAnsi="Times New Roman" w:cs="Times New Roman"/>
        </w:rPr>
        <w:t xml:space="preserve"> contributions are universally insignificant.</w:t>
      </w:r>
    </w:p>
    <w:p w14:paraId="75D01D33" w14:textId="2D4F18F2" w:rsidR="00F908FC" w:rsidRPr="00C06CDC" w:rsidRDefault="00F908FC" w:rsidP="00C06CDC">
      <w:pPr>
        <w:spacing w:after="240"/>
        <w:rPr>
          <w:rFonts w:ascii="Times New Roman" w:hAnsi="Times New Roman" w:cs="Times New Roman"/>
        </w:rPr>
      </w:pPr>
      <w:r w:rsidRPr="004100CF">
        <w:rPr>
          <w:rFonts w:ascii="Times New Roman" w:hAnsi="Times New Roman" w:cs="Times New Roman"/>
          <w:b/>
          <w:bCs/>
          <w:color w:val="000000"/>
          <w:sz w:val="22"/>
          <w:szCs w:val="22"/>
        </w:rPr>
        <w:t>Table 2. WT-referenced MM/GBSA energy shifts</w:t>
      </w:r>
      <w:r w:rsidR="00627654" w:rsidRPr="004100CF">
        <w:rPr>
          <w:rFonts w:ascii="Times New Roman" w:hAnsi="Times New Roman" w:cs="Times New Roman"/>
          <w:b/>
          <w:bCs/>
          <w:color w:val="000000"/>
          <w:sz w:val="22"/>
          <w:szCs w:val="22"/>
        </w:rPr>
        <w:t>, ∆∆E,</w:t>
      </w:r>
      <w:r w:rsidRPr="004100CF">
        <w:rPr>
          <w:rFonts w:ascii="Times New Roman" w:hAnsi="Times New Roman" w:cs="Times New Roman"/>
          <w:b/>
          <w:bCs/>
          <w:color w:val="000000"/>
          <w:sz w:val="22"/>
          <w:szCs w:val="22"/>
        </w:rPr>
        <w:t xml:space="preserve"> </w:t>
      </w:r>
      <w:r w:rsidR="00674E9E" w:rsidRPr="004100CF">
        <w:rPr>
          <w:rFonts w:ascii="Times New Roman" w:hAnsi="Times New Roman" w:cs="Times New Roman"/>
          <w:b/>
          <w:bCs/>
          <w:color w:val="000000"/>
          <w:sz w:val="22"/>
          <w:szCs w:val="22"/>
        </w:rPr>
        <w:t>from equilibrium MD and Binding Free Energy changes</w:t>
      </w:r>
      <w:r w:rsidR="00627654" w:rsidRPr="004100CF">
        <w:rPr>
          <w:rFonts w:ascii="Times New Roman" w:hAnsi="Times New Roman" w:cs="Times New Roman"/>
          <w:b/>
          <w:bCs/>
          <w:color w:val="000000"/>
          <w:sz w:val="22"/>
          <w:szCs w:val="22"/>
        </w:rPr>
        <w:t>, ∆∆G,</w:t>
      </w:r>
      <w:r w:rsidR="00674E9E" w:rsidRPr="004100CF">
        <w:rPr>
          <w:rFonts w:ascii="Times New Roman" w:hAnsi="Times New Roman" w:cs="Times New Roman"/>
          <w:b/>
          <w:bCs/>
          <w:color w:val="000000"/>
          <w:sz w:val="22"/>
          <w:szCs w:val="22"/>
        </w:rPr>
        <w:t xml:space="preserve">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090"/>
        <w:gridCol w:w="1160"/>
        <w:gridCol w:w="1260"/>
      </w:tblGrid>
      <w:tr w:rsidR="00674E9E" w:rsidRPr="004100CF" w14:paraId="0F0D8699" w14:textId="65261841" w:rsidTr="00B96F1D">
        <w:trPr>
          <w:trHeight w:val="539"/>
        </w:trPr>
        <w:tc>
          <w:tcPr>
            <w:tcW w:w="1260" w:type="dxa"/>
            <w:tcBorders>
              <w:top w:val="single" w:sz="4" w:space="0" w:color="auto"/>
              <w:bottom w:val="single" w:sz="4" w:space="0" w:color="auto"/>
            </w:tcBorders>
            <w:hideMark/>
          </w:tcPr>
          <w:p w14:paraId="4BFD2C15" w14:textId="77777777" w:rsidR="00674E9E" w:rsidRPr="004100CF" w:rsidRDefault="00674E9E" w:rsidP="005A06D4">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Mutation category</w:t>
            </w:r>
          </w:p>
        </w:tc>
        <w:tc>
          <w:tcPr>
            <w:tcW w:w="1080" w:type="dxa"/>
            <w:tcBorders>
              <w:top w:val="single" w:sz="4" w:space="0" w:color="auto"/>
              <w:bottom w:val="single" w:sz="4" w:space="0" w:color="auto"/>
            </w:tcBorders>
            <w:hideMark/>
          </w:tcPr>
          <w:p w14:paraId="4A90F386" w14:textId="77777777" w:rsidR="00674E9E" w:rsidRPr="004100CF" w:rsidRDefault="00674E9E" w:rsidP="005A06D4">
            <w:pPr>
              <w:spacing w:line="480" w:lineRule="auto"/>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Mutation</w:t>
            </w:r>
          </w:p>
        </w:tc>
        <w:tc>
          <w:tcPr>
            <w:tcW w:w="1170" w:type="dxa"/>
            <w:tcBorders>
              <w:top w:val="single" w:sz="4" w:space="0" w:color="auto"/>
              <w:bottom w:val="single" w:sz="4" w:space="0" w:color="auto"/>
            </w:tcBorders>
            <w:hideMark/>
          </w:tcPr>
          <w:p w14:paraId="35DB49FA" w14:textId="190E5A44" w:rsidR="00674E9E" w:rsidRPr="004100CF" w:rsidRDefault="00674E9E" w:rsidP="005A06D4">
            <w:pPr>
              <w:jc w:val="center"/>
              <w:rPr>
                <w:rFonts w:ascii="Times New Roman" w:hAnsi="Times New Roman" w:cs="Times New Roman"/>
                <w:b/>
                <w:bCs/>
                <w:color w:val="000000"/>
                <w:sz w:val="20"/>
                <w:szCs w:val="20"/>
              </w:rPr>
            </w:pPr>
            <w:commentRangeStart w:id="5"/>
            <w:r w:rsidRPr="004100CF">
              <w:rPr>
                <w:rFonts w:ascii="Times New Roman" w:hAnsi="Times New Roman" w:cs="Times New Roman"/>
                <w:b/>
                <w:bCs/>
                <w:color w:val="000000"/>
                <w:sz w:val="20"/>
                <w:szCs w:val="20"/>
              </w:rPr>
              <w:t>∆∆E</w:t>
            </w:r>
            <w:r w:rsidRPr="004100CF">
              <w:rPr>
                <w:rFonts w:ascii="Times New Roman" w:hAnsi="Times New Roman" w:cs="Times New Roman"/>
                <w:b/>
                <w:bCs/>
                <w:color w:val="000000"/>
                <w:sz w:val="20"/>
                <w:szCs w:val="20"/>
                <w:vertAlign w:val="subscript"/>
              </w:rPr>
              <w:t>Total</w:t>
            </w:r>
            <w:r w:rsidR="00B96F1D" w:rsidRPr="004100CF">
              <w:rPr>
                <w:rFonts w:ascii="Times New Roman" w:hAnsi="Times New Roman" w:cs="Times New Roman"/>
                <w:b/>
                <w:bCs/>
                <w:color w:val="000000"/>
                <w:sz w:val="20"/>
                <w:szCs w:val="20"/>
                <w:vertAlign w:val="superscript"/>
              </w:rPr>
              <w:t>*</w:t>
            </w:r>
            <w:r w:rsidRPr="004100CF">
              <w:rPr>
                <w:rFonts w:ascii="Times New Roman" w:hAnsi="Times New Roman" w:cs="Times New Roman"/>
                <w:b/>
                <w:bCs/>
                <w:color w:val="000000"/>
                <w:sz w:val="20"/>
                <w:szCs w:val="20"/>
              </w:rPr>
              <w:t xml:space="preserve"> (kcal/mol)</w:t>
            </w:r>
          </w:p>
        </w:tc>
        <w:tc>
          <w:tcPr>
            <w:tcW w:w="1170" w:type="dxa"/>
            <w:tcBorders>
              <w:top w:val="single" w:sz="4" w:space="0" w:color="auto"/>
              <w:bottom w:val="single" w:sz="4" w:space="0" w:color="auto"/>
            </w:tcBorders>
            <w:hideMark/>
          </w:tcPr>
          <w:p w14:paraId="38B1BDAF" w14:textId="582C3BF6" w:rsidR="00674E9E" w:rsidRPr="004100CF" w:rsidRDefault="00674E9E" w:rsidP="005A06D4">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∆∆E</w:t>
            </w:r>
            <w:r w:rsidRPr="004100CF">
              <w:rPr>
                <w:rFonts w:ascii="Times New Roman" w:hAnsi="Times New Roman" w:cs="Times New Roman"/>
                <w:b/>
                <w:bCs/>
                <w:color w:val="000000"/>
                <w:sz w:val="20"/>
                <w:szCs w:val="20"/>
                <w:vertAlign w:val="subscript"/>
              </w:rPr>
              <w:t>vdW</w:t>
            </w:r>
            <w:r w:rsidR="00B96F1D" w:rsidRPr="004100CF">
              <w:rPr>
                <w:rFonts w:ascii="Times New Roman" w:hAnsi="Times New Roman" w:cs="Times New Roman"/>
                <w:b/>
                <w:bCs/>
                <w:color w:val="000000"/>
                <w:sz w:val="20"/>
                <w:szCs w:val="20"/>
                <w:vertAlign w:val="superscript"/>
              </w:rPr>
              <w:t>*</w:t>
            </w:r>
            <w:r w:rsidR="00B96F1D" w:rsidRPr="004100CF">
              <w:rPr>
                <w:rFonts w:ascii="Times New Roman" w:hAnsi="Times New Roman" w:cs="Times New Roman"/>
                <w:b/>
                <w:bCs/>
                <w:color w:val="000000"/>
                <w:sz w:val="20"/>
                <w:szCs w:val="20"/>
              </w:rPr>
              <w:t xml:space="preserve"> </w:t>
            </w:r>
            <w:r w:rsidRPr="004100CF">
              <w:rPr>
                <w:rFonts w:ascii="Times New Roman" w:hAnsi="Times New Roman" w:cs="Times New Roman"/>
                <w:b/>
                <w:bCs/>
                <w:color w:val="000000"/>
                <w:sz w:val="20"/>
                <w:szCs w:val="20"/>
              </w:rPr>
              <w:t>(kcal/mol)</w:t>
            </w:r>
          </w:p>
        </w:tc>
        <w:tc>
          <w:tcPr>
            <w:tcW w:w="1170" w:type="dxa"/>
            <w:tcBorders>
              <w:top w:val="single" w:sz="4" w:space="0" w:color="auto"/>
              <w:bottom w:val="single" w:sz="4" w:space="0" w:color="auto"/>
            </w:tcBorders>
            <w:hideMark/>
          </w:tcPr>
          <w:p w14:paraId="15C6AF74" w14:textId="340541B5" w:rsidR="00674E9E" w:rsidRPr="004100CF" w:rsidRDefault="00674E9E" w:rsidP="005A06D4">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∆∆E</w:t>
            </w:r>
            <w:r w:rsidRPr="004100CF">
              <w:rPr>
                <w:rFonts w:ascii="Times New Roman" w:hAnsi="Times New Roman" w:cs="Times New Roman"/>
                <w:b/>
                <w:bCs/>
                <w:color w:val="000000"/>
                <w:sz w:val="20"/>
                <w:szCs w:val="20"/>
                <w:vertAlign w:val="subscript"/>
              </w:rPr>
              <w:t>elec</w:t>
            </w:r>
            <w:r w:rsidR="00B96F1D" w:rsidRPr="004100CF">
              <w:rPr>
                <w:rFonts w:ascii="Times New Roman" w:hAnsi="Times New Roman" w:cs="Times New Roman"/>
                <w:b/>
                <w:bCs/>
                <w:color w:val="000000"/>
                <w:sz w:val="20"/>
                <w:szCs w:val="20"/>
                <w:vertAlign w:val="superscript"/>
              </w:rPr>
              <w:t>*</w:t>
            </w:r>
            <w:r w:rsidR="00B96F1D" w:rsidRPr="004100CF">
              <w:rPr>
                <w:rFonts w:ascii="Times New Roman" w:hAnsi="Times New Roman" w:cs="Times New Roman"/>
                <w:b/>
                <w:bCs/>
                <w:color w:val="000000"/>
                <w:sz w:val="20"/>
                <w:szCs w:val="20"/>
              </w:rPr>
              <w:t xml:space="preserve"> </w:t>
            </w:r>
            <w:r w:rsidRPr="004100CF">
              <w:rPr>
                <w:rFonts w:ascii="Times New Roman" w:hAnsi="Times New Roman" w:cs="Times New Roman"/>
                <w:b/>
                <w:bCs/>
                <w:color w:val="000000"/>
                <w:sz w:val="20"/>
                <w:szCs w:val="20"/>
              </w:rPr>
              <w:t>(kcal/mol)</w:t>
            </w:r>
          </w:p>
        </w:tc>
        <w:tc>
          <w:tcPr>
            <w:tcW w:w="1090" w:type="dxa"/>
            <w:tcBorders>
              <w:top w:val="single" w:sz="4" w:space="0" w:color="auto"/>
              <w:bottom w:val="single" w:sz="4" w:space="0" w:color="auto"/>
            </w:tcBorders>
          </w:tcPr>
          <w:p w14:paraId="0245B68F" w14:textId="48B68177" w:rsidR="00674E9E" w:rsidRPr="004100CF" w:rsidRDefault="00674E9E" w:rsidP="005A06D4">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∆∆E</w:t>
            </w:r>
            <w:r w:rsidRPr="004100CF">
              <w:rPr>
                <w:rFonts w:ascii="Times New Roman" w:hAnsi="Times New Roman" w:cs="Times New Roman"/>
                <w:b/>
                <w:bCs/>
                <w:color w:val="000000"/>
                <w:sz w:val="20"/>
                <w:szCs w:val="20"/>
                <w:vertAlign w:val="subscript"/>
              </w:rPr>
              <w:t>GB</w:t>
            </w:r>
            <w:r w:rsidR="00B96F1D" w:rsidRPr="004100CF">
              <w:rPr>
                <w:rFonts w:ascii="Times New Roman" w:hAnsi="Times New Roman" w:cs="Times New Roman"/>
                <w:b/>
                <w:bCs/>
                <w:color w:val="000000"/>
                <w:sz w:val="20"/>
                <w:szCs w:val="20"/>
                <w:vertAlign w:val="superscript"/>
              </w:rPr>
              <w:t>*</w:t>
            </w:r>
            <w:r w:rsidR="00B96F1D" w:rsidRPr="004100CF">
              <w:rPr>
                <w:rFonts w:ascii="Times New Roman" w:hAnsi="Times New Roman" w:cs="Times New Roman"/>
                <w:b/>
                <w:bCs/>
                <w:color w:val="000000"/>
                <w:sz w:val="20"/>
                <w:szCs w:val="20"/>
              </w:rPr>
              <w:t xml:space="preserve"> </w:t>
            </w:r>
            <w:r w:rsidRPr="004100CF">
              <w:rPr>
                <w:rFonts w:ascii="Times New Roman" w:hAnsi="Times New Roman" w:cs="Times New Roman"/>
                <w:b/>
                <w:bCs/>
                <w:color w:val="000000"/>
                <w:sz w:val="20"/>
                <w:szCs w:val="20"/>
              </w:rPr>
              <w:t>(kcal/mol)</w:t>
            </w:r>
          </w:p>
        </w:tc>
        <w:tc>
          <w:tcPr>
            <w:tcW w:w="1160" w:type="dxa"/>
            <w:tcBorders>
              <w:top w:val="single" w:sz="4" w:space="0" w:color="auto"/>
              <w:bottom w:val="single" w:sz="4" w:space="0" w:color="auto"/>
            </w:tcBorders>
          </w:tcPr>
          <w:p w14:paraId="47792F04" w14:textId="1C917B5D" w:rsidR="00674E9E" w:rsidRPr="004100CF" w:rsidRDefault="00674E9E" w:rsidP="005A06D4">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∆∆E</w:t>
            </w:r>
            <w:r w:rsidRPr="004100CF">
              <w:rPr>
                <w:rFonts w:ascii="Times New Roman" w:hAnsi="Times New Roman" w:cs="Times New Roman"/>
                <w:b/>
                <w:bCs/>
                <w:color w:val="000000"/>
                <w:sz w:val="20"/>
                <w:szCs w:val="20"/>
                <w:vertAlign w:val="subscript"/>
              </w:rPr>
              <w:t>SA</w:t>
            </w:r>
            <w:r w:rsidR="00B96F1D" w:rsidRPr="004100CF">
              <w:rPr>
                <w:rFonts w:ascii="Times New Roman" w:hAnsi="Times New Roman" w:cs="Times New Roman"/>
                <w:b/>
                <w:bCs/>
                <w:color w:val="000000"/>
                <w:sz w:val="20"/>
                <w:szCs w:val="20"/>
                <w:vertAlign w:val="superscript"/>
              </w:rPr>
              <w:t>*</w:t>
            </w:r>
            <w:r w:rsidR="00B96F1D" w:rsidRPr="004100CF">
              <w:rPr>
                <w:rFonts w:ascii="Times New Roman" w:hAnsi="Times New Roman" w:cs="Times New Roman"/>
                <w:b/>
                <w:bCs/>
                <w:color w:val="000000"/>
                <w:sz w:val="20"/>
                <w:szCs w:val="20"/>
              </w:rPr>
              <w:t xml:space="preserve"> </w:t>
            </w:r>
            <w:r w:rsidRPr="004100CF">
              <w:rPr>
                <w:rFonts w:ascii="Times New Roman" w:hAnsi="Times New Roman" w:cs="Times New Roman"/>
                <w:b/>
                <w:bCs/>
                <w:color w:val="000000"/>
                <w:sz w:val="20"/>
                <w:szCs w:val="20"/>
              </w:rPr>
              <w:t>(kcal/mol)</w:t>
            </w:r>
          </w:p>
        </w:tc>
        <w:tc>
          <w:tcPr>
            <w:tcW w:w="1260" w:type="dxa"/>
            <w:tcBorders>
              <w:top w:val="single" w:sz="4" w:space="0" w:color="auto"/>
              <w:bottom w:val="single" w:sz="4" w:space="0" w:color="auto"/>
            </w:tcBorders>
          </w:tcPr>
          <w:p w14:paraId="017D5B5F" w14:textId="42F8A705" w:rsidR="00674E9E" w:rsidRPr="004100CF" w:rsidRDefault="00674E9E" w:rsidP="005A06D4">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∆∆G</w:t>
            </w:r>
            <w:r w:rsidRPr="004100CF">
              <w:rPr>
                <w:rFonts w:ascii="Times New Roman" w:hAnsi="Times New Roman" w:cs="Times New Roman"/>
                <w:b/>
                <w:bCs/>
                <w:color w:val="000000"/>
                <w:sz w:val="20"/>
                <w:szCs w:val="20"/>
                <w:vertAlign w:val="subscript"/>
              </w:rPr>
              <w:t>bind</w:t>
            </w:r>
            <w:r w:rsidR="00B96F1D" w:rsidRPr="004100CF">
              <w:rPr>
                <w:rFonts w:ascii="Times New Roman" w:hAnsi="Times New Roman" w:cs="Times New Roman"/>
                <w:b/>
                <w:bCs/>
                <w:color w:val="000000"/>
                <w:sz w:val="20"/>
                <w:szCs w:val="20"/>
                <w:vertAlign w:val="superscript"/>
              </w:rPr>
              <w:t>**</w:t>
            </w:r>
            <w:r w:rsidRPr="004100CF">
              <w:rPr>
                <w:rFonts w:ascii="Times New Roman" w:hAnsi="Times New Roman" w:cs="Times New Roman"/>
                <w:b/>
                <w:bCs/>
                <w:color w:val="000000"/>
                <w:sz w:val="20"/>
                <w:szCs w:val="20"/>
              </w:rPr>
              <w:t xml:space="preserve"> (kcal/mol)</w:t>
            </w:r>
            <w:commentRangeEnd w:id="5"/>
            <w:r w:rsidR="005B7484" w:rsidRPr="004100CF">
              <w:rPr>
                <w:rStyle w:val="CommentReference"/>
                <w:rFonts w:ascii="Times New Roman" w:hAnsi="Times New Roman" w:cs="Times New Roman"/>
                <w:b/>
                <w:bCs/>
                <w:color w:val="000000"/>
                <w:sz w:val="20"/>
                <w:szCs w:val="20"/>
              </w:rPr>
              <w:commentReference w:id="5"/>
            </w:r>
          </w:p>
        </w:tc>
      </w:tr>
      <w:tr w:rsidR="00B96F1D" w:rsidRPr="004100CF" w14:paraId="792E782C" w14:textId="4126F240" w:rsidTr="00B96F1D">
        <w:trPr>
          <w:trHeight w:val="340"/>
        </w:trPr>
        <w:tc>
          <w:tcPr>
            <w:tcW w:w="1260" w:type="dxa"/>
            <w:vMerge w:val="restart"/>
            <w:tcBorders>
              <w:top w:val="single" w:sz="4" w:space="0" w:color="auto"/>
            </w:tcBorders>
            <w:hideMark/>
          </w:tcPr>
          <w:p w14:paraId="14F15368" w14:textId="77777777" w:rsidR="00B96F1D" w:rsidRPr="004100CF" w:rsidRDefault="00B96F1D" w:rsidP="00B96F1D">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Susceptible</w:t>
            </w:r>
          </w:p>
        </w:tc>
        <w:tc>
          <w:tcPr>
            <w:tcW w:w="1080" w:type="dxa"/>
            <w:tcBorders>
              <w:top w:val="single" w:sz="4" w:space="0" w:color="auto"/>
            </w:tcBorders>
            <w:hideMark/>
          </w:tcPr>
          <w:p w14:paraId="09197CA0"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color w:val="000000"/>
                <w:sz w:val="20"/>
                <w:szCs w:val="20"/>
              </w:rPr>
              <w:t>V106I</w:t>
            </w:r>
          </w:p>
        </w:tc>
        <w:tc>
          <w:tcPr>
            <w:tcW w:w="1170" w:type="dxa"/>
            <w:tcBorders>
              <w:top w:val="single" w:sz="4" w:space="0" w:color="auto"/>
            </w:tcBorders>
            <w:hideMark/>
          </w:tcPr>
          <w:p w14:paraId="31CEB050" w14:textId="5D0100CB"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2.44 ± 1.23</w:t>
            </w:r>
          </w:p>
        </w:tc>
        <w:tc>
          <w:tcPr>
            <w:tcW w:w="1170" w:type="dxa"/>
            <w:tcBorders>
              <w:top w:val="single" w:sz="4" w:space="0" w:color="auto"/>
            </w:tcBorders>
            <w:hideMark/>
          </w:tcPr>
          <w:p w14:paraId="614EAAA7" w14:textId="29B71398"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1.75 ± 1.22</w:t>
            </w:r>
          </w:p>
        </w:tc>
        <w:tc>
          <w:tcPr>
            <w:tcW w:w="1170" w:type="dxa"/>
            <w:tcBorders>
              <w:top w:val="single" w:sz="4" w:space="0" w:color="auto"/>
            </w:tcBorders>
            <w:hideMark/>
          </w:tcPr>
          <w:p w14:paraId="21F5AE59" w14:textId="57E4F689"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0.41 ± 0.25</w:t>
            </w:r>
          </w:p>
        </w:tc>
        <w:tc>
          <w:tcPr>
            <w:tcW w:w="1090" w:type="dxa"/>
            <w:tcBorders>
              <w:top w:val="single" w:sz="4" w:space="0" w:color="auto"/>
            </w:tcBorders>
          </w:tcPr>
          <w:p w14:paraId="692E5276" w14:textId="0021DFF4"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0.30 ± 0.09</w:t>
            </w:r>
          </w:p>
        </w:tc>
        <w:tc>
          <w:tcPr>
            <w:tcW w:w="1160" w:type="dxa"/>
            <w:tcBorders>
              <w:top w:val="single" w:sz="4" w:space="0" w:color="auto"/>
            </w:tcBorders>
          </w:tcPr>
          <w:p w14:paraId="311E79AC" w14:textId="481F2905"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-0.025 ± 0.063</w:t>
            </w:r>
          </w:p>
        </w:tc>
        <w:tc>
          <w:tcPr>
            <w:tcW w:w="1260" w:type="dxa"/>
            <w:tcBorders>
              <w:top w:val="single" w:sz="4" w:space="0" w:color="auto"/>
            </w:tcBorders>
          </w:tcPr>
          <w:p w14:paraId="0E285792" w14:textId="6E75932F"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2.27 ± 0.74</w:t>
            </w:r>
          </w:p>
        </w:tc>
      </w:tr>
      <w:tr w:rsidR="00B96F1D" w:rsidRPr="004100CF" w14:paraId="5F1B466C" w14:textId="3CB44492" w:rsidTr="00B96F1D">
        <w:trPr>
          <w:trHeight w:val="340"/>
        </w:trPr>
        <w:tc>
          <w:tcPr>
            <w:tcW w:w="1260" w:type="dxa"/>
            <w:vMerge/>
            <w:hideMark/>
          </w:tcPr>
          <w:p w14:paraId="06C53523"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56942AA6"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K103N</w:t>
            </w:r>
          </w:p>
        </w:tc>
        <w:tc>
          <w:tcPr>
            <w:tcW w:w="1170" w:type="dxa"/>
            <w:hideMark/>
          </w:tcPr>
          <w:p w14:paraId="0D34FF38" w14:textId="1D4C5CD3"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-0.47 ± 0.39</w:t>
            </w:r>
          </w:p>
        </w:tc>
        <w:tc>
          <w:tcPr>
            <w:tcW w:w="1170" w:type="dxa"/>
            <w:hideMark/>
          </w:tcPr>
          <w:p w14:paraId="452FC3D0" w14:textId="155CD0F6"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-0.65 ± 0.36</w:t>
            </w:r>
          </w:p>
        </w:tc>
        <w:tc>
          <w:tcPr>
            <w:tcW w:w="1170" w:type="dxa"/>
            <w:hideMark/>
          </w:tcPr>
          <w:p w14:paraId="5477CC71" w14:textId="55B290F9"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-2.27 ± 0.29</w:t>
            </w:r>
          </w:p>
        </w:tc>
        <w:tc>
          <w:tcPr>
            <w:tcW w:w="1090" w:type="dxa"/>
          </w:tcPr>
          <w:p w14:paraId="12EAE8A4" w14:textId="7CA320AF"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2.49 ± 0.41</w:t>
            </w:r>
          </w:p>
        </w:tc>
        <w:tc>
          <w:tcPr>
            <w:tcW w:w="1160" w:type="dxa"/>
          </w:tcPr>
          <w:p w14:paraId="58EB8A08" w14:textId="72C2F96C"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-0.051 ± 0.014</w:t>
            </w:r>
          </w:p>
        </w:tc>
        <w:tc>
          <w:tcPr>
            <w:tcW w:w="1260" w:type="dxa"/>
          </w:tcPr>
          <w:p w14:paraId="6AB76848" w14:textId="3CE7A290"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0.54 ± 0.23</w:t>
            </w:r>
          </w:p>
        </w:tc>
      </w:tr>
      <w:tr w:rsidR="00B96F1D" w:rsidRPr="004100CF" w14:paraId="28659528" w14:textId="19288ACB" w:rsidTr="00B96F1D">
        <w:trPr>
          <w:trHeight w:val="340"/>
        </w:trPr>
        <w:tc>
          <w:tcPr>
            <w:tcW w:w="1260" w:type="dxa"/>
            <w:vMerge/>
            <w:hideMark/>
          </w:tcPr>
          <w:p w14:paraId="34697E31"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4E1AF94A"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Y181C</w:t>
            </w:r>
          </w:p>
        </w:tc>
        <w:tc>
          <w:tcPr>
            <w:tcW w:w="1170" w:type="dxa"/>
            <w:hideMark/>
          </w:tcPr>
          <w:p w14:paraId="7BDA5D67" w14:textId="46CB018B"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1.81 ± 0.51</w:t>
            </w:r>
          </w:p>
        </w:tc>
        <w:tc>
          <w:tcPr>
            <w:tcW w:w="1170" w:type="dxa"/>
            <w:hideMark/>
          </w:tcPr>
          <w:p w14:paraId="033E2A3D" w14:textId="2CE595E9"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1.02 ± 0.48</w:t>
            </w:r>
          </w:p>
        </w:tc>
        <w:tc>
          <w:tcPr>
            <w:tcW w:w="1170" w:type="dxa"/>
            <w:hideMark/>
          </w:tcPr>
          <w:p w14:paraId="02E71658" w14:textId="7D365351"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-0.78 ± 0.29</w:t>
            </w:r>
          </w:p>
        </w:tc>
        <w:tc>
          <w:tcPr>
            <w:tcW w:w="1090" w:type="dxa"/>
          </w:tcPr>
          <w:p w14:paraId="7650D994" w14:textId="08553DFF"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1.55 ± 0.24</w:t>
            </w:r>
          </w:p>
        </w:tc>
        <w:tc>
          <w:tcPr>
            <w:tcW w:w="1160" w:type="dxa"/>
          </w:tcPr>
          <w:p w14:paraId="16B7E8AB" w14:textId="057EC584"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0.019 ± 0.025</w:t>
            </w:r>
          </w:p>
        </w:tc>
        <w:tc>
          <w:tcPr>
            <w:tcW w:w="1260" w:type="dxa"/>
          </w:tcPr>
          <w:p w14:paraId="43615228" w14:textId="6B6C06CF"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-0.66 ± 1.06</w:t>
            </w:r>
          </w:p>
        </w:tc>
      </w:tr>
      <w:tr w:rsidR="00B96F1D" w:rsidRPr="004100CF" w14:paraId="0136850A" w14:textId="07999C28" w:rsidTr="00B96F1D">
        <w:trPr>
          <w:trHeight w:val="359"/>
        </w:trPr>
        <w:tc>
          <w:tcPr>
            <w:tcW w:w="1260" w:type="dxa"/>
            <w:vMerge/>
            <w:tcBorders>
              <w:bottom w:val="single" w:sz="4" w:space="0" w:color="auto"/>
            </w:tcBorders>
            <w:hideMark/>
          </w:tcPr>
          <w:p w14:paraId="5C17D960" w14:textId="77777777" w:rsidR="00B96F1D" w:rsidRPr="004100CF" w:rsidRDefault="00B96F1D" w:rsidP="00B96F1D">
            <w:pPr>
              <w:rPr>
                <w:rFonts w:ascii="Times New Roman" w:hAnsi="Times New Roman" w:cs="Times New Roman"/>
                <w:color w:val="000000"/>
                <w:sz w:val="20"/>
                <w:szCs w:val="20"/>
              </w:rPr>
            </w:pPr>
          </w:p>
        </w:tc>
        <w:tc>
          <w:tcPr>
            <w:tcW w:w="1080" w:type="dxa"/>
            <w:tcBorders>
              <w:bottom w:val="single" w:sz="4" w:space="0" w:color="auto"/>
            </w:tcBorders>
            <w:hideMark/>
          </w:tcPr>
          <w:p w14:paraId="19FB1A69"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G190A</w:t>
            </w:r>
          </w:p>
        </w:tc>
        <w:tc>
          <w:tcPr>
            <w:tcW w:w="1170" w:type="dxa"/>
            <w:tcBorders>
              <w:bottom w:val="single" w:sz="4" w:space="0" w:color="auto"/>
            </w:tcBorders>
            <w:hideMark/>
          </w:tcPr>
          <w:p w14:paraId="5130DC26" w14:textId="10487F85"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1.73 ± 0.42</w:t>
            </w:r>
          </w:p>
        </w:tc>
        <w:tc>
          <w:tcPr>
            <w:tcW w:w="1170" w:type="dxa"/>
            <w:tcBorders>
              <w:bottom w:val="single" w:sz="4" w:space="0" w:color="auto"/>
            </w:tcBorders>
            <w:hideMark/>
          </w:tcPr>
          <w:p w14:paraId="5A7A8BE0" w14:textId="5E7207B8"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1.09 ± 0.31</w:t>
            </w:r>
          </w:p>
        </w:tc>
        <w:tc>
          <w:tcPr>
            <w:tcW w:w="1170" w:type="dxa"/>
            <w:tcBorders>
              <w:bottom w:val="single" w:sz="4" w:space="0" w:color="auto"/>
            </w:tcBorders>
            <w:hideMark/>
          </w:tcPr>
          <w:p w14:paraId="2A54E3B2" w14:textId="082C2AC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0.59 ± 0.41</w:t>
            </w:r>
          </w:p>
        </w:tc>
        <w:tc>
          <w:tcPr>
            <w:tcW w:w="1090" w:type="dxa"/>
            <w:tcBorders>
              <w:bottom w:val="single" w:sz="4" w:space="0" w:color="auto"/>
            </w:tcBorders>
          </w:tcPr>
          <w:p w14:paraId="15AFFCE8" w14:textId="2396D2EC"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0.07 ± 0.58</w:t>
            </w:r>
          </w:p>
        </w:tc>
        <w:tc>
          <w:tcPr>
            <w:tcW w:w="1160" w:type="dxa"/>
            <w:tcBorders>
              <w:bottom w:val="single" w:sz="4" w:space="0" w:color="auto"/>
            </w:tcBorders>
          </w:tcPr>
          <w:p w14:paraId="1B861093" w14:textId="1B62A04B"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-0.016 ± 0.024</w:t>
            </w:r>
          </w:p>
        </w:tc>
        <w:tc>
          <w:tcPr>
            <w:tcW w:w="1260" w:type="dxa"/>
            <w:tcBorders>
              <w:bottom w:val="single" w:sz="4" w:space="0" w:color="auto"/>
            </w:tcBorders>
          </w:tcPr>
          <w:p w14:paraId="2B0852EB" w14:textId="31AC2301"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0.27 ± 0.17</w:t>
            </w:r>
          </w:p>
        </w:tc>
      </w:tr>
      <w:tr w:rsidR="00B96F1D" w:rsidRPr="004100CF" w14:paraId="2FA5339E" w14:textId="7961D789" w:rsidTr="00B96F1D">
        <w:trPr>
          <w:trHeight w:val="340"/>
        </w:trPr>
        <w:tc>
          <w:tcPr>
            <w:tcW w:w="1260" w:type="dxa"/>
            <w:vMerge w:val="restart"/>
            <w:tcBorders>
              <w:top w:val="single" w:sz="4" w:space="0" w:color="auto"/>
            </w:tcBorders>
            <w:hideMark/>
          </w:tcPr>
          <w:p w14:paraId="239A7580" w14:textId="77777777" w:rsidR="00B96F1D" w:rsidRPr="004100CF" w:rsidRDefault="00B96F1D" w:rsidP="00B96F1D">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Resistant</w:t>
            </w:r>
          </w:p>
        </w:tc>
        <w:tc>
          <w:tcPr>
            <w:tcW w:w="1080" w:type="dxa"/>
            <w:tcBorders>
              <w:top w:val="single" w:sz="4" w:space="0" w:color="auto"/>
            </w:tcBorders>
            <w:hideMark/>
          </w:tcPr>
          <w:p w14:paraId="779A710F"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Y318F</w:t>
            </w:r>
          </w:p>
        </w:tc>
        <w:tc>
          <w:tcPr>
            <w:tcW w:w="1170" w:type="dxa"/>
            <w:tcBorders>
              <w:top w:val="single" w:sz="4" w:space="0" w:color="auto"/>
            </w:tcBorders>
            <w:hideMark/>
          </w:tcPr>
          <w:p w14:paraId="7AF055AD" w14:textId="106A3074"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2.79 ± 1.35</w:t>
            </w:r>
          </w:p>
        </w:tc>
        <w:tc>
          <w:tcPr>
            <w:tcW w:w="1170" w:type="dxa"/>
            <w:tcBorders>
              <w:top w:val="single" w:sz="4" w:space="0" w:color="auto"/>
            </w:tcBorders>
            <w:hideMark/>
          </w:tcPr>
          <w:p w14:paraId="7113D4CA" w14:textId="0575AAC6"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2.46 ± 0.91</w:t>
            </w:r>
          </w:p>
        </w:tc>
        <w:tc>
          <w:tcPr>
            <w:tcW w:w="1170" w:type="dxa"/>
            <w:tcBorders>
              <w:top w:val="single" w:sz="4" w:space="0" w:color="auto"/>
            </w:tcBorders>
            <w:hideMark/>
          </w:tcPr>
          <w:p w14:paraId="20D74ED5" w14:textId="3F1B2000"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-0.41 ± 0.77</w:t>
            </w:r>
          </w:p>
        </w:tc>
        <w:tc>
          <w:tcPr>
            <w:tcW w:w="1090" w:type="dxa"/>
            <w:tcBorders>
              <w:top w:val="single" w:sz="4" w:space="0" w:color="auto"/>
            </w:tcBorders>
          </w:tcPr>
          <w:p w14:paraId="7EF8082F" w14:textId="49396771"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0.81 ± 0.62</w:t>
            </w:r>
          </w:p>
        </w:tc>
        <w:tc>
          <w:tcPr>
            <w:tcW w:w="1160" w:type="dxa"/>
            <w:tcBorders>
              <w:top w:val="single" w:sz="4" w:space="0" w:color="auto"/>
            </w:tcBorders>
          </w:tcPr>
          <w:p w14:paraId="0C5EE5DE" w14:textId="19DE973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-0.070 ± 0.039</w:t>
            </w:r>
          </w:p>
        </w:tc>
        <w:tc>
          <w:tcPr>
            <w:tcW w:w="1260" w:type="dxa"/>
            <w:tcBorders>
              <w:top w:val="single" w:sz="4" w:space="0" w:color="auto"/>
            </w:tcBorders>
          </w:tcPr>
          <w:p w14:paraId="39969EA0" w14:textId="0B5BEA82"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1.41 ± 0.45</w:t>
            </w:r>
          </w:p>
        </w:tc>
      </w:tr>
      <w:tr w:rsidR="00B96F1D" w:rsidRPr="004100CF" w14:paraId="06F09028" w14:textId="625043B4" w:rsidTr="00B96F1D">
        <w:trPr>
          <w:trHeight w:val="340"/>
        </w:trPr>
        <w:tc>
          <w:tcPr>
            <w:tcW w:w="1260" w:type="dxa"/>
            <w:vMerge/>
            <w:hideMark/>
          </w:tcPr>
          <w:p w14:paraId="6FB9F030"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4B405FB1"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V106A</w:t>
            </w:r>
          </w:p>
        </w:tc>
        <w:tc>
          <w:tcPr>
            <w:tcW w:w="1170" w:type="dxa"/>
            <w:hideMark/>
          </w:tcPr>
          <w:p w14:paraId="7FA3E5AF" w14:textId="177153E5"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2.79 ± 0.34</w:t>
            </w:r>
          </w:p>
        </w:tc>
        <w:tc>
          <w:tcPr>
            <w:tcW w:w="1170" w:type="dxa"/>
            <w:hideMark/>
          </w:tcPr>
          <w:p w14:paraId="4DAF695A" w14:textId="789AA82E"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1.92 ± 0.55</w:t>
            </w:r>
          </w:p>
        </w:tc>
        <w:tc>
          <w:tcPr>
            <w:tcW w:w="1170" w:type="dxa"/>
            <w:hideMark/>
          </w:tcPr>
          <w:p w14:paraId="5D69886C" w14:textId="1E330DB0"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-0.78 ± 0.35</w:t>
            </w:r>
          </w:p>
        </w:tc>
        <w:tc>
          <w:tcPr>
            <w:tcW w:w="1090" w:type="dxa"/>
          </w:tcPr>
          <w:p w14:paraId="34A37233" w14:textId="5EC070D3"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1.59 ± 0.12</w:t>
            </w:r>
          </w:p>
        </w:tc>
        <w:tc>
          <w:tcPr>
            <w:tcW w:w="1160" w:type="dxa"/>
          </w:tcPr>
          <w:p w14:paraId="7D60D5A2" w14:textId="1EE478A9"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0.057 ± 0.011</w:t>
            </w:r>
          </w:p>
        </w:tc>
        <w:tc>
          <w:tcPr>
            <w:tcW w:w="1260" w:type="dxa"/>
          </w:tcPr>
          <w:p w14:paraId="3C423997" w14:textId="3DF5A264"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1.76 ± 0.51</w:t>
            </w:r>
          </w:p>
        </w:tc>
      </w:tr>
      <w:tr w:rsidR="00B96F1D" w:rsidRPr="004100CF" w14:paraId="1C4BEBCD" w14:textId="53A83098" w:rsidTr="00B96F1D">
        <w:trPr>
          <w:trHeight w:val="340"/>
        </w:trPr>
        <w:tc>
          <w:tcPr>
            <w:tcW w:w="1260" w:type="dxa"/>
            <w:vMerge/>
            <w:hideMark/>
          </w:tcPr>
          <w:p w14:paraId="55D6FC03"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338EE2BF" w14:textId="05B597BC"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A98G + F227C</w:t>
            </w:r>
          </w:p>
        </w:tc>
        <w:tc>
          <w:tcPr>
            <w:tcW w:w="1170" w:type="dxa"/>
            <w:hideMark/>
          </w:tcPr>
          <w:p w14:paraId="0B9D8332" w14:textId="74475DD2"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1.09 ± 1.35</w:t>
            </w:r>
          </w:p>
        </w:tc>
        <w:tc>
          <w:tcPr>
            <w:tcW w:w="1170" w:type="dxa"/>
            <w:hideMark/>
          </w:tcPr>
          <w:p w14:paraId="34BEC56B" w14:textId="73AE462C"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0.69 ± 1.47</w:t>
            </w:r>
          </w:p>
        </w:tc>
        <w:tc>
          <w:tcPr>
            <w:tcW w:w="1170" w:type="dxa"/>
            <w:hideMark/>
          </w:tcPr>
          <w:p w14:paraId="15A872D0" w14:textId="0ED84D1F"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-0.49 ± 0.06</w:t>
            </w:r>
          </w:p>
        </w:tc>
        <w:tc>
          <w:tcPr>
            <w:tcW w:w="1090" w:type="dxa"/>
          </w:tcPr>
          <w:p w14:paraId="7A496056" w14:textId="515B7880"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0.88 ± 0.10</w:t>
            </w:r>
          </w:p>
        </w:tc>
        <w:tc>
          <w:tcPr>
            <w:tcW w:w="1160" w:type="dxa"/>
          </w:tcPr>
          <w:p w14:paraId="6C01CE15" w14:textId="296CA339"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0.016 ± 0.013</w:t>
            </w:r>
          </w:p>
        </w:tc>
        <w:tc>
          <w:tcPr>
            <w:tcW w:w="1260" w:type="dxa"/>
          </w:tcPr>
          <w:p w14:paraId="765D0FC8" w14:textId="47BE9BD8"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-1.53 ± 0.87</w:t>
            </w:r>
          </w:p>
        </w:tc>
      </w:tr>
      <w:tr w:rsidR="00B96F1D" w:rsidRPr="004100CF" w14:paraId="1BC47192" w14:textId="6B336051" w:rsidTr="00B96F1D">
        <w:trPr>
          <w:trHeight w:val="340"/>
        </w:trPr>
        <w:tc>
          <w:tcPr>
            <w:tcW w:w="1260" w:type="dxa"/>
            <w:vMerge/>
            <w:hideMark/>
          </w:tcPr>
          <w:p w14:paraId="27A1C7CE"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047AE363" w14:textId="228ABB86"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V106I + F227C</w:t>
            </w:r>
          </w:p>
        </w:tc>
        <w:tc>
          <w:tcPr>
            <w:tcW w:w="1170" w:type="dxa"/>
            <w:hideMark/>
          </w:tcPr>
          <w:p w14:paraId="7971ED41" w14:textId="65E0B15B"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2.18 ± 0.56</w:t>
            </w:r>
          </w:p>
        </w:tc>
        <w:tc>
          <w:tcPr>
            <w:tcW w:w="1170" w:type="dxa"/>
            <w:hideMark/>
          </w:tcPr>
          <w:p w14:paraId="22A7E1D5" w14:textId="558CDD5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1.56 ± 0.27</w:t>
            </w:r>
          </w:p>
        </w:tc>
        <w:tc>
          <w:tcPr>
            <w:tcW w:w="1170" w:type="dxa"/>
            <w:hideMark/>
          </w:tcPr>
          <w:p w14:paraId="1D8F6E97" w14:textId="5B2D49BD"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0.20 ± 0.10</w:t>
            </w:r>
          </w:p>
        </w:tc>
        <w:tc>
          <w:tcPr>
            <w:tcW w:w="1090" w:type="dxa"/>
          </w:tcPr>
          <w:p w14:paraId="229251E7" w14:textId="11AE9192"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0.41 ± 0.43</w:t>
            </w:r>
          </w:p>
        </w:tc>
        <w:tc>
          <w:tcPr>
            <w:tcW w:w="1160" w:type="dxa"/>
          </w:tcPr>
          <w:p w14:paraId="625CC37D" w14:textId="0E740C36"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0.008 ± 0.015</w:t>
            </w:r>
          </w:p>
        </w:tc>
        <w:tc>
          <w:tcPr>
            <w:tcW w:w="1260" w:type="dxa"/>
          </w:tcPr>
          <w:p w14:paraId="2D02FC96" w14:textId="15051DA8"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1.75 ± 1.16</w:t>
            </w:r>
          </w:p>
        </w:tc>
      </w:tr>
      <w:tr w:rsidR="00B96F1D" w:rsidRPr="004100CF" w14:paraId="43EC9452" w14:textId="66A0D564" w:rsidTr="00B96F1D">
        <w:trPr>
          <w:trHeight w:val="340"/>
        </w:trPr>
        <w:tc>
          <w:tcPr>
            <w:tcW w:w="1260" w:type="dxa"/>
            <w:vMerge/>
            <w:hideMark/>
          </w:tcPr>
          <w:p w14:paraId="5A45BBBD"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4040295C" w14:textId="3F48CE4F"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V106A + F227L</w:t>
            </w:r>
          </w:p>
        </w:tc>
        <w:tc>
          <w:tcPr>
            <w:tcW w:w="1170" w:type="dxa"/>
            <w:hideMark/>
          </w:tcPr>
          <w:p w14:paraId="787F973E" w14:textId="00FCD880"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2.48 ± 1.33</w:t>
            </w:r>
          </w:p>
        </w:tc>
        <w:tc>
          <w:tcPr>
            <w:tcW w:w="1170" w:type="dxa"/>
            <w:hideMark/>
          </w:tcPr>
          <w:p w14:paraId="51DA2A25" w14:textId="4819EF2C"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0.60 ± 1.32</w:t>
            </w:r>
          </w:p>
        </w:tc>
        <w:tc>
          <w:tcPr>
            <w:tcW w:w="1170" w:type="dxa"/>
            <w:hideMark/>
          </w:tcPr>
          <w:p w14:paraId="398FBA9D" w14:textId="6636EB4E"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0.90 ± 0.41</w:t>
            </w:r>
          </w:p>
        </w:tc>
        <w:tc>
          <w:tcPr>
            <w:tcW w:w="1090" w:type="dxa"/>
          </w:tcPr>
          <w:p w14:paraId="59F6E576" w14:textId="3DA080C6"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0.97 ± 0.47</w:t>
            </w:r>
          </w:p>
        </w:tc>
        <w:tc>
          <w:tcPr>
            <w:tcW w:w="1160" w:type="dxa"/>
          </w:tcPr>
          <w:p w14:paraId="6FCDC432" w14:textId="28838366"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0.006 ± 0.030</w:t>
            </w:r>
          </w:p>
        </w:tc>
        <w:tc>
          <w:tcPr>
            <w:tcW w:w="1260" w:type="dxa"/>
          </w:tcPr>
          <w:p w14:paraId="4327416F" w14:textId="5854A882"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4.39 ± 1.00</w:t>
            </w:r>
          </w:p>
        </w:tc>
      </w:tr>
      <w:tr w:rsidR="00B96F1D" w:rsidRPr="004100CF" w14:paraId="17904C9D" w14:textId="54060C93" w:rsidTr="00B96F1D">
        <w:trPr>
          <w:trHeight w:val="340"/>
        </w:trPr>
        <w:tc>
          <w:tcPr>
            <w:tcW w:w="1260" w:type="dxa"/>
            <w:vMerge/>
            <w:hideMark/>
          </w:tcPr>
          <w:p w14:paraId="6602E5AE"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18322086"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Y188L</w:t>
            </w:r>
          </w:p>
        </w:tc>
        <w:tc>
          <w:tcPr>
            <w:tcW w:w="1170" w:type="dxa"/>
            <w:hideMark/>
          </w:tcPr>
          <w:p w14:paraId="56168620" w14:textId="78A39C0A"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4.99 ± 2.19</w:t>
            </w:r>
          </w:p>
        </w:tc>
        <w:tc>
          <w:tcPr>
            <w:tcW w:w="1170" w:type="dxa"/>
            <w:hideMark/>
          </w:tcPr>
          <w:p w14:paraId="39246479" w14:textId="79A8080B"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3.93 ± 1.39</w:t>
            </w:r>
          </w:p>
        </w:tc>
        <w:tc>
          <w:tcPr>
            <w:tcW w:w="1170" w:type="dxa"/>
            <w:hideMark/>
          </w:tcPr>
          <w:p w14:paraId="442F508C" w14:textId="284E1BC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0.77 ± 0.67</w:t>
            </w:r>
          </w:p>
        </w:tc>
        <w:tc>
          <w:tcPr>
            <w:tcW w:w="1090" w:type="dxa"/>
          </w:tcPr>
          <w:p w14:paraId="6631D57C" w14:textId="3F99A459"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0.33 ± 0.26</w:t>
            </w:r>
          </w:p>
        </w:tc>
        <w:tc>
          <w:tcPr>
            <w:tcW w:w="1160" w:type="dxa"/>
          </w:tcPr>
          <w:p w14:paraId="20D7F2F4" w14:textId="10473F5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-0.036 ± 0.034</w:t>
            </w:r>
          </w:p>
        </w:tc>
        <w:tc>
          <w:tcPr>
            <w:tcW w:w="1260" w:type="dxa"/>
          </w:tcPr>
          <w:p w14:paraId="071D47A9" w14:textId="1855AED8"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4.52 ± 0.49</w:t>
            </w:r>
          </w:p>
        </w:tc>
      </w:tr>
      <w:tr w:rsidR="00B96F1D" w:rsidRPr="004100CF" w14:paraId="4CC06D02" w14:textId="0952D339" w:rsidTr="00B96F1D">
        <w:trPr>
          <w:trHeight w:val="340"/>
        </w:trPr>
        <w:tc>
          <w:tcPr>
            <w:tcW w:w="1260" w:type="dxa"/>
            <w:vMerge/>
            <w:hideMark/>
          </w:tcPr>
          <w:p w14:paraId="15D7F1F0"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186941EE" w14:textId="671F833D"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V106A + P225H</w:t>
            </w:r>
          </w:p>
        </w:tc>
        <w:tc>
          <w:tcPr>
            <w:tcW w:w="1170" w:type="dxa"/>
            <w:hideMark/>
          </w:tcPr>
          <w:p w14:paraId="191314B7" w14:textId="5D193AD2"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1.16 ± 0.86</w:t>
            </w:r>
          </w:p>
        </w:tc>
        <w:tc>
          <w:tcPr>
            <w:tcW w:w="1170" w:type="dxa"/>
            <w:hideMark/>
          </w:tcPr>
          <w:p w14:paraId="0C0E6E60" w14:textId="108A2E8A"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-0.79 ± 0.72</w:t>
            </w:r>
          </w:p>
        </w:tc>
        <w:tc>
          <w:tcPr>
            <w:tcW w:w="1170" w:type="dxa"/>
            <w:hideMark/>
          </w:tcPr>
          <w:p w14:paraId="20AD0DB4" w14:textId="3C2198BA"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0.46 ± 1.57</w:t>
            </w:r>
          </w:p>
        </w:tc>
        <w:tc>
          <w:tcPr>
            <w:tcW w:w="1090" w:type="dxa"/>
          </w:tcPr>
          <w:p w14:paraId="29F3680A" w14:textId="6CBFFFCD"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1.53 ± 1.41</w:t>
            </w:r>
          </w:p>
        </w:tc>
        <w:tc>
          <w:tcPr>
            <w:tcW w:w="1160" w:type="dxa"/>
          </w:tcPr>
          <w:p w14:paraId="79EB2391" w14:textId="58B160BC"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-0.044 ± 0.049</w:t>
            </w:r>
          </w:p>
        </w:tc>
        <w:tc>
          <w:tcPr>
            <w:tcW w:w="1260" w:type="dxa"/>
          </w:tcPr>
          <w:p w14:paraId="497DE75B" w14:textId="27D8E8C3"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3.71 ± 1.13</w:t>
            </w:r>
          </w:p>
        </w:tc>
      </w:tr>
      <w:tr w:rsidR="00B96F1D" w:rsidRPr="004100CF" w14:paraId="39CAE212" w14:textId="7E2169FE" w:rsidTr="00B96F1D">
        <w:trPr>
          <w:trHeight w:val="386"/>
        </w:trPr>
        <w:tc>
          <w:tcPr>
            <w:tcW w:w="1260" w:type="dxa"/>
            <w:vMerge/>
            <w:hideMark/>
          </w:tcPr>
          <w:p w14:paraId="0D22BED2" w14:textId="77777777" w:rsidR="00B96F1D" w:rsidRPr="004100CF" w:rsidRDefault="00B96F1D" w:rsidP="00B96F1D">
            <w:pPr>
              <w:rPr>
                <w:rFonts w:ascii="Times New Roman" w:hAnsi="Times New Roman" w:cs="Times New Roman"/>
                <w:color w:val="000000"/>
                <w:sz w:val="20"/>
                <w:szCs w:val="20"/>
              </w:rPr>
            </w:pPr>
          </w:p>
        </w:tc>
        <w:tc>
          <w:tcPr>
            <w:tcW w:w="1080" w:type="dxa"/>
            <w:hideMark/>
          </w:tcPr>
          <w:p w14:paraId="08FF30A5" w14:textId="3EFAB37F"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V106A + L234I</w:t>
            </w:r>
          </w:p>
        </w:tc>
        <w:tc>
          <w:tcPr>
            <w:tcW w:w="1170" w:type="dxa"/>
            <w:hideMark/>
          </w:tcPr>
          <w:p w14:paraId="40F9DFD1" w14:textId="37C68F8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2.29 ± 1.54</w:t>
            </w:r>
          </w:p>
        </w:tc>
        <w:tc>
          <w:tcPr>
            <w:tcW w:w="1170" w:type="dxa"/>
            <w:hideMark/>
          </w:tcPr>
          <w:p w14:paraId="4D0C1F67" w14:textId="72DDB82F"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0.69 ± 1.67</w:t>
            </w:r>
          </w:p>
        </w:tc>
        <w:tc>
          <w:tcPr>
            <w:tcW w:w="1170" w:type="dxa"/>
            <w:hideMark/>
          </w:tcPr>
          <w:p w14:paraId="651DA163" w14:textId="13033726"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0.23 ± 0.44</w:t>
            </w:r>
          </w:p>
        </w:tc>
        <w:tc>
          <w:tcPr>
            <w:tcW w:w="1090" w:type="dxa"/>
          </w:tcPr>
          <w:p w14:paraId="3CC52D2E" w14:textId="01C5DD41"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1.44 ± 0.30</w:t>
            </w:r>
          </w:p>
        </w:tc>
        <w:tc>
          <w:tcPr>
            <w:tcW w:w="1160" w:type="dxa"/>
          </w:tcPr>
          <w:p w14:paraId="73630BDC" w14:textId="237DCAA7"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-0.070 ± 0.004</w:t>
            </w:r>
          </w:p>
        </w:tc>
        <w:tc>
          <w:tcPr>
            <w:tcW w:w="1260" w:type="dxa"/>
          </w:tcPr>
          <w:p w14:paraId="62EC309B" w14:textId="2BD42151"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3.72 ± 1.10</w:t>
            </w:r>
          </w:p>
        </w:tc>
      </w:tr>
      <w:tr w:rsidR="00B96F1D" w:rsidRPr="004100CF" w14:paraId="135AF25D" w14:textId="1A118367" w:rsidTr="00B96F1D">
        <w:trPr>
          <w:trHeight w:val="386"/>
        </w:trPr>
        <w:tc>
          <w:tcPr>
            <w:tcW w:w="1260" w:type="dxa"/>
            <w:vMerge/>
            <w:tcBorders>
              <w:bottom w:val="single" w:sz="4" w:space="0" w:color="auto"/>
            </w:tcBorders>
          </w:tcPr>
          <w:p w14:paraId="374F9CA3" w14:textId="77777777" w:rsidR="00B96F1D" w:rsidRPr="004100CF" w:rsidRDefault="00B96F1D" w:rsidP="00B96F1D">
            <w:pPr>
              <w:rPr>
                <w:rFonts w:ascii="Times New Roman" w:hAnsi="Times New Roman" w:cs="Times New Roman"/>
                <w:color w:val="000000"/>
                <w:sz w:val="20"/>
                <w:szCs w:val="20"/>
              </w:rPr>
            </w:pPr>
          </w:p>
        </w:tc>
        <w:tc>
          <w:tcPr>
            <w:tcW w:w="1080" w:type="dxa"/>
            <w:tcBorders>
              <w:bottom w:val="single" w:sz="4" w:space="0" w:color="auto"/>
            </w:tcBorders>
          </w:tcPr>
          <w:p w14:paraId="0438F9BA" w14:textId="4586E360" w:rsidR="00B96F1D" w:rsidRPr="004100CF" w:rsidRDefault="00B96F1D" w:rsidP="00B96F1D">
            <w:pPr>
              <w:jc w:val="center"/>
              <w:rPr>
                <w:rFonts w:ascii="Times New Roman" w:hAnsi="Times New Roman" w:cs="Times New Roman"/>
                <w:sz w:val="20"/>
                <w:szCs w:val="20"/>
              </w:rPr>
            </w:pPr>
            <w:r w:rsidRPr="004100CF">
              <w:rPr>
                <w:rFonts w:ascii="Times New Roman" w:hAnsi="Times New Roman" w:cs="Times New Roman"/>
                <w:sz w:val="20"/>
                <w:szCs w:val="20"/>
              </w:rPr>
              <w:t>K103N + M230L</w:t>
            </w:r>
          </w:p>
        </w:tc>
        <w:tc>
          <w:tcPr>
            <w:tcW w:w="1170" w:type="dxa"/>
            <w:tcBorders>
              <w:bottom w:val="single" w:sz="4" w:space="0" w:color="auto"/>
            </w:tcBorders>
          </w:tcPr>
          <w:p w14:paraId="18D10640" w14:textId="49BB8161"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-1.13 ± 1.26</w:t>
            </w:r>
          </w:p>
        </w:tc>
        <w:tc>
          <w:tcPr>
            <w:tcW w:w="1170" w:type="dxa"/>
            <w:tcBorders>
              <w:bottom w:val="single" w:sz="4" w:space="0" w:color="auto"/>
            </w:tcBorders>
          </w:tcPr>
          <w:p w14:paraId="25E98923" w14:textId="184C385E"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-0.69 ± 1.13</w:t>
            </w:r>
          </w:p>
        </w:tc>
        <w:tc>
          <w:tcPr>
            <w:tcW w:w="1170" w:type="dxa"/>
            <w:tcBorders>
              <w:bottom w:val="single" w:sz="4" w:space="0" w:color="auto"/>
            </w:tcBorders>
          </w:tcPr>
          <w:p w14:paraId="0B3ECCEC" w14:textId="1238A285"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-2.91 ± 0.74</w:t>
            </w:r>
          </w:p>
        </w:tc>
        <w:tc>
          <w:tcPr>
            <w:tcW w:w="1090" w:type="dxa"/>
            <w:tcBorders>
              <w:bottom w:val="single" w:sz="4" w:space="0" w:color="auto"/>
            </w:tcBorders>
          </w:tcPr>
          <w:p w14:paraId="03483EF9" w14:textId="4B169FBE"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2.54 ± 0.66</w:t>
            </w:r>
          </w:p>
        </w:tc>
        <w:tc>
          <w:tcPr>
            <w:tcW w:w="1160" w:type="dxa"/>
            <w:tcBorders>
              <w:bottom w:val="single" w:sz="4" w:space="0" w:color="auto"/>
            </w:tcBorders>
          </w:tcPr>
          <w:p w14:paraId="05A483A5" w14:textId="6728F26F"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-0.061 ± 0.027</w:t>
            </w:r>
          </w:p>
        </w:tc>
        <w:tc>
          <w:tcPr>
            <w:tcW w:w="1260" w:type="dxa"/>
            <w:tcBorders>
              <w:bottom w:val="single" w:sz="4" w:space="0" w:color="auto"/>
            </w:tcBorders>
          </w:tcPr>
          <w:p w14:paraId="2CEAB8C5" w14:textId="28E97E97"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0.59 ± 0.41</w:t>
            </w:r>
          </w:p>
        </w:tc>
      </w:tr>
      <w:tr w:rsidR="00B96F1D" w:rsidRPr="004100CF" w14:paraId="38F82B72" w14:textId="43BF39CE" w:rsidTr="00B96F1D">
        <w:trPr>
          <w:trHeight w:val="340"/>
        </w:trPr>
        <w:tc>
          <w:tcPr>
            <w:tcW w:w="1260" w:type="dxa"/>
            <w:vMerge w:val="restart"/>
            <w:tcBorders>
              <w:top w:val="single" w:sz="4" w:space="0" w:color="auto"/>
            </w:tcBorders>
            <w:hideMark/>
          </w:tcPr>
          <w:p w14:paraId="2310A4B6" w14:textId="77777777" w:rsidR="00B96F1D" w:rsidRPr="004100CF" w:rsidRDefault="00B96F1D" w:rsidP="00B96F1D">
            <w:pPr>
              <w:jc w:val="center"/>
              <w:rPr>
                <w:rFonts w:ascii="Times New Roman" w:hAnsi="Times New Roman" w:cs="Times New Roman"/>
                <w:b/>
                <w:bCs/>
                <w:color w:val="000000"/>
                <w:sz w:val="20"/>
                <w:szCs w:val="20"/>
              </w:rPr>
            </w:pPr>
            <w:r w:rsidRPr="004100CF">
              <w:rPr>
                <w:rFonts w:ascii="Times New Roman" w:hAnsi="Times New Roman" w:cs="Times New Roman"/>
                <w:b/>
                <w:bCs/>
                <w:color w:val="000000"/>
                <w:sz w:val="20"/>
                <w:szCs w:val="20"/>
              </w:rPr>
              <w:t xml:space="preserve">Uncertain </w:t>
            </w:r>
          </w:p>
        </w:tc>
        <w:tc>
          <w:tcPr>
            <w:tcW w:w="1080" w:type="dxa"/>
            <w:tcBorders>
              <w:top w:val="single" w:sz="4" w:space="0" w:color="auto"/>
            </w:tcBorders>
            <w:hideMark/>
          </w:tcPr>
          <w:p w14:paraId="508B9E8B"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V106M</w:t>
            </w:r>
          </w:p>
        </w:tc>
        <w:tc>
          <w:tcPr>
            <w:tcW w:w="1170" w:type="dxa"/>
            <w:tcBorders>
              <w:top w:val="single" w:sz="4" w:space="0" w:color="auto"/>
            </w:tcBorders>
            <w:hideMark/>
          </w:tcPr>
          <w:p w14:paraId="174E2CA7" w14:textId="3E839E35"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3.25 ± 0.35</w:t>
            </w:r>
          </w:p>
        </w:tc>
        <w:tc>
          <w:tcPr>
            <w:tcW w:w="1170" w:type="dxa"/>
            <w:tcBorders>
              <w:top w:val="single" w:sz="4" w:space="0" w:color="auto"/>
            </w:tcBorders>
            <w:hideMark/>
          </w:tcPr>
          <w:p w14:paraId="2D13BEFD" w14:textId="2A0DDF48"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2.34 ± 0.19</w:t>
            </w:r>
          </w:p>
        </w:tc>
        <w:tc>
          <w:tcPr>
            <w:tcW w:w="1170" w:type="dxa"/>
            <w:tcBorders>
              <w:top w:val="single" w:sz="4" w:space="0" w:color="auto"/>
            </w:tcBorders>
            <w:hideMark/>
          </w:tcPr>
          <w:p w14:paraId="6992ABDA" w14:textId="15DED4B4"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-0.08 ± 0.80</w:t>
            </w:r>
          </w:p>
        </w:tc>
        <w:tc>
          <w:tcPr>
            <w:tcW w:w="1090" w:type="dxa"/>
            <w:tcBorders>
              <w:top w:val="single" w:sz="4" w:space="0" w:color="auto"/>
            </w:tcBorders>
          </w:tcPr>
          <w:p w14:paraId="3AD7B006" w14:textId="37F0F6CD"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0.95 ± 0.68</w:t>
            </w:r>
          </w:p>
        </w:tc>
        <w:tc>
          <w:tcPr>
            <w:tcW w:w="1160" w:type="dxa"/>
            <w:tcBorders>
              <w:top w:val="single" w:sz="4" w:space="0" w:color="auto"/>
            </w:tcBorders>
          </w:tcPr>
          <w:p w14:paraId="7F88AA3F" w14:textId="4DF7B844"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0.039 ± 0.056</w:t>
            </w:r>
          </w:p>
        </w:tc>
        <w:tc>
          <w:tcPr>
            <w:tcW w:w="1260" w:type="dxa"/>
            <w:tcBorders>
              <w:top w:val="single" w:sz="4" w:space="0" w:color="auto"/>
            </w:tcBorders>
          </w:tcPr>
          <w:p w14:paraId="1A195E51" w14:textId="3364FA38"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6.10 ± 0.16</w:t>
            </w:r>
          </w:p>
        </w:tc>
      </w:tr>
      <w:tr w:rsidR="00B96F1D" w:rsidRPr="004100CF" w14:paraId="55EA42CD" w14:textId="5A441208" w:rsidTr="00B96F1D">
        <w:trPr>
          <w:trHeight w:val="467"/>
        </w:trPr>
        <w:tc>
          <w:tcPr>
            <w:tcW w:w="1260" w:type="dxa"/>
            <w:vMerge/>
            <w:hideMark/>
          </w:tcPr>
          <w:p w14:paraId="23A7984C" w14:textId="77777777" w:rsidR="00B96F1D" w:rsidRPr="004100CF" w:rsidRDefault="00B96F1D" w:rsidP="00B96F1D">
            <w:pPr>
              <w:spacing w:line="480" w:lineRule="auto"/>
              <w:rPr>
                <w:rFonts w:ascii="Times New Roman" w:hAnsi="Times New Roman" w:cs="Times New Roman"/>
                <w:color w:val="000000"/>
                <w:sz w:val="20"/>
                <w:szCs w:val="20"/>
              </w:rPr>
            </w:pPr>
          </w:p>
        </w:tc>
        <w:tc>
          <w:tcPr>
            <w:tcW w:w="1080" w:type="dxa"/>
            <w:hideMark/>
          </w:tcPr>
          <w:p w14:paraId="6F8A53F4" w14:textId="77777777"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G190S</w:t>
            </w:r>
          </w:p>
        </w:tc>
        <w:tc>
          <w:tcPr>
            <w:tcW w:w="1170" w:type="dxa"/>
            <w:hideMark/>
          </w:tcPr>
          <w:p w14:paraId="28C3A842" w14:textId="06EAC07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3.41 ± 1.34</w:t>
            </w:r>
          </w:p>
        </w:tc>
        <w:tc>
          <w:tcPr>
            <w:tcW w:w="1170" w:type="dxa"/>
            <w:hideMark/>
          </w:tcPr>
          <w:p w14:paraId="751AC61D" w14:textId="7A4107C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1.75 ± 0.96</w:t>
            </w:r>
          </w:p>
        </w:tc>
        <w:tc>
          <w:tcPr>
            <w:tcW w:w="1170" w:type="dxa"/>
            <w:hideMark/>
          </w:tcPr>
          <w:p w14:paraId="1F2F3415" w14:textId="0C952894"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1.49 ± 0.54</w:t>
            </w:r>
          </w:p>
        </w:tc>
        <w:tc>
          <w:tcPr>
            <w:tcW w:w="1090" w:type="dxa"/>
          </w:tcPr>
          <w:p w14:paraId="70EDD288" w14:textId="7B33E80C"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0.15 ± 0.27</w:t>
            </w:r>
          </w:p>
        </w:tc>
        <w:tc>
          <w:tcPr>
            <w:tcW w:w="1160" w:type="dxa"/>
          </w:tcPr>
          <w:p w14:paraId="6EB2A17E" w14:textId="45FF1F10"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0.024 ± 0.057</w:t>
            </w:r>
          </w:p>
        </w:tc>
        <w:tc>
          <w:tcPr>
            <w:tcW w:w="1260" w:type="dxa"/>
          </w:tcPr>
          <w:p w14:paraId="00749720" w14:textId="675795C2"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2.01 ± 0.34</w:t>
            </w:r>
          </w:p>
        </w:tc>
      </w:tr>
      <w:tr w:rsidR="00B96F1D" w:rsidRPr="004100CF" w14:paraId="041B9898" w14:textId="13D64E6A" w:rsidTr="00B96F1D">
        <w:trPr>
          <w:trHeight w:val="521"/>
        </w:trPr>
        <w:tc>
          <w:tcPr>
            <w:tcW w:w="1260" w:type="dxa"/>
            <w:vMerge/>
            <w:hideMark/>
          </w:tcPr>
          <w:p w14:paraId="17119F32" w14:textId="77777777" w:rsidR="00B96F1D" w:rsidRPr="004100CF" w:rsidRDefault="00B96F1D" w:rsidP="00B96F1D">
            <w:pPr>
              <w:spacing w:line="480" w:lineRule="auto"/>
              <w:rPr>
                <w:rFonts w:ascii="Times New Roman" w:hAnsi="Times New Roman" w:cs="Times New Roman"/>
                <w:color w:val="000000"/>
                <w:sz w:val="20"/>
                <w:szCs w:val="20"/>
              </w:rPr>
            </w:pPr>
          </w:p>
        </w:tc>
        <w:tc>
          <w:tcPr>
            <w:tcW w:w="1080" w:type="dxa"/>
            <w:hideMark/>
          </w:tcPr>
          <w:p w14:paraId="1A150A26" w14:textId="06915AE2"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K103N + L100I</w:t>
            </w:r>
          </w:p>
        </w:tc>
        <w:tc>
          <w:tcPr>
            <w:tcW w:w="1170" w:type="dxa"/>
            <w:hideMark/>
          </w:tcPr>
          <w:p w14:paraId="34330422" w14:textId="2ABBE71E"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-0.98 ± 0.81</w:t>
            </w:r>
          </w:p>
        </w:tc>
        <w:tc>
          <w:tcPr>
            <w:tcW w:w="1170" w:type="dxa"/>
            <w:hideMark/>
          </w:tcPr>
          <w:p w14:paraId="24326C43" w14:textId="1EEDB122"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-1.01 ± 0.76</w:t>
            </w:r>
          </w:p>
        </w:tc>
        <w:tc>
          <w:tcPr>
            <w:tcW w:w="1170" w:type="dxa"/>
            <w:hideMark/>
          </w:tcPr>
          <w:p w14:paraId="3D700CFF" w14:textId="6BF4E1F0"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-2.78 ± 0.92</w:t>
            </w:r>
          </w:p>
        </w:tc>
        <w:tc>
          <w:tcPr>
            <w:tcW w:w="1090" w:type="dxa"/>
          </w:tcPr>
          <w:p w14:paraId="0EAF777E" w14:textId="2BE8BDF9"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2.89 ± 0.52</w:t>
            </w:r>
          </w:p>
        </w:tc>
        <w:tc>
          <w:tcPr>
            <w:tcW w:w="1160" w:type="dxa"/>
          </w:tcPr>
          <w:p w14:paraId="7C87E2FA" w14:textId="3F2078CA"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-0.072 ± 0.010</w:t>
            </w:r>
          </w:p>
        </w:tc>
        <w:tc>
          <w:tcPr>
            <w:tcW w:w="1260" w:type="dxa"/>
          </w:tcPr>
          <w:p w14:paraId="1F8AFD4C" w14:textId="5BC6BA98"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0.19 ± 0.68</w:t>
            </w:r>
          </w:p>
        </w:tc>
      </w:tr>
      <w:tr w:rsidR="00B96F1D" w:rsidRPr="004100CF" w14:paraId="077AB2C8" w14:textId="322401D9" w:rsidTr="00B96F1D">
        <w:trPr>
          <w:trHeight w:val="350"/>
        </w:trPr>
        <w:tc>
          <w:tcPr>
            <w:tcW w:w="1260" w:type="dxa"/>
            <w:vMerge/>
            <w:hideMark/>
          </w:tcPr>
          <w:p w14:paraId="31B9B7CA" w14:textId="77777777" w:rsidR="00B96F1D" w:rsidRPr="004100CF" w:rsidRDefault="00B96F1D" w:rsidP="00B96F1D">
            <w:pPr>
              <w:spacing w:line="480" w:lineRule="auto"/>
              <w:rPr>
                <w:rFonts w:ascii="Times New Roman" w:hAnsi="Times New Roman" w:cs="Times New Roman"/>
                <w:color w:val="000000"/>
                <w:sz w:val="20"/>
                <w:szCs w:val="20"/>
              </w:rPr>
            </w:pPr>
          </w:p>
        </w:tc>
        <w:tc>
          <w:tcPr>
            <w:tcW w:w="1080" w:type="dxa"/>
            <w:hideMark/>
          </w:tcPr>
          <w:p w14:paraId="3CCC9F8B" w14:textId="0259141D" w:rsidR="00B96F1D" w:rsidRPr="004100CF" w:rsidRDefault="00B96F1D" w:rsidP="00B96F1D">
            <w:pPr>
              <w:jc w:val="center"/>
              <w:rPr>
                <w:rFonts w:ascii="Times New Roman" w:hAnsi="Times New Roman" w:cs="Times New Roman"/>
                <w:color w:val="000000"/>
                <w:sz w:val="20"/>
                <w:szCs w:val="20"/>
              </w:rPr>
            </w:pPr>
            <w:r w:rsidRPr="004100CF">
              <w:rPr>
                <w:rFonts w:ascii="Times New Roman" w:hAnsi="Times New Roman" w:cs="Times New Roman"/>
                <w:sz w:val="20"/>
                <w:szCs w:val="20"/>
              </w:rPr>
              <w:t>K103N + P225H</w:t>
            </w:r>
          </w:p>
        </w:tc>
        <w:tc>
          <w:tcPr>
            <w:tcW w:w="1170" w:type="dxa"/>
            <w:hideMark/>
          </w:tcPr>
          <w:p w14:paraId="11116533" w14:textId="4D071AB5"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0.95 ± 0.87</w:t>
            </w:r>
          </w:p>
        </w:tc>
        <w:tc>
          <w:tcPr>
            <w:tcW w:w="1170" w:type="dxa"/>
            <w:hideMark/>
          </w:tcPr>
          <w:p w14:paraId="636416DD" w14:textId="072DAED7"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0.08 ± 0.85</w:t>
            </w:r>
          </w:p>
        </w:tc>
        <w:tc>
          <w:tcPr>
            <w:tcW w:w="1170" w:type="dxa"/>
            <w:hideMark/>
          </w:tcPr>
          <w:p w14:paraId="11CE051D" w14:textId="565C03C3" w:rsidR="00B96F1D" w:rsidRPr="004100CF" w:rsidRDefault="00B96F1D" w:rsidP="00B96F1D">
            <w:pPr>
              <w:jc w:val="center"/>
              <w:rPr>
                <w:rFonts w:ascii="Times New Roman" w:hAnsi="Times New Roman" w:cs="Times New Roman"/>
                <w:color w:val="000000"/>
                <w:sz w:val="18"/>
                <w:szCs w:val="18"/>
              </w:rPr>
            </w:pPr>
            <w:r w:rsidRPr="004100CF">
              <w:rPr>
                <w:rFonts w:ascii="Times New Roman" w:hAnsi="Times New Roman" w:cs="Times New Roman"/>
                <w:color w:val="000000"/>
                <w:sz w:val="18"/>
                <w:szCs w:val="18"/>
              </w:rPr>
              <w:t>-1.10 ± 1.17</w:t>
            </w:r>
          </w:p>
        </w:tc>
        <w:tc>
          <w:tcPr>
            <w:tcW w:w="1090" w:type="dxa"/>
          </w:tcPr>
          <w:p w14:paraId="27A6E16F" w14:textId="32C17C2D"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2.03 ± 0.85</w:t>
            </w:r>
          </w:p>
        </w:tc>
        <w:tc>
          <w:tcPr>
            <w:tcW w:w="1160" w:type="dxa"/>
          </w:tcPr>
          <w:p w14:paraId="48232622" w14:textId="0DEE317F"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-0.060 ± 0.031</w:t>
            </w:r>
          </w:p>
        </w:tc>
        <w:tc>
          <w:tcPr>
            <w:tcW w:w="1260" w:type="dxa"/>
          </w:tcPr>
          <w:p w14:paraId="2A67AAA0" w14:textId="05ED84DF"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1.76 ± 0.79</w:t>
            </w:r>
          </w:p>
        </w:tc>
      </w:tr>
      <w:tr w:rsidR="00B96F1D" w:rsidRPr="004100CF" w14:paraId="6B7B4D81" w14:textId="66099493" w:rsidTr="00B96F1D">
        <w:trPr>
          <w:trHeight w:val="350"/>
        </w:trPr>
        <w:tc>
          <w:tcPr>
            <w:tcW w:w="1260" w:type="dxa"/>
            <w:vMerge/>
            <w:tcBorders>
              <w:bottom w:val="single" w:sz="4" w:space="0" w:color="auto"/>
            </w:tcBorders>
          </w:tcPr>
          <w:p w14:paraId="092960A0" w14:textId="77777777" w:rsidR="00B96F1D" w:rsidRPr="004100CF" w:rsidRDefault="00B96F1D" w:rsidP="00B96F1D">
            <w:pPr>
              <w:spacing w:line="480" w:lineRule="auto"/>
              <w:rPr>
                <w:rFonts w:ascii="Times New Roman" w:hAnsi="Times New Roman" w:cs="Times New Roman"/>
                <w:color w:val="000000"/>
                <w:sz w:val="20"/>
                <w:szCs w:val="20"/>
              </w:rPr>
            </w:pPr>
          </w:p>
        </w:tc>
        <w:tc>
          <w:tcPr>
            <w:tcW w:w="1080" w:type="dxa"/>
            <w:tcBorders>
              <w:bottom w:val="single" w:sz="4" w:space="0" w:color="auto"/>
            </w:tcBorders>
          </w:tcPr>
          <w:p w14:paraId="136C95EC" w14:textId="77777777" w:rsidR="00B96F1D" w:rsidRPr="004100CF" w:rsidRDefault="00B96F1D" w:rsidP="00B96F1D">
            <w:pPr>
              <w:jc w:val="center"/>
              <w:rPr>
                <w:rFonts w:ascii="Times New Roman" w:hAnsi="Times New Roman" w:cs="Times New Roman"/>
                <w:sz w:val="20"/>
                <w:szCs w:val="20"/>
              </w:rPr>
            </w:pPr>
            <w:r w:rsidRPr="004100CF">
              <w:rPr>
                <w:rFonts w:ascii="Times New Roman" w:hAnsi="Times New Roman" w:cs="Times New Roman"/>
                <w:sz w:val="20"/>
                <w:szCs w:val="20"/>
              </w:rPr>
              <w:t>G190E</w:t>
            </w:r>
          </w:p>
        </w:tc>
        <w:tc>
          <w:tcPr>
            <w:tcW w:w="1170" w:type="dxa"/>
            <w:tcBorders>
              <w:bottom w:val="single" w:sz="4" w:space="0" w:color="auto"/>
            </w:tcBorders>
          </w:tcPr>
          <w:p w14:paraId="47C03043" w14:textId="4F930A9C"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5.74 ± 2.55</w:t>
            </w:r>
          </w:p>
        </w:tc>
        <w:tc>
          <w:tcPr>
            <w:tcW w:w="1170" w:type="dxa"/>
            <w:tcBorders>
              <w:bottom w:val="single" w:sz="4" w:space="0" w:color="auto"/>
            </w:tcBorders>
          </w:tcPr>
          <w:p w14:paraId="330856A7" w14:textId="57EDF16C"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4.01 ± 2.31</w:t>
            </w:r>
          </w:p>
        </w:tc>
        <w:tc>
          <w:tcPr>
            <w:tcW w:w="1170" w:type="dxa"/>
            <w:tcBorders>
              <w:bottom w:val="single" w:sz="4" w:space="0" w:color="auto"/>
            </w:tcBorders>
          </w:tcPr>
          <w:p w14:paraId="61F1161D" w14:textId="4A8867DB"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-0.16 ± 0.86</w:t>
            </w:r>
          </w:p>
        </w:tc>
        <w:tc>
          <w:tcPr>
            <w:tcW w:w="1090" w:type="dxa"/>
            <w:tcBorders>
              <w:bottom w:val="single" w:sz="4" w:space="0" w:color="auto"/>
            </w:tcBorders>
          </w:tcPr>
          <w:p w14:paraId="78EA4161" w14:textId="53224545"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1.92 ± 0.54</w:t>
            </w:r>
          </w:p>
        </w:tc>
        <w:tc>
          <w:tcPr>
            <w:tcW w:w="1160" w:type="dxa"/>
            <w:tcBorders>
              <w:bottom w:val="single" w:sz="4" w:space="0" w:color="auto"/>
            </w:tcBorders>
          </w:tcPr>
          <w:p w14:paraId="4DDB2730" w14:textId="73F0D7CB" w:rsidR="00B96F1D" w:rsidRPr="004100CF" w:rsidRDefault="00B96F1D" w:rsidP="00B96F1D">
            <w:pPr>
              <w:jc w:val="center"/>
              <w:rPr>
                <w:rFonts w:ascii="Times New Roman" w:hAnsi="Times New Roman" w:cs="Times New Roman"/>
                <w:sz w:val="18"/>
                <w:szCs w:val="18"/>
              </w:rPr>
            </w:pPr>
            <w:r w:rsidRPr="004100CF">
              <w:rPr>
                <w:rFonts w:ascii="Times New Roman" w:hAnsi="Times New Roman" w:cs="Times New Roman"/>
                <w:color w:val="000000"/>
                <w:sz w:val="18"/>
                <w:szCs w:val="18"/>
              </w:rPr>
              <w:t>-0.024 ± 0.062</w:t>
            </w:r>
          </w:p>
        </w:tc>
        <w:tc>
          <w:tcPr>
            <w:tcW w:w="1260" w:type="dxa"/>
            <w:tcBorders>
              <w:bottom w:val="single" w:sz="4" w:space="0" w:color="auto"/>
            </w:tcBorders>
          </w:tcPr>
          <w:p w14:paraId="1895C8CC" w14:textId="79937111" w:rsidR="00B96F1D" w:rsidRPr="004100CF" w:rsidRDefault="00B96F1D" w:rsidP="00B96F1D">
            <w:pPr>
              <w:jc w:val="center"/>
              <w:rPr>
                <w:rFonts w:ascii="Times New Roman" w:hAnsi="Times New Roman" w:cs="Times New Roman"/>
                <w:b/>
                <w:bCs/>
                <w:color w:val="000000"/>
                <w:sz w:val="18"/>
                <w:szCs w:val="18"/>
              </w:rPr>
            </w:pPr>
            <w:r w:rsidRPr="004100CF">
              <w:rPr>
                <w:rFonts w:ascii="Times New Roman" w:hAnsi="Times New Roman" w:cs="Times New Roman"/>
                <w:b/>
                <w:bCs/>
                <w:color w:val="000000"/>
                <w:sz w:val="18"/>
                <w:szCs w:val="18"/>
              </w:rPr>
              <w:t>2.00 ± 1.77</w:t>
            </w:r>
          </w:p>
        </w:tc>
      </w:tr>
    </w:tbl>
    <w:p w14:paraId="74592B5F" w14:textId="0A46B6B5" w:rsidR="00F908FC" w:rsidRPr="004100CF" w:rsidRDefault="00F908FC" w:rsidP="00B96F1D">
      <w:pPr>
        <w:rPr>
          <w:rFonts w:ascii="Times New Roman" w:hAnsi="Times New Roman" w:cs="Times New Roman"/>
          <w:sz w:val="20"/>
          <w:szCs w:val="20"/>
        </w:rPr>
      </w:pPr>
      <w:r w:rsidRPr="004100CF">
        <w:rPr>
          <w:rFonts w:ascii="Times New Roman" w:hAnsi="Times New Roman" w:cs="Times New Roman"/>
          <w:sz w:val="20"/>
          <w:szCs w:val="20"/>
        </w:rPr>
        <w:t xml:space="preserve">*Values are averages over the last 20 frames (~10ns) of 3 independent 100ns </w:t>
      </w:r>
      <w:r w:rsidR="0095348C" w:rsidRPr="004100CF">
        <w:rPr>
          <w:rFonts w:ascii="Times New Roman" w:hAnsi="Times New Roman" w:cs="Times New Roman"/>
          <w:sz w:val="20"/>
          <w:szCs w:val="20"/>
        </w:rPr>
        <w:t>equilibrium</w:t>
      </w:r>
      <w:r w:rsidRPr="004100CF">
        <w:rPr>
          <w:rFonts w:ascii="Times New Roman" w:hAnsi="Times New Roman" w:cs="Times New Roman"/>
          <w:sz w:val="20"/>
          <w:szCs w:val="20"/>
        </w:rPr>
        <w:t xml:space="preserve"> MD simulations. Errors are computed as standard errors of the mean (SEM) over the 3 replicates.</w:t>
      </w:r>
    </w:p>
    <w:p w14:paraId="2A97FDE1" w14:textId="45422280" w:rsidR="00B96F1D" w:rsidRPr="004100CF" w:rsidRDefault="00B96F1D" w:rsidP="00F908FC">
      <w:pPr>
        <w:spacing w:after="240"/>
        <w:rPr>
          <w:rFonts w:ascii="Times New Roman" w:eastAsia="Times New Roman" w:hAnsi="Times New Roman" w:cs="Times New Roman"/>
          <w:sz w:val="21"/>
        </w:rPr>
      </w:pPr>
      <w:r w:rsidRPr="004100CF">
        <w:rPr>
          <w:rFonts w:ascii="Times New Roman" w:hAnsi="Times New Roman" w:cs="Times New Roman"/>
          <w:sz w:val="20"/>
          <w:szCs w:val="20"/>
        </w:rPr>
        <w:lastRenderedPageBreak/>
        <w:t>**</w:t>
      </w:r>
      <w:r w:rsidR="008437F2" w:rsidRPr="004100CF">
        <w:rPr>
          <w:rFonts w:ascii="Times New Roman" w:hAnsi="Times New Roman" w:cs="Times New Roman"/>
          <w:sz w:val="20"/>
          <w:szCs w:val="20"/>
        </w:rPr>
        <w:t xml:space="preserve">Values are </w:t>
      </w:r>
      <w:r w:rsidR="00DA2A0D" w:rsidRPr="004100CF">
        <w:rPr>
          <w:rFonts w:ascii="Times New Roman" w:hAnsi="Times New Roman" w:cs="Times New Roman"/>
          <w:sz w:val="20"/>
          <w:szCs w:val="20"/>
        </w:rPr>
        <w:t>BAR free energy estimates averaged over 3 independent replicates of the Nonequilibrium FEP protocol. Errors are computed as standard errors of the mean (SEM) over the 3 replicates.</w:t>
      </w:r>
    </w:p>
    <w:p w14:paraId="7A0BD2C1" w14:textId="3E83ABC9" w:rsidR="006F69F6" w:rsidRPr="004100CF" w:rsidRDefault="006F69F6" w:rsidP="00AB26F7">
      <w:pPr>
        <w:spacing w:after="240"/>
        <w:rPr>
          <w:rFonts w:ascii="Times New Roman" w:hAnsi="Times New Roman" w:cs="Times New Roman"/>
        </w:rPr>
      </w:pPr>
      <w:r w:rsidRPr="004100CF">
        <w:rPr>
          <w:rFonts w:ascii="Times New Roman" w:hAnsi="Times New Roman" w:cs="Times New Roman"/>
        </w:rPr>
        <w:t xml:space="preserve">Third, </w:t>
      </w:r>
      <w:r w:rsidR="00EF12BD" w:rsidRPr="004100CF">
        <w:rPr>
          <w:rFonts w:ascii="Times New Roman" w:hAnsi="Times New Roman" w:cs="Times New Roman"/>
        </w:rPr>
        <w:t xml:space="preserve">while </w:t>
      </w:r>
      <w:r w:rsidR="00A9487C" w:rsidRPr="004100CF">
        <w:rPr>
          <w:rFonts w:ascii="Times New Roman" w:hAnsi="Times New Roman" w:cs="Times New Roman"/>
        </w:rPr>
        <w:t>∆∆G</w:t>
      </w:r>
      <w:r w:rsidR="00A9487C" w:rsidRPr="004100CF">
        <w:rPr>
          <w:rFonts w:ascii="Times New Roman" w:hAnsi="Times New Roman" w:cs="Times New Roman"/>
          <w:vertAlign w:val="subscript"/>
        </w:rPr>
        <w:t>bind</w:t>
      </w:r>
      <w:r w:rsidR="00A9487C" w:rsidRPr="004100CF">
        <w:rPr>
          <w:rFonts w:ascii="Times New Roman" w:hAnsi="Times New Roman" w:cs="Times New Roman"/>
        </w:rPr>
        <w:t xml:space="preserve"> and ∆∆E</w:t>
      </w:r>
      <w:r w:rsidR="00A9487C" w:rsidRPr="004100CF">
        <w:rPr>
          <w:rFonts w:ascii="Times New Roman" w:hAnsi="Times New Roman" w:cs="Times New Roman"/>
          <w:vertAlign w:val="subscript"/>
        </w:rPr>
        <w:t>Total</w:t>
      </w:r>
      <w:r w:rsidR="00A9487C" w:rsidRPr="004100CF">
        <w:rPr>
          <w:rFonts w:ascii="Times New Roman" w:hAnsi="Times New Roman" w:cs="Times New Roman"/>
        </w:rPr>
        <w:t xml:space="preserve"> exhibit weak but statistically significant correlation with each other (R</w:t>
      </w:r>
      <w:r w:rsidR="00A9487C" w:rsidRPr="004100CF">
        <w:rPr>
          <w:rFonts w:ascii="Times New Roman" w:hAnsi="Times New Roman" w:cs="Times New Roman"/>
          <w:vertAlign w:val="superscript"/>
        </w:rPr>
        <w:t xml:space="preserve">2 </w:t>
      </w:r>
      <w:r w:rsidR="00A9487C" w:rsidRPr="004100CF">
        <w:rPr>
          <w:rFonts w:ascii="Times New Roman" w:hAnsi="Times New Roman" w:cs="Times New Roman"/>
        </w:rPr>
        <w:t>= 0.25, p = 0.03)</w:t>
      </w:r>
      <w:r w:rsidR="00EF12BD" w:rsidRPr="004100CF">
        <w:rPr>
          <w:rFonts w:ascii="Times New Roman" w:hAnsi="Times New Roman" w:cs="Times New Roman"/>
        </w:rPr>
        <w:t xml:space="preserve">, </w:t>
      </w:r>
      <w:r w:rsidR="00327F04" w:rsidRPr="004100CF">
        <w:rPr>
          <w:rFonts w:ascii="Times New Roman" w:hAnsi="Times New Roman" w:cs="Times New Roman"/>
        </w:rPr>
        <w:t>both of these metrics show no correlation with DOR fold-change values observed experimentally - ∆∆G</w:t>
      </w:r>
      <w:r w:rsidR="00327F04" w:rsidRPr="004100CF">
        <w:rPr>
          <w:rFonts w:ascii="Times New Roman" w:hAnsi="Times New Roman" w:cs="Times New Roman"/>
          <w:vertAlign w:val="subscript"/>
        </w:rPr>
        <w:t>bind</w:t>
      </w:r>
      <w:r w:rsidR="00A9487C" w:rsidRPr="004100CF">
        <w:rPr>
          <w:rFonts w:ascii="Times New Roman" w:hAnsi="Times New Roman" w:cs="Times New Roman"/>
        </w:rPr>
        <w:t xml:space="preserve"> </w:t>
      </w:r>
      <w:r w:rsidR="00327F04" w:rsidRPr="004100CF">
        <w:rPr>
          <w:rFonts w:ascii="Times New Roman" w:hAnsi="Times New Roman" w:cs="Times New Roman"/>
        </w:rPr>
        <w:t>vs log</w:t>
      </w:r>
      <w:r w:rsidR="00327F04" w:rsidRPr="004100CF">
        <w:rPr>
          <w:rFonts w:ascii="Times New Roman" w:hAnsi="Times New Roman" w:cs="Times New Roman"/>
          <w:vertAlign w:val="subscript"/>
        </w:rPr>
        <w:t>10</w:t>
      </w:r>
      <w:r w:rsidR="00327F04" w:rsidRPr="004100CF">
        <w:rPr>
          <w:rFonts w:ascii="Times New Roman" w:hAnsi="Times New Roman" w:cs="Times New Roman"/>
        </w:rPr>
        <w:t>(Fold-change) (R</w:t>
      </w:r>
      <w:r w:rsidR="00327F04" w:rsidRPr="004100CF">
        <w:rPr>
          <w:rFonts w:ascii="Times New Roman" w:hAnsi="Times New Roman" w:cs="Times New Roman"/>
          <w:vertAlign w:val="superscript"/>
        </w:rPr>
        <w:t>2</w:t>
      </w:r>
      <w:r w:rsidR="00327F04" w:rsidRPr="004100CF">
        <w:rPr>
          <w:rFonts w:ascii="Times New Roman" w:hAnsi="Times New Roman" w:cs="Times New Roman"/>
        </w:rPr>
        <w:t xml:space="preserve"> = 0.09, p = 0.21) and ∆∆E</w:t>
      </w:r>
      <w:r w:rsidR="00327F04" w:rsidRPr="004100CF">
        <w:rPr>
          <w:rFonts w:ascii="Times New Roman" w:hAnsi="Times New Roman" w:cs="Times New Roman"/>
          <w:vertAlign w:val="subscript"/>
        </w:rPr>
        <w:t>Total</w:t>
      </w:r>
      <w:r w:rsidR="00327F04" w:rsidRPr="004100CF">
        <w:rPr>
          <w:rFonts w:ascii="Times New Roman" w:hAnsi="Times New Roman" w:cs="Times New Roman"/>
        </w:rPr>
        <w:t xml:space="preserve"> vs log</w:t>
      </w:r>
      <w:r w:rsidR="00327F04" w:rsidRPr="004100CF">
        <w:rPr>
          <w:rFonts w:ascii="Times New Roman" w:hAnsi="Times New Roman" w:cs="Times New Roman"/>
          <w:vertAlign w:val="subscript"/>
        </w:rPr>
        <w:t>10</w:t>
      </w:r>
      <w:r w:rsidR="00327F04" w:rsidRPr="004100CF">
        <w:rPr>
          <w:rFonts w:ascii="Times New Roman" w:hAnsi="Times New Roman" w:cs="Times New Roman"/>
        </w:rPr>
        <w:t>(Fold-change) (R</w:t>
      </w:r>
      <w:r w:rsidR="00327F04" w:rsidRPr="004100CF">
        <w:rPr>
          <w:rFonts w:ascii="Times New Roman" w:hAnsi="Times New Roman" w:cs="Times New Roman"/>
          <w:vertAlign w:val="superscript"/>
        </w:rPr>
        <w:t>2</w:t>
      </w:r>
      <w:r w:rsidR="00327F04" w:rsidRPr="004100CF">
        <w:rPr>
          <w:rFonts w:ascii="Times New Roman" w:hAnsi="Times New Roman" w:cs="Times New Roman"/>
        </w:rPr>
        <w:t xml:space="preserve"> = 0.02, p = 0.55). However, a</w:t>
      </w:r>
      <w:r w:rsidR="00A9487C" w:rsidRPr="004100CF">
        <w:rPr>
          <w:rFonts w:ascii="Times New Roman" w:hAnsi="Times New Roman" w:cs="Times New Roman"/>
        </w:rPr>
        <w:t>mongst the set of “Susceptible” OR “Resistant” phenotype mutations</w:t>
      </w:r>
      <w:r w:rsidR="00672978" w:rsidRPr="004100CF">
        <w:rPr>
          <w:rFonts w:ascii="Times New Roman" w:hAnsi="Times New Roman" w:cs="Times New Roman"/>
        </w:rPr>
        <w:t xml:space="preserve"> (i.e. dropping the Uncertain phenotype set)</w:t>
      </w:r>
      <w:r w:rsidR="00A9487C" w:rsidRPr="004100CF">
        <w:rPr>
          <w:rFonts w:ascii="Times New Roman" w:hAnsi="Times New Roman" w:cs="Times New Roman"/>
        </w:rPr>
        <w:t>, ∆∆G</w:t>
      </w:r>
      <w:r w:rsidR="00A9487C" w:rsidRPr="004100CF">
        <w:rPr>
          <w:rFonts w:ascii="Times New Roman" w:hAnsi="Times New Roman" w:cs="Times New Roman"/>
          <w:vertAlign w:val="subscript"/>
        </w:rPr>
        <w:t>bind</w:t>
      </w:r>
      <w:r w:rsidR="00A9487C" w:rsidRPr="004100CF">
        <w:rPr>
          <w:rFonts w:ascii="Times New Roman" w:hAnsi="Times New Roman" w:cs="Times New Roman"/>
        </w:rPr>
        <w:t xml:space="preserve"> exhibits weak correlation with log</w:t>
      </w:r>
      <w:r w:rsidR="00A9487C" w:rsidRPr="004100CF">
        <w:rPr>
          <w:rFonts w:ascii="Times New Roman" w:hAnsi="Times New Roman" w:cs="Times New Roman"/>
          <w:vertAlign w:val="subscript"/>
        </w:rPr>
        <w:t>10</w:t>
      </w:r>
      <w:r w:rsidR="00A9487C" w:rsidRPr="004100CF">
        <w:rPr>
          <w:rFonts w:ascii="Times New Roman" w:hAnsi="Times New Roman" w:cs="Times New Roman"/>
        </w:rPr>
        <w:t>(Fold-change) (R</w:t>
      </w:r>
      <w:r w:rsidR="00A9487C" w:rsidRPr="004100CF">
        <w:rPr>
          <w:rFonts w:ascii="Times New Roman" w:hAnsi="Times New Roman" w:cs="Times New Roman"/>
          <w:vertAlign w:val="superscript"/>
        </w:rPr>
        <w:t>2</w:t>
      </w:r>
      <w:r w:rsidR="00A9487C" w:rsidRPr="004100CF">
        <w:rPr>
          <w:rFonts w:ascii="Times New Roman" w:hAnsi="Times New Roman" w:cs="Times New Roman"/>
        </w:rPr>
        <w:t xml:space="preserve"> = 0.26, p = 0.07), while ∆∆E</w:t>
      </w:r>
      <w:r w:rsidR="00A9487C" w:rsidRPr="004100CF">
        <w:rPr>
          <w:rFonts w:ascii="Times New Roman" w:hAnsi="Times New Roman" w:cs="Times New Roman"/>
          <w:vertAlign w:val="subscript"/>
        </w:rPr>
        <w:t>Total</w:t>
      </w:r>
      <w:r w:rsidR="00A9487C" w:rsidRPr="004100CF">
        <w:rPr>
          <w:rFonts w:ascii="Times New Roman" w:hAnsi="Times New Roman" w:cs="Times New Roman"/>
        </w:rPr>
        <w:t xml:space="preserve"> </w:t>
      </w:r>
      <w:r w:rsidR="00327F04" w:rsidRPr="004100CF">
        <w:rPr>
          <w:rFonts w:ascii="Times New Roman" w:hAnsi="Times New Roman" w:cs="Times New Roman"/>
        </w:rPr>
        <w:t xml:space="preserve">still </w:t>
      </w:r>
      <w:r w:rsidR="00A9487C" w:rsidRPr="004100CF">
        <w:rPr>
          <w:rFonts w:ascii="Times New Roman" w:hAnsi="Times New Roman" w:cs="Times New Roman"/>
        </w:rPr>
        <w:t>shows no correlation with log</w:t>
      </w:r>
      <w:r w:rsidR="00A9487C" w:rsidRPr="004100CF">
        <w:rPr>
          <w:rFonts w:ascii="Times New Roman" w:hAnsi="Times New Roman" w:cs="Times New Roman"/>
          <w:vertAlign w:val="subscript"/>
        </w:rPr>
        <w:t>10</w:t>
      </w:r>
      <w:r w:rsidR="00A9487C" w:rsidRPr="004100CF">
        <w:rPr>
          <w:rFonts w:ascii="Times New Roman" w:hAnsi="Times New Roman" w:cs="Times New Roman"/>
        </w:rPr>
        <w:t>(Fold-change) (R</w:t>
      </w:r>
      <w:r w:rsidR="00A9487C" w:rsidRPr="004100CF">
        <w:rPr>
          <w:rFonts w:ascii="Times New Roman" w:hAnsi="Times New Roman" w:cs="Times New Roman"/>
          <w:vertAlign w:val="superscript"/>
        </w:rPr>
        <w:t>2</w:t>
      </w:r>
      <w:r w:rsidR="00A9487C" w:rsidRPr="004100CF">
        <w:rPr>
          <w:rFonts w:ascii="Times New Roman" w:hAnsi="Times New Roman" w:cs="Times New Roman"/>
        </w:rPr>
        <w:t xml:space="preserve"> = 0.05, p = 0.45).</w:t>
      </w:r>
    </w:p>
    <w:p w14:paraId="65F811FC" w14:textId="3346D243" w:rsidR="002975D3" w:rsidRPr="004100CF" w:rsidRDefault="002975D3" w:rsidP="002975D3">
      <w:pPr>
        <w:rPr>
          <w:rFonts w:ascii="Times New Roman" w:hAnsi="Times New Roman" w:cs="Times New Roman"/>
          <w:b/>
          <w:bCs/>
          <w:sz w:val="28"/>
          <w:szCs w:val="22"/>
        </w:rPr>
      </w:pPr>
      <w:r w:rsidRPr="004100CF">
        <w:rPr>
          <w:rFonts w:ascii="Times New Roman" w:hAnsi="Times New Roman" w:cs="Times New Roman"/>
          <w:b/>
          <w:bCs/>
          <w:sz w:val="28"/>
          <w:szCs w:val="22"/>
        </w:rPr>
        <w:t>Discussion</w:t>
      </w:r>
    </w:p>
    <w:p w14:paraId="63DD6C13" w14:textId="2E14BDD6" w:rsidR="00D51091" w:rsidRPr="004100CF" w:rsidRDefault="00D51091" w:rsidP="00D51091">
      <w:pPr>
        <w:spacing w:after="240"/>
        <w:rPr>
          <w:rFonts w:ascii="Times New Roman" w:hAnsi="Times New Roman" w:cs="Times New Roman"/>
        </w:rPr>
      </w:pPr>
      <w:r w:rsidRPr="004100CF">
        <w:rPr>
          <w:rFonts w:ascii="Times New Roman" w:hAnsi="Times New Roman" w:cs="Times New Roman"/>
          <w:szCs w:val="24"/>
        </w:rPr>
        <w:t xml:space="preserve">DOR poses an unusual resistance problem among second-generation NNRTIs. Like ETR and RPV, DOR retains activity against common NNRTI-associated backgrounds such as K103N, Y181C, and G190A, yet the pathways that reduce DOR susceptibility are distinct and increasingly relevant in clinical use. Specific substitutions such as Y188L, V106A, and Y318F, and combinations including </w:t>
      </w:r>
      <w:r w:rsidR="001B25CB" w:rsidRPr="004100CF">
        <w:rPr>
          <w:rFonts w:ascii="Times New Roman" w:hAnsi="Times New Roman" w:cs="Times New Roman"/>
          <w:szCs w:val="24"/>
        </w:rPr>
        <w:t xml:space="preserve">A98G+F227C, </w:t>
      </w:r>
      <w:r w:rsidRPr="004100CF">
        <w:rPr>
          <w:rFonts w:ascii="Times New Roman" w:hAnsi="Times New Roman" w:cs="Times New Roman"/>
          <w:szCs w:val="24"/>
        </w:rPr>
        <w:t xml:space="preserve">V106I+F227C, V106A+F227L, </w:t>
      </w:r>
      <w:r w:rsidR="001B25CB" w:rsidRPr="004100CF">
        <w:rPr>
          <w:rFonts w:ascii="Times New Roman" w:hAnsi="Times New Roman" w:cs="Times New Roman"/>
          <w:szCs w:val="24"/>
        </w:rPr>
        <w:t xml:space="preserve">V106A+P225H, </w:t>
      </w:r>
      <w:r w:rsidRPr="004100CF">
        <w:rPr>
          <w:rFonts w:ascii="Times New Roman" w:hAnsi="Times New Roman" w:cs="Times New Roman"/>
          <w:szCs w:val="24"/>
        </w:rPr>
        <w:t>V106A+L234I</w:t>
      </w:r>
      <w:r w:rsidR="001B25CB" w:rsidRPr="004100CF">
        <w:rPr>
          <w:rFonts w:ascii="Times New Roman" w:hAnsi="Times New Roman" w:cs="Times New Roman"/>
          <w:szCs w:val="24"/>
        </w:rPr>
        <w:t>, and K103N+M230L</w:t>
      </w:r>
      <w:r w:rsidRPr="004100CF">
        <w:rPr>
          <w:rFonts w:ascii="Times New Roman" w:hAnsi="Times New Roman" w:cs="Times New Roman"/>
          <w:szCs w:val="24"/>
        </w:rPr>
        <w:t xml:space="preserve">, now recur across phenotypic studies, </w:t>
      </w:r>
      <w:r w:rsidRPr="004100CF">
        <w:rPr>
          <w:rFonts w:ascii="Times New Roman" w:hAnsi="Times New Roman" w:cs="Times New Roman"/>
          <w:i/>
          <w:iCs/>
          <w:szCs w:val="24"/>
        </w:rPr>
        <w:t>in vitro</w:t>
      </w:r>
      <w:r w:rsidRPr="004100CF">
        <w:rPr>
          <w:rFonts w:ascii="Times New Roman" w:hAnsi="Times New Roman" w:cs="Times New Roman"/>
          <w:szCs w:val="24"/>
        </w:rPr>
        <w:t xml:space="preserve"> selection experiments, and clinical trial datasets. Despite these observations, publicly available isolate-level susceptibility data for DOR remain sparse. As of April 2026, Stanford HIVDB indexes only 134 DOR-associated isolates tested by the PhenoSense assay, compared with 330 for RPV and 1,193 for ETR. This mismatch between growing clinical relevance and limited public phenotype data for DOR resistance motivated the present study.</w:t>
      </w:r>
      <w:r w:rsidRPr="004100CF">
        <w:rPr>
          <w:rFonts w:ascii="Times New Roman" w:hAnsi="Times New Roman" w:cs="Times New Roman"/>
        </w:rPr>
        <w:t xml:space="preserve"> </w:t>
      </w:r>
    </w:p>
    <w:p w14:paraId="665BE3FA" w14:textId="55E0F7B9" w:rsidR="00D51091" w:rsidRPr="004100CF" w:rsidRDefault="001B25CB" w:rsidP="00D51091">
      <w:pPr>
        <w:spacing w:after="240"/>
        <w:rPr>
          <w:rFonts w:ascii="Times New Roman" w:hAnsi="Times New Roman" w:cs="Times New Roman"/>
        </w:rPr>
      </w:pPr>
      <w:bookmarkStart w:id="6" w:name="_Hlk238122711"/>
      <w:r w:rsidRPr="004100CF">
        <w:rPr>
          <w:rFonts w:ascii="Times New Roman" w:hAnsi="Times New Roman" w:cs="Times New Roman"/>
        </w:rPr>
        <w:t xml:space="preserve">We asked whether explicit-solvent MD simulations of RT-DOR complex could provide an </w:t>
      </w:r>
      <w:r w:rsidRPr="004100CF">
        <w:rPr>
          <w:rFonts w:ascii="Times New Roman" w:hAnsi="Times New Roman" w:cs="Times New Roman"/>
          <w:i/>
          <w:iCs/>
        </w:rPr>
        <w:t xml:space="preserve">in silico </w:t>
      </w:r>
      <w:r w:rsidRPr="004100CF">
        <w:rPr>
          <w:rFonts w:ascii="Times New Roman" w:hAnsi="Times New Roman" w:cs="Times New Roman"/>
        </w:rPr>
        <w:t xml:space="preserve">framework for comparison with </w:t>
      </w:r>
      <w:r w:rsidRPr="004100CF">
        <w:rPr>
          <w:rFonts w:ascii="Times New Roman" w:hAnsi="Times New Roman" w:cs="Times New Roman"/>
          <w:i/>
          <w:iCs/>
        </w:rPr>
        <w:t xml:space="preserve">in vitro </w:t>
      </w:r>
      <w:r w:rsidRPr="004100CF">
        <w:rPr>
          <w:rFonts w:ascii="Times New Roman" w:hAnsi="Times New Roman" w:cs="Times New Roman"/>
        </w:rPr>
        <w:t xml:space="preserve">susceptibility data. </w:t>
      </w:r>
      <w:r w:rsidR="0045260D" w:rsidRPr="004100CF">
        <w:rPr>
          <w:rFonts w:ascii="Times New Roman" w:hAnsi="Times New Roman" w:cs="Times New Roman"/>
        </w:rPr>
        <w:t>Specifically, we used both MM/GBSA-based absolute energy computation from equilibrium MD simulations and a</w:t>
      </w:r>
      <w:r w:rsidR="00F77785" w:rsidRPr="004100CF">
        <w:rPr>
          <w:rFonts w:ascii="Times New Roman" w:hAnsi="Times New Roman" w:cs="Times New Roman"/>
        </w:rPr>
        <w:t xml:space="preserve"> recently developed</w:t>
      </w:r>
      <w:r w:rsidR="00F77785" w:rsidRPr="004100CF">
        <w:rPr>
          <w:rFonts w:ascii="Times New Roman" w:hAnsi="Times New Roman" w:cs="Times New Roman"/>
        </w:rPr>
        <w:fldChar w:fldCharType="begin"/>
      </w:r>
      <w:r w:rsidR="00F77785" w:rsidRPr="004100CF">
        <w:rPr>
          <w:rFonts w:ascii="Times New Roman" w:hAnsi="Times New Roman" w:cs="Times New Roman"/>
        </w:rPr>
        <w:instrText xml:space="preserve"> ADDIN ZOTERO_ITEM CSL_CITATION {"citationID":"3aC1ecTa","properties":{"unsorted":true,"formattedCitation":"\\super 30,31\\nosupersub{}","plainCitation":"30,31","noteIndex":0},"citationItems":[{"id":257,"uris":["http://zotero.org/users/19404620/items/3AGKTMV5"],"itemData":{"id":257,"type":"article-journal","abstract":"This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F77785" w:rsidRPr="004100CF">
        <w:rPr>
          <w:rFonts w:ascii="Times New Roman" w:hAnsi="Times New Roman" w:cs="Times New Roman"/>
        </w:rPr>
        <w:fldChar w:fldCharType="separate"/>
      </w:r>
      <w:r w:rsidR="00F77785" w:rsidRPr="004100CF">
        <w:rPr>
          <w:rFonts w:ascii="Times New Roman" w:hAnsi="Times New Roman" w:cs="Times New Roman"/>
          <w:szCs w:val="24"/>
          <w:vertAlign w:val="superscript"/>
        </w:rPr>
        <w:t>30,31</w:t>
      </w:r>
      <w:r w:rsidR="00F77785" w:rsidRPr="004100CF">
        <w:rPr>
          <w:rFonts w:ascii="Times New Roman" w:hAnsi="Times New Roman" w:cs="Times New Roman"/>
        </w:rPr>
        <w:fldChar w:fldCharType="end"/>
      </w:r>
      <w:r w:rsidR="0045260D" w:rsidRPr="004100CF">
        <w:rPr>
          <w:rFonts w:ascii="Times New Roman" w:hAnsi="Times New Roman" w:cs="Times New Roman"/>
        </w:rPr>
        <w:t xml:space="preserve"> alchemical </w:t>
      </w:r>
      <w:r w:rsidR="00200876" w:rsidRPr="004100CF">
        <w:rPr>
          <w:rFonts w:ascii="Times New Roman" w:hAnsi="Times New Roman" w:cs="Times New Roman"/>
        </w:rPr>
        <w:t>FEP</w:t>
      </w:r>
      <w:r w:rsidR="0045260D" w:rsidRPr="004100CF">
        <w:rPr>
          <w:rFonts w:ascii="Times New Roman" w:hAnsi="Times New Roman" w:cs="Times New Roman"/>
        </w:rPr>
        <w:t xml:space="preserve"> </w:t>
      </w:r>
      <w:r w:rsidR="00200876" w:rsidRPr="004100CF">
        <w:rPr>
          <w:rFonts w:ascii="Times New Roman" w:hAnsi="Times New Roman" w:cs="Times New Roman"/>
        </w:rPr>
        <w:t>method</w:t>
      </w:r>
      <w:r w:rsidR="0045260D" w:rsidRPr="004100CF">
        <w:rPr>
          <w:rFonts w:ascii="Times New Roman" w:hAnsi="Times New Roman" w:cs="Times New Roman"/>
        </w:rPr>
        <w:t xml:space="preserve"> </w:t>
      </w:r>
      <w:r w:rsidR="00200876" w:rsidRPr="004100CF">
        <w:rPr>
          <w:rFonts w:ascii="Times New Roman" w:hAnsi="Times New Roman" w:cs="Times New Roman"/>
        </w:rPr>
        <w:t>that uses nonequilibrium switching</w:t>
      </w:r>
      <w:r w:rsidR="0045260D" w:rsidRPr="004100CF">
        <w:rPr>
          <w:rFonts w:ascii="Times New Roman" w:hAnsi="Times New Roman" w:cs="Times New Roman"/>
        </w:rPr>
        <w:t xml:space="preserve">. </w:t>
      </w:r>
      <w:bookmarkEnd w:id="6"/>
      <w:r w:rsidRPr="004100CF">
        <w:rPr>
          <w:rFonts w:ascii="Times New Roman" w:hAnsi="Times New Roman" w:cs="Times New Roman"/>
        </w:rPr>
        <w:t>This choice was motivated by prior studies that successfully used such free energy calculations from MD simulations to interrogate resistance mutations in infectious diseases,</w:t>
      </w:r>
      <w:r w:rsidR="00AC54E3" w:rsidRPr="004100CF">
        <w:rPr>
          <w:rFonts w:ascii="Times New Roman" w:hAnsi="Times New Roman" w:cs="Times New Roman"/>
        </w:rPr>
        <w:fldChar w:fldCharType="begin"/>
      </w:r>
      <w:r w:rsidR="00AC54E3" w:rsidRPr="004100CF">
        <w:rPr>
          <w:rFonts w:ascii="Times New Roman" w:hAnsi="Times New Roman" w:cs="Times New Roman"/>
        </w:rPr>
        <w:instrText xml:space="preserve"> ADDIN ZOTERO_ITEM CSL_CITATION {"citationID":"YsIGJLYx","properties":{"unsorted":true,"formattedCitation":"\\super 57\\uc0\\u8211{}59\\nosupersub{}","plainCitation":"57–59","noteIndex":0},"citationItems":[{"id":322,"uris":["http://zotero.org/users/19404620/items/38PDJNEN"],"itemData":{"id":322,"type":"article-journal","abstract":"Point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rsidR="00AC54E3" w:rsidRPr="004100CF">
        <w:rPr>
          <w:rFonts w:ascii="Times New Roman" w:hAnsi="Times New Roman" w:cs="Times New Roman"/>
        </w:rPr>
        <w:fldChar w:fldCharType="separate"/>
      </w:r>
      <w:r w:rsidR="00AC54E3" w:rsidRPr="004100CF">
        <w:rPr>
          <w:rFonts w:ascii="Times New Roman" w:hAnsi="Times New Roman" w:cs="Times New Roman"/>
          <w:szCs w:val="24"/>
          <w:vertAlign w:val="superscript"/>
        </w:rPr>
        <w:t>57–59</w:t>
      </w:r>
      <w:r w:rsidR="00AC54E3" w:rsidRPr="004100CF">
        <w:rPr>
          <w:rFonts w:ascii="Times New Roman" w:hAnsi="Times New Roman" w:cs="Times New Roman"/>
        </w:rPr>
        <w:fldChar w:fldCharType="end"/>
      </w:r>
      <w:r w:rsidRPr="004100CF">
        <w:rPr>
          <w:rFonts w:ascii="Times New Roman" w:hAnsi="Times New Roman" w:cs="Times New Roman"/>
        </w:rPr>
        <w:t xml:space="preserve"> including HIV,</w:t>
      </w:r>
      <w:r w:rsidR="00C67814" w:rsidRPr="004100CF">
        <w:rPr>
          <w:rFonts w:ascii="Times New Roman" w:hAnsi="Times New Roman" w:cs="Times New Roman"/>
        </w:rPr>
        <w:fldChar w:fldCharType="begin"/>
      </w:r>
      <w:r w:rsidR="00C67814" w:rsidRPr="004100CF">
        <w:rPr>
          <w:rFonts w:ascii="Times New Roman" w:hAnsi="Times New Roman" w:cs="Times New Roman"/>
        </w:rPr>
        <w:instrText xml:space="preserve"> ADDIN ZOTERO_ITEM CSL_CITATION {"citationID":"FwFMZHUY","properties":{"unsorted":true,"formattedCitation":"\\super 26,60\\uc0\\u8211{}64\\nosupersub{}","plainCitation":"26,60–64","noteIndex":0},"citationItems":[{"id":318,"uris":["http://zotero.org/users/19404620/items/Z3JHCUEJ"],"itemData":{"id":318,"type":"article-journal","abstract":"The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rsidR="00C67814" w:rsidRPr="004100CF">
        <w:rPr>
          <w:rFonts w:ascii="Times New Roman" w:hAnsi="Times New Roman" w:cs="Times New Roman"/>
        </w:rPr>
        <w:fldChar w:fldCharType="separate"/>
      </w:r>
      <w:r w:rsidR="00C67814" w:rsidRPr="004100CF">
        <w:rPr>
          <w:rFonts w:ascii="Times New Roman" w:hAnsi="Times New Roman" w:cs="Times New Roman"/>
          <w:szCs w:val="24"/>
          <w:vertAlign w:val="superscript"/>
        </w:rPr>
        <w:t>26,60–64</w:t>
      </w:r>
      <w:r w:rsidR="00C67814" w:rsidRPr="004100CF">
        <w:rPr>
          <w:rFonts w:ascii="Times New Roman" w:hAnsi="Times New Roman" w:cs="Times New Roman"/>
        </w:rPr>
        <w:fldChar w:fldCharType="end"/>
      </w:r>
      <w:r w:rsidRPr="004100CF">
        <w:rPr>
          <w:rFonts w:ascii="Times New Roman" w:hAnsi="Times New Roman" w:cs="Times New Roman"/>
        </w:rPr>
        <w:t xml:space="preserve"> and cancer.</w:t>
      </w:r>
      <w:r w:rsidR="006F0935" w:rsidRPr="004100CF">
        <w:rPr>
          <w:rFonts w:ascii="Times New Roman" w:hAnsi="Times New Roman" w:cs="Times New Roman"/>
        </w:rPr>
        <w:fldChar w:fldCharType="begin"/>
      </w:r>
      <w:r w:rsidR="006F0935" w:rsidRPr="004100CF">
        <w:rPr>
          <w:rFonts w:ascii="Times New Roman" w:hAnsi="Times New Roman" w:cs="Times New Roman"/>
        </w:rPr>
        <w:instrText xml:space="preserve"> ADDIN ZOTERO_ITEM CSL_CITATION {"citationID":"7z8cciZU","properties":{"unsorted":false,"formattedCitation":"\\super 65,66\\nosupersub{}","plainCitation":"65,66","noteIndex":0},"citationItems":[{"id":260,"uris":["http://zotero.org/users/19404620/items/6VJGNZIE"],"itemData":{"id":260,"type":"article-journal","abstract":"The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rsidR="006F0935" w:rsidRPr="004100CF">
        <w:rPr>
          <w:rFonts w:ascii="Times New Roman" w:hAnsi="Times New Roman" w:cs="Times New Roman"/>
        </w:rPr>
        <w:fldChar w:fldCharType="separate"/>
      </w:r>
      <w:r w:rsidR="006F0935" w:rsidRPr="004100CF">
        <w:rPr>
          <w:rFonts w:ascii="Times New Roman" w:hAnsi="Times New Roman" w:cs="Times New Roman"/>
          <w:szCs w:val="24"/>
          <w:vertAlign w:val="superscript"/>
        </w:rPr>
        <w:t>65,66</w:t>
      </w:r>
      <w:r w:rsidR="006F0935" w:rsidRPr="004100CF">
        <w:rPr>
          <w:rFonts w:ascii="Times New Roman" w:hAnsi="Times New Roman" w:cs="Times New Roman"/>
        </w:rPr>
        <w:fldChar w:fldCharType="end"/>
      </w:r>
      <w:r w:rsidRPr="004100CF">
        <w:rPr>
          <w:rFonts w:ascii="Times New Roman" w:hAnsi="Times New Roman" w:cs="Times New Roman"/>
        </w:rPr>
        <w:t xml:space="preserve"> </w:t>
      </w:r>
      <w:r w:rsidR="0045260D" w:rsidRPr="004100CF">
        <w:rPr>
          <w:rFonts w:ascii="Times New Roman" w:hAnsi="Times New Roman" w:cs="Times New Roman"/>
        </w:rPr>
        <w:t xml:space="preserve">For transparency and reproducibility, we used open source alternatives to </w:t>
      </w:r>
      <w:r w:rsidR="00200876" w:rsidRPr="004100CF">
        <w:rPr>
          <w:rFonts w:ascii="Times New Roman" w:hAnsi="Times New Roman" w:cs="Times New Roman"/>
        </w:rPr>
        <w:t xml:space="preserve">the more </w:t>
      </w:r>
      <w:r w:rsidR="00F84BC2" w:rsidRPr="004100CF">
        <w:rPr>
          <w:rFonts w:ascii="Times New Roman" w:hAnsi="Times New Roman" w:cs="Times New Roman"/>
        </w:rPr>
        <w:t>widely-used</w:t>
      </w:r>
      <w:r w:rsidR="00200876" w:rsidRPr="004100CF">
        <w:rPr>
          <w:rFonts w:ascii="Times New Roman" w:hAnsi="Times New Roman" w:cs="Times New Roman"/>
        </w:rPr>
        <w:t xml:space="preserve">, </w:t>
      </w:r>
      <w:r w:rsidR="00F84BC2" w:rsidRPr="004100CF">
        <w:rPr>
          <w:rFonts w:ascii="Times New Roman" w:hAnsi="Times New Roman" w:cs="Times New Roman"/>
        </w:rPr>
        <w:t>commercial</w:t>
      </w:r>
      <w:r w:rsidR="0045260D" w:rsidRPr="004100CF">
        <w:rPr>
          <w:rFonts w:ascii="Times New Roman" w:hAnsi="Times New Roman" w:cs="Times New Roman"/>
        </w:rPr>
        <w:t xml:space="preserve"> FEP </w:t>
      </w:r>
      <w:r w:rsidR="00F84BC2" w:rsidRPr="004100CF">
        <w:rPr>
          <w:rFonts w:ascii="Times New Roman" w:hAnsi="Times New Roman" w:cs="Times New Roman"/>
        </w:rPr>
        <w:t>workflows</w:t>
      </w:r>
      <w:r w:rsidR="0045260D" w:rsidRPr="004100CF">
        <w:rPr>
          <w:rFonts w:ascii="Times New Roman" w:hAnsi="Times New Roman" w:cs="Times New Roman"/>
        </w:rPr>
        <w:t>.</w:t>
      </w:r>
      <w:r w:rsidR="00F84BC2" w:rsidRPr="004100CF">
        <w:rPr>
          <w:rFonts w:ascii="Times New Roman" w:hAnsi="Times New Roman" w:cs="Times New Roman"/>
        </w:rPr>
        <w:fldChar w:fldCharType="begin"/>
      </w:r>
      <w:r w:rsidR="00F84BC2" w:rsidRPr="004100CF">
        <w:rPr>
          <w:rFonts w:ascii="Times New Roman" w:hAnsi="Times New Roman" w:cs="Times New Roman"/>
        </w:rPr>
        <w:instrText xml:space="preserve"> ADDIN ZOTERO_ITEM CSL_CITATION {"citationID":"9NrNcyuP","properties":{"unsorted":true,"formattedCitation":"\\super 67,68\\nosupersub{}","plainCitation":"67,68","noteIndex":0},"citationItems":[{"id":333,"uris":["http://zotero.org/users/19404620/items/88HGJU5N"],"itemData":{"id":333,"type":"article-journal","abstract":"Designing\ntight-binding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F84BC2" w:rsidRPr="004100CF">
        <w:rPr>
          <w:rFonts w:ascii="Cambria Math" w:hAnsi="Cambria Math" w:cs="Cambria Math"/>
        </w:rPr>
        <w:instrText>∼</w:instrText>
      </w:r>
      <w:r w:rsidR="00F84BC2" w:rsidRPr="004100CF">
        <w:rPr>
          <w:rFonts w:ascii="Times New Roman" w:hAnsi="Times New Roman" w:cs="Times New Roman"/>
        </w:rPr>
        <w:instrText xml:space="preserve">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rsidR="00F84BC2" w:rsidRPr="004100CF">
        <w:rPr>
          <w:rFonts w:ascii="Times New Roman" w:hAnsi="Times New Roman" w:cs="Times New Roman"/>
        </w:rPr>
        <w:fldChar w:fldCharType="separate"/>
      </w:r>
      <w:r w:rsidR="00F84BC2" w:rsidRPr="004100CF">
        <w:rPr>
          <w:rFonts w:ascii="Times New Roman" w:hAnsi="Times New Roman" w:cs="Times New Roman"/>
          <w:szCs w:val="24"/>
          <w:vertAlign w:val="superscript"/>
        </w:rPr>
        <w:t>67,68</w:t>
      </w:r>
      <w:r w:rsidR="00F84BC2" w:rsidRPr="004100CF">
        <w:rPr>
          <w:rFonts w:ascii="Times New Roman" w:hAnsi="Times New Roman" w:cs="Times New Roman"/>
        </w:rPr>
        <w:fldChar w:fldCharType="end"/>
      </w:r>
    </w:p>
    <w:p w14:paraId="423ADAA0" w14:textId="77777777" w:rsidR="00247D42" w:rsidRPr="004100CF" w:rsidRDefault="0045260D" w:rsidP="000C66C6">
      <w:pPr>
        <w:spacing w:after="240"/>
        <w:rPr>
          <w:rFonts w:ascii="Times New Roman" w:hAnsi="Times New Roman" w:cs="Times New Roman"/>
        </w:rPr>
      </w:pPr>
      <w:r w:rsidRPr="004100CF">
        <w:rPr>
          <w:rFonts w:ascii="Times New Roman" w:hAnsi="Times New Roman" w:cs="Times New Roman"/>
        </w:rPr>
        <w:t xml:space="preserve">We found that </w:t>
      </w:r>
      <w:r w:rsidR="00200876" w:rsidRPr="004100CF">
        <w:rPr>
          <w:rFonts w:ascii="Times New Roman" w:hAnsi="Times New Roman" w:cs="Times New Roman"/>
        </w:rPr>
        <w:t>the relative binding free energy, ∆∆G</w:t>
      </w:r>
      <w:r w:rsidR="00200876" w:rsidRPr="004100CF">
        <w:rPr>
          <w:rFonts w:ascii="Times New Roman" w:hAnsi="Times New Roman" w:cs="Times New Roman"/>
          <w:vertAlign w:val="subscript"/>
        </w:rPr>
        <w:t>bind</w:t>
      </w:r>
      <w:r w:rsidR="00200876" w:rsidRPr="004100CF">
        <w:rPr>
          <w:rFonts w:ascii="Times New Roman" w:hAnsi="Times New Roman" w:cs="Times New Roman"/>
        </w:rPr>
        <w:t xml:space="preserve">, obtained from the FEP simulations correctly predicted low impact on RT-DOR binding affinity for 3 out of 4 Susceptible mutations and </w:t>
      </w:r>
      <w:r w:rsidR="000C66C6" w:rsidRPr="004100CF">
        <w:rPr>
          <w:rFonts w:ascii="Times New Roman" w:hAnsi="Times New Roman" w:cs="Times New Roman"/>
        </w:rPr>
        <w:t>significant</w:t>
      </w:r>
      <w:r w:rsidR="00200876" w:rsidRPr="004100CF">
        <w:rPr>
          <w:rFonts w:ascii="Times New Roman" w:hAnsi="Times New Roman" w:cs="Times New Roman"/>
        </w:rPr>
        <w:t xml:space="preserve"> impact on RT-DOR binding affinity for 7 out of 9 Resistant mutations.</w:t>
      </w:r>
      <w:r w:rsidR="000C66C6" w:rsidRPr="004100CF">
        <w:rPr>
          <w:rFonts w:ascii="Times New Roman" w:hAnsi="Times New Roman" w:cs="Times New Roman"/>
        </w:rPr>
        <w:t xml:space="preserve"> As a result, amongst this set of mutations, ∆∆G</w:t>
      </w:r>
      <w:r w:rsidR="000C66C6" w:rsidRPr="004100CF">
        <w:rPr>
          <w:rFonts w:ascii="Times New Roman" w:hAnsi="Times New Roman" w:cs="Times New Roman"/>
          <w:vertAlign w:val="subscript"/>
        </w:rPr>
        <w:t>bind</w:t>
      </w:r>
      <w:r w:rsidR="000C66C6" w:rsidRPr="004100CF">
        <w:rPr>
          <w:rFonts w:ascii="Times New Roman" w:hAnsi="Times New Roman" w:cs="Times New Roman"/>
        </w:rPr>
        <w:t xml:space="preserve"> was found to correlate with (logarithm of) fold-change in DOR susceptibility observed </w:t>
      </w:r>
      <w:r w:rsidR="000C66C6" w:rsidRPr="004100CF">
        <w:rPr>
          <w:rFonts w:ascii="Times New Roman" w:hAnsi="Times New Roman" w:cs="Times New Roman"/>
          <w:i/>
          <w:iCs/>
        </w:rPr>
        <w:t>in vitro</w:t>
      </w:r>
      <w:r w:rsidR="000C66C6" w:rsidRPr="004100CF">
        <w:rPr>
          <w:rFonts w:ascii="Times New Roman" w:hAnsi="Times New Roman" w:cs="Times New Roman"/>
        </w:rPr>
        <w:t>, though this correlation was weak and not statistically significant (R</w:t>
      </w:r>
      <w:r w:rsidR="000C66C6" w:rsidRPr="004100CF">
        <w:rPr>
          <w:rFonts w:ascii="Times New Roman" w:hAnsi="Times New Roman" w:cs="Times New Roman"/>
          <w:vertAlign w:val="superscript"/>
        </w:rPr>
        <w:t>2</w:t>
      </w:r>
      <w:r w:rsidR="000C66C6" w:rsidRPr="004100CF">
        <w:rPr>
          <w:rFonts w:ascii="Times New Roman" w:hAnsi="Times New Roman" w:cs="Times New Roman"/>
        </w:rPr>
        <w:t xml:space="preserve"> = 0.26, p = 0.07). In contrast, ∆∆E</w:t>
      </w:r>
      <w:r w:rsidR="00247D42" w:rsidRPr="004100CF">
        <w:rPr>
          <w:rFonts w:ascii="Times New Roman" w:hAnsi="Times New Roman" w:cs="Times New Roman"/>
          <w:vertAlign w:val="subscript"/>
        </w:rPr>
        <w:t>Total</w:t>
      </w:r>
      <w:r w:rsidR="000C66C6" w:rsidRPr="004100CF">
        <w:rPr>
          <w:rFonts w:ascii="Times New Roman" w:hAnsi="Times New Roman" w:cs="Times New Roman"/>
        </w:rPr>
        <w:t xml:space="preserve"> values </w:t>
      </w:r>
      <w:r w:rsidR="00247D42" w:rsidRPr="004100CF">
        <w:rPr>
          <w:rFonts w:ascii="Times New Roman" w:hAnsi="Times New Roman" w:cs="Times New Roman"/>
        </w:rPr>
        <w:t>obtained from MM/GBSA energy calculations correctly predicted low impact on RT-DOR interface energy for only 1 out of 4 Susceptible mutations and significant impact on RT-DOR interface energy for 8 out of 9 Resistant mutations. Moreover, ∆∆E</w:t>
      </w:r>
      <w:r w:rsidR="00247D42" w:rsidRPr="004100CF">
        <w:rPr>
          <w:rFonts w:ascii="Times New Roman" w:hAnsi="Times New Roman" w:cs="Times New Roman"/>
          <w:vertAlign w:val="subscript"/>
        </w:rPr>
        <w:t>Total</w:t>
      </w:r>
      <w:r w:rsidR="00247D42" w:rsidRPr="004100CF">
        <w:rPr>
          <w:rFonts w:ascii="Times New Roman" w:hAnsi="Times New Roman" w:cs="Times New Roman"/>
        </w:rPr>
        <w:t xml:space="preserve"> exhibited no correlation with DOR fold-change data.</w:t>
      </w:r>
    </w:p>
    <w:p w14:paraId="06575B06" w14:textId="73AE64F8" w:rsidR="000C66C6" w:rsidRPr="004100CF" w:rsidRDefault="000412F0" w:rsidP="000C66C6">
      <w:pPr>
        <w:spacing w:after="240"/>
        <w:rPr>
          <w:rFonts w:ascii="Times New Roman" w:hAnsi="Times New Roman" w:cs="Times New Roman"/>
        </w:rPr>
      </w:pPr>
      <w:r w:rsidRPr="004100CF">
        <w:rPr>
          <w:rFonts w:ascii="Times New Roman" w:hAnsi="Times New Roman" w:cs="Times New Roman"/>
        </w:rPr>
        <w:t>Interestingly, ∆∆E</w:t>
      </w:r>
      <w:r w:rsidRPr="004100CF">
        <w:rPr>
          <w:rFonts w:ascii="Times New Roman" w:hAnsi="Times New Roman" w:cs="Times New Roman"/>
          <w:vertAlign w:val="subscript"/>
        </w:rPr>
        <w:t>Total</w:t>
      </w:r>
      <w:r w:rsidRPr="004100CF">
        <w:rPr>
          <w:rFonts w:ascii="Times New Roman" w:hAnsi="Times New Roman" w:cs="Times New Roman"/>
        </w:rPr>
        <w:t xml:space="preserve"> and ∆∆G</w:t>
      </w:r>
      <w:r w:rsidRPr="004100CF">
        <w:rPr>
          <w:rFonts w:ascii="Times New Roman" w:hAnsi="Times New Roman" w:cs="Times New Roman"/>
          <w:vertAlign w:val="subscript"/>
        </w:rPr>
        <w:t>bind</w:t>
      </w:r>
      <w:r w:rsidRPr="004100CF">
        <w:rPr>
          <w:rFonts w:ascii="Times New Roman" w:hAnsi="Times New Roman" w:cs="Times New Roman"/>
        </w:rPr>
        <w:t xml:space="preserve"> showed a modest correlation with each other (R</w:t>
      </w:r>
      <w:r w:rsidRPr="004100CF">
        <w:rPr>
          <w:rFonts w:ascii="Times New Roman" w:hAnsi="Times New Roman" w:cs="Times New Roman"/>
          <w:vertAlign w:val="superscript"/>
        </w:rPr>
        <w:t xml:space="preserve">2 </w:t>
      </w:r>
      <w:r w:rsidRPr="004100CF">
        <w:rPr>
          <w:rFonts w:ascii="Times New Roman" w:hAnsi="Times New Roman" w:cs="Times New Roman"/>
        </w:rPr>
        <w:t xml:space="preserve">= 0.25, p = 0.03). Thus, there are likely shared structural mechanisms that impact both these metrics. </w:t>
      </w:r>
      <w:r w:rsidR="00896543" w:rsidRPr="004100CF">
        <w:rPr>
          <w:rFonts w:ascii="Times New Roman" w:hAnsi="Times New Roman" w:cs="Times New Roman"/>
        </w:rPr>
        <w:t xml:space="preserve">Judging from the dominant impact of van der Waals energy component (Table 2), it is possible </w:t>
      </w:r>
      <w:r w:rsidR="00896543" w:rsidRPr="004100CF">
        <w:rPr>
          <w:rFonts w:ascii="Times New Roman" w:hAnsi="Times New Roman" w:cs="Times New Roman"/>
        </w:rPr>
        <w:lastRenderedPageBreak/>
        <w:t xml:space="preserve">that these shared mechanisms include inefficiency in packing DOR within the NNIBP. </w:t>
      </w:r>
      <w:r w:rsidRPr="004100CF">
        <w:rPr>
          <w:rFonts w:ascii="Times New Roman" w:hAnsi="Times New Roman" w:cs="Times New Roman"/>
        </w:rPr>
        <w:t xml:space="preserve">However, </w:t>
      </w:r>
      <w:r w:rsidR="00247D42" w:rsidRPr="004100CF">
        <w:rPr>
          <w:rFonts w:ascii="Times New Roman" w:hAnsi="Times New Roman" w:cs="Times New Roman"/>
        </w:rPr>
        <w:t>∆∆E</w:t>
      </w:r>
      <w:r w:rsidR="00247D42" w:rsidRPr="004100CF">
        <w:rPr>
          <w:rFonts w:ascii="Times New Roman" w:hAnsi="Times New Roman" w:cs="Times New Roman"/>
          <w:vertAlign w:val="subscript"/>
        </w:rPr>
        <w:t>Total</w:t>
      </w:r>
      <w:r w:rsidR="00247D42" w:rsidRPr="004100CF">
        <w:rPr>
          <w:rFonts w:ascii="Times New Roman" w:hAnsi="Times New Roman" w:cs="Times New Roman"/>
        </w:rPr>
        <w:t xml:space="preserve"> values typically showed larger error bars than ∆∆G</w:t>
      </w:r>
      <w:r w:rsidR="00247D42" w:rsidRPr="004100CF">
        <w:rPr>
          <w:rFonts w:ascii="Times New Roman" w:hAnsi="Times New Roman" w:cs="Times New Roman"/>
          <w:vertAlign w:val="subscript"/>
        </w:rPr>
        <w:t>bind</w:t>
      </w:r>
      <w:r w:rsidR="00247D42" w:rsidRPr="004100CF">
        <w:rPr>
          <w:rFonts w:ascii="Times New Roman" w:hAnsi="Times New Roman" w:cs="Times New Roman"/>
        </w:rPr>
        <w:t xml:space="preserve">. This observation is not due to incomplete convergence of the </w:t>
      </w:r>
      <w:r w:rsidRPr="004100CF">
        <w:rPr>
          <w:rFonts w:ascii="Times New Roman" w:hAnsi="Times New Roman" w:cs="Times New Roman"/>
        </w:rPr>
        <w:t xml:space="preserve">equilibrium </w:t>
      </w:r>
      <w:r w:rsidR="00247D42" w:rsidRPr="004100CF">
        <w:rPr>
          <w:rFonts w:ascii="Times New Roman" w:hAnsi="Times New Roman" w:cs="Times New Roman"/>
        </w:rPr>
        <w:t>simulations (Supplementary Figure 1), rather intrinsic noise in the MM/GBSA approach for large and complex systems</w:t>
      </w:r>
      <w:r w:rsidRPr="004100CF">
        <w:rPr>
          <w:rFonts w:ascii="Times New Roman" w:hAnsi="Times New Roman" w:cs="Times New Roman"/>
        </w:rPr>
        <w:t xml:space="preserve"> (Supplementary Table 3)</w:t>
      </w:r>
      <w:r w:rsidR="00247D42" w:rsidRPr="004100CF">
        <w:rPr>
          <w:rFonts w:ascii="Times New Roman" w:hAnsi="Times New Roman" w:cs="Times New Roman"/>
        </w:rPr>
        <w:t xml:space="preserve">. This noise can be mitigated by </w:t>
      </w:r>
      <w:r w:rsidRPr="004100CF">
        <w:rPr>
          <w:rFonts w:ascii="Times New Roman" w:hAnsi="Times New Roman" w:cs="Times New Roman"/>
        </w:rPr>
        <w:t xml:space="preserve">(i) </w:t>
      </w:r>
      <w:r w:rsidR="00247D42" w:rsidRPr="004100CF">
        <w:rPr>
          <w:rFonts w:ascii="Times New Roman" w:hAnsi="Times New Roman" w:cs="Times New Roman"/>
        </w:rPr>
        <w:t>increasing the number of replicates</w:t>
      </w:r>
      <w:r w:rsidRPr="004100CF">
        <w:rPr>
          <w:rFonts w:ascii="Times New Roman" w:hAnsi="Times New Roman" w:cs="Times New Roman"/>
        </w:rPr>
        <w:t xml:space="preserve"> for each simulation </w:t>
      </w:r>
      <w:r w:rsidR="00F21F97" w:rsidRPr="004100CF">
        <w:rPr>
          <w:rFonts w:ascii="Times New Roman" w:hAnsi="Times New Roman" w:cs="Times New Roman"/>
        </w:rPr>
        <w:t>and</w:t>
      </w:r>
      <w:r w:rsidRPr="004100CF">
        <w:rPr>
          <w:rFonts w:ascii="Times New Roman" w:hAnsi="Times New Roman" w:cs="Times New Roman"/>
        </w:rPr>
        <w:t xml:space="preserve"> (ii) freezing or truncating the atoms far from the binding pocket</w:t>
      </w:r>
      <w:r w:rsidR="00247D42" w:rsidRPr="004100CF">
        <w:rPr>
          <w:rFonts w:ascii="Times New Roman" w:hAnsi="Times New Roman" w:cs="Times New Roman"/>
        </w:rPr>
        <w:t>.</w:t>
      </w:r>
    </w:p>
    <w:p w14:paraId="17132AAB" w14:textId="1B3B217F" w:rsidR="000C66C6" w:rsidRPr="004100CF" w:rsidRDefault="000C66C6" w:rsidP="000C66C6">
      <w:pPr>
        <w:spacing w:after="240"/>
        <w:rPr>
          <w:rFonts w:ascii="Times New Roman" w:hAnsi="Times New Roman" w:cs="Times New Roman"/>
        </w:rPr>
      </w:pPr>
      <w:r w:rsidRPr="004100CF">
        <w:rPr>
          <w:rFonts w:ascii="Times New Roman" w:hAnsi="Times New Roman" w:cs="Times New Roman"/>
        </w:rPr>
        <w:t xml:space="preserve">Since the </w:t>
      </w:r>
      <w:r w:rsidR="00896543" w:rsidRPr="004100CF">
        <w:rPr>
          <w:rFonts w:ascii="Times New Roman" w:hAnsi="Times New Roman" w:cs="Times New Roman"/>
        </w:rPr>
        <w:t>nonequilibrium</w:t>
      </w:r>
      <w:r w:rsidRPr="004100CF">
        <w:rPr>
          <w:rFonts w:ascii="Times New Roman" w:hAnsi="Times New Roman" w:cs="Times New Roman"/>
        </w:rPr>
        <w:t xml:space="preserve"> FEP method involved </w:t>
      </w:r>
      <w:r w:rsidR="00896543" w:rsidRPr="004100CF">
        <w:rPr>
          <w:rFonts w:ascii="Times New Roman" w:hAnsi="Times New Roman" w:cs="Times New Roman"/>
        </w:rPr>
        <w:t>energy dissipation (Supplementary Figure 2)</w:t>
      </w:r>
      <w:r w:rsidRPr="004100CF">
        <w:rPr>
          <w:rFonts w:ascii="Times New Roman" w:hAnsi="Times New Roman" w:cs="Times New Roman"/>
        </w:rPr>
        <w:t xml:space="preserve">, </w:t>
      </w:r>
      <w:r w:rsidR="00896543" w:rsidRPr="004100CF">
        <w:rPr>
          <w:rFonts w:ascii="Times New Roman" w:hAnsi="Times New Roman" w:cs="Times New Roman"/>
        </w:rPr>
        <w:t>charge-changing transitions, e.g. Lys</w:t>
      </w:r>
      <w:r w:rsidR="00D620D9" w:rsidRPr="004100CF">
        <w:rPr>
          <w:rFonts w:ascii="Times New Roman" w:hAnsi="Times New Roman" w:cs="Times New Roman"/>
          <w:vertAlign w:val="superscript"/>
        </w:rPr>
        <w:t>+1</w:t>
      </w:r>
      <w:r w:rsidR="00896543" w:rsidRPr="004100CF">
        <w:rPr>
          <w:rFonts w:ascii="Times New Roman" w:hAnsi="Times New Roman" w:cs="Times New Roman"/>
        </w:rPr>
        <w:t xml:space="preserve"> to Asn</w:t>
      </w:r>
      <w:r w:rsidR="00D620D9" w:rsidRPr="004100CF">
        <w:rPr>
          <w:rFonts w:ascii="Times New Roman" w:hAnsi="Times New Roman" w:cs="Times New Roman"/>
          <w:vertAlign w:val="superscript"/>
        </w:rPr>
        <w:t>0</w:t>
      </w:r>
      <w:r w:rsidR="00896543" w:rsidRPr="004100CF">
        <w:rPr>
          <w:rFonts w:ascii="Times New Roman" w:hAnsi="Times New Roman" w:cs="Times New Roman"/>
        </w:rPr>
        <w:t xml:space="preserve"> in K103N or Gly</w:t>
      </w:r>
      <w:r w:rsidR="00D620D9" w:rsidRPr="004100CF">
        <w:rPr>
          <w:rFonts w:ascii="Times New Roman" w:hAnsi="Times New Roman" w:cs="Times New Roman"/>
          <w:vertAlign w:val="superscript"/>
        </w:rPr>
        <w:t>0</w:t>
      </w:r>
      <w:r w:rsidR="00896543" w:rsidRPr="004100CF">
        <w:rPr>
          <w:rFonts w:ascii="Times New Roman" w:hAnsi="Times New Roman" w:cs="Times New Roman"/>
        </w:rPr>
        <w:t xml:space="preserve"> to Glu</w:t>
      </w:r>
      <w:r w:rsidR="00D620D9" w:rsidRPr="004100CF">
        <w:rPr>
          <w:rFonts w:ascii="Times New Roman" w:hAnsi="Times New Roman" w:cs="Times New Roman"/>
          <w:vertAlign w:val="superscript"/>
        </w:rPr>
        <w:t>+1</w:t>
      </w:r>
      <w:r w:rsidR="00896543" w:rsidRPr="004100CF">
        <w:rPr>
          <w:rFonts w:ascii="Times New Roman" w:hAnsi="Times New Roman" w:cs="Times New Roman"/>
        </w:rPr>
        <w:t xml:space="preserve"> in G190E, incurred </w:t>
      </w:r>
      <w:r w:rsidR="00D620D9" w:rsidRPr="004100CF">
        <w:rPr>
          <w:rFonts w:ascii="Times New Roman" w:hAnsi="Times New Roman" w:cs="Times New Roman"/>
        </w:rPr>
        <w:t>especially dissipative switches</w:t>
      </w:r>
      <w:r w:rsidR="00E62ECA" w:rsidRPr="004100CF">
        <w:rPr>
          <w:rFonts w:ascii="Times New Roman" w:hAnsi="Times New Roman" w:cs="Times New Roman"/>
        </w:rPr>
        <w:t xml:space="preserve"> (</w:t>
      </w:r>
      <w:r w:rsidR="00E62ECA" w:rsidRPr="004100CF">
        <w:rPr>
          <w:rFonts w:ascii="Cambria Math" w:hAnsi="Cambria Math" w:cs="Cambria Math"/>
          <w:szCs w:val="24"/>
        </w:rPr>
        <w:t>⟨</w:t>
      </w:r>
      <w:r w:rsidR="00E62ECA" w:rsidRPr="004100CF">
        <w:rPr>
          <w:rFonts w:ascii="Times New Roman" w:hAnsi="Times New Roman" w:cs="Times New Roman"/>
          <w:szCs w:val="24"/>
        </w:rPr>
        <w:t>W</w:t>
      </w:r>
      <w:r w:rsidR="00E62ECA" w:rsidRPr="004100CF">
        <w:rPr>
          <w:rFonts w:ascii="Times New Roman" w:hAnsi="Times New Roman" w:cs="Times New Roman"/>
          <w:szCs w:val="24"/>
          <w:vertAlign w:val="subscript"/>
        </w:rPr>
        <w:t>f</w:t>
      </w:r>
      <w:r w:rsidR="00E62ECA" w:rsidRPr="004100CF">
        <w:rPr>
          <w:rFonts w:ascii="Cambria Math" w:hAnsi="Cambria Math" w:cs="Cambria Math"/>
          <w:szCs w:val="24"/>
        </w:rPr>
        <w:t>⟩</w:t>
      </w:r>
      <w:r w:rsidR="00E62ECA" w:rsidRPr="004100CF">
        <w:rPr>
          <w:rFonts w:ascii="Times New Roman" w:hAnsi="Times New Roman" w:cs="Times New Roman"/>
          <w:szCs w:val="24"/>
        </w:rPr>
        <w:t xml:space="preserve"> - </w:t>
      </w:r>
      <w:r w:rsidR="00E62ECA" w:rsidRPr="004100CF">
        <w:rPr>
          <w:rFonts w:ascii="Cambria Math" w:hAnsi="Cambria Math" w:cs="Cambria Math"/>
          <w:szCs w:val="24"/>
        </w:rPr>
        <w:t>⟨</w:t>
      </w:r>
      <w:r w:rsidR="00E62ECA" w:rsidRPr="004100CF">
        <w:rPr>
          <w:rFonts w:ascii="Times New Roman" w:hAnsi="Times New Roman" w:cs="Times New Roman"/>
          <w:szCs w:val="24"/>
        </w:rPr>
        <w:t>W</w:t>
      </w:r>
      <w:r w:rsidR="00E62ECA" w:rsidRPr="004100CF">
        <w:rPr>
          <w:rFonts w:ascii="Times New Roman" w:hAnsi="Times New Roman" w:cs="Times New Roman"/>
          <w:szCs w:val="24"/>
          <w:vertAlign w:val="subscript"/>
        </w:rPr>
        <w:t>r</w:t>
      </w:r>
      <w:r w:rsidR="00E62ECA" w:rsidRPr="004100CF">
        <w:rPr>
          <w:rFonts w:ascii="Cambria Math" w:hAnsi="Cambria Math" w:cs="Cambria Math"/>
          <w:szCs w:val="24"/>
        </w:rPr>
        <w:t>⟩</w:t>
      </w:r>
      <w:r w:rsidR="00E62ECA" w:rsidRPr="004100CF">
        <w:rPr>
          <w:rFonts w:ascii="Times New Roman" w:hAnsi="Times New Roman" w:cs="Times New Roman"/>
          <w:szCs w:val="24"/>
        </w:rPr>
        <w:t xml:space="preserve"> </w:t>
      </w:r>
      <w:r w:rsidR="00E62ECA" w:rsidRPr="004100CF">
        <w:rPr>
          <w:rFonts w:ascii="Times New Roman" w:hAnsi="Times New Roman" w:cs="Times New Roman"/>
        </w:rPr>
        <w:t xml:space="preserve">&gt; 10kcal/mol). These cases and others required longer (500ps vs 100ps) switching protocols to obtain reasonable overlap between Work distributions. However, in some cases (e.g. G190E), this was not enough to mitigate the errors. </w:t>
      </w:r>
      <w:r w:rsidR="00F21F97" w:rsidRPr="004100CF">
        <w:rPr>
          <w:rFonts w:ascii="Times New Roman" w:hAnsi="Times New Roman" w:cs="Times New Roman"/>
        </w:rPr>
        <w:t>In such cases, errors can be mitigated by (i) increasing number of replicates and (ii) increasing length of switching protocol.</w:t>
      </w:r>
    </w:p>
    <w:p w14:paraId="789889F9" w14:textId="7322CA4D" w:rsidR="00CA031B" w:rsidRPr="004100CF" w:rsidRDefault="000C3A23" w:rsidP="00B813C0">
      <w:pPr>
        <w:spacing w:after="240"/>
        <w:rPr>
          <w:rFonts w:ascii="Times New Roman" w:hAnsi="Times New Roman" w:cs="Times New Roman"/>
        </w:rPr>
      </w:pPr>
      <w:r w:rsidRPr="004100CF">
        <w:rPr>
          <w:rFonts w:ascii="Times New Roman" w:hAnsi="Times New Roman" w:cs="Times New Roman"/>
        </w:rPr>
        <w:t xml:space="preserve">Beyond error mitigation, there is a fundamental gap in comparing </w:t>
      </w:r>
      <w:r w:rsidRPr="004100CF">
        <w:rPr>
          <w:rFonts w:ascii="Times New Roman" w:hAnsi="Times New Roman" w:cs="Times New Roman"/>
          <w:i/>
          <w:iCs/>
        </w:rPr>
        <w:t xml:space="preserve">in silico </w:t>
      </w:r>
      <w:r w:rsidRPr="004100CF">
        <w:rPr>
          <w:rFonts w:ascii="Times New Roman" w:hAnsi="Times New Roman" w:cs="Times New Roman"/>
        </w:rPr>
        <w:t xml:space="preserve">binding </w:t>
      </w:r>
      <w:r w:rsidR="004B4FAC" w:rsidRPr="004100CF">
        <w:rPr>
          <w:rFonts w:ascii="Times New Roman" w:hAnsi="Times New Roman" w:cs="Times New Roman"/>
        </w:rPr>
        <w:t xml:space="preserve">free </w:t>
      </w:r>
      <w:r w:rsidRPr="004100CF">
        <w:rPr>
          <w:rFonts w:ascii="Times New Roman" w:hAnsi="Times New Roman" w:cs="Times New Roman"/>
        </w:rPr>
        <w:t xml:space="preserve">energy calculations with drug susceptibility changes observed in the laboratory. </w:t>
      </w:r>
      <w:r w:rsidR="005F2C5F" w:rsidRPr="004100CF">
        <w:rPr>
          <w:rFonts w:ascii="Times New Roman" w:hAnsi="Times New Roman" w:cs="Times New Roman"/>
        </w:rPr>
        <w:t xml:space="preserve">Drug resistance could occur via a variety of mechanisms, including impacting </w:t>
      </w:r>
      <w:r w:rsidR="004B4FAC" w:rsidRPr="004100CF">
        <w:rPr>
          <w:rFonts w:ascii="Times New Roman" w:hAnsi="Times New Roman" w:cs="Times New Roman"/>
        </w:rPr>
        <w:t xml:space="preserve">interactions between the drug and the pocket residues, opening/closing of drug pocket in the </w:t>
      </w:r>
      <w:r w:rsidR="004B4FAC" w:rsidRPr="004100CF">
        <w:rPr>
          <w:rFonts w:ascii="Times New Roman" w:hAnsi="Times New Roman" w:cs="Times New Roman"/>
          <w:i/>
          <w:iCs/>
        </w:rPr>
        <w:t xml:space="preserve">apo </w:t>
      </w:r>
      <w:r w:rsidR="004B4FAC" w:rsidRPr="004100CF">
        <w:rPr>
          <w:rFonts w:ascii="Times New Roman" w:hAnsi="Times New Roman" w:cs="Times New Roman"/>
        </w:rPr>
        <w:t>configuration, perturbing enzyme activity/fitness, etc</w:t>
      </w:r>
      <w:r w:rsidR="007C27D8" w:rsidRPr="004100CF">
        <w:rPr>
          <w:rFonts w:ascii="Times New Roman" w:hAnsi="Times New Roman" w:cs="Times New Roman"/>
        </w:rPr>
        <w:t>., and not all of these mechanisms are captured in our calculations.</w:t>
      </w:r>
      <w:r w:rsidR="00785447" w:rsidRPr="004100CF">
        <w:rPr>
          <w:rFonts w:ascii="Times New Roman" w:hAnsi="Times New Roman" w:cs="Times New Roman"/>
        </w:rPr>
        <w:t xml:space="preserve"> These, however, can be taken into account through more advanced computational approaches</w:t>
      </w:r>
      <w:r w:rsidR="005F4A15" w:rsidRPr="004100CF">
        <w:rPr>
          <w:rFonts w:ascii="Times New Roman" w:hAnsi="Times New Roman" w:cs="Times New Roman"/>
        </w:rPr>
        <w:t xml:space="preserve">, such as </w:t>
      </w:r>
      <w:r w:rsidR="00A56C40" w:rsidRPr="004100CF">
        <w:rPr>
          <w:rFonts w:ascii="Times New Roman" w:hAnsi="Times New Roman" w:cs="Times New Roman"/>
        </w:rPr>
        <w:t>hybrid QM/MM approaches,</w:t>
      </w:r>
      <w:r w:rsidR="00793866" w:rsidRPr="004100CF">
        <w:rPr>
          <w:rFonts w:ascii="Times New Roman" w:hAnsi="Times New Roman" w:cs="Times New Roman"/>
        </w:rPr>
        <w:fldChar w:fldCharType="begin"/>
      </w:r>
      <w:r w:rsidR="00793866" w:rsidRPr="004100CF">
        <w:rPr>
          <w:rFonts w:ascii="Times New Roman" w:hAnsi="Times New Roman" w:cs="Times New Roman"/>
        </w:rPr>
        <w:instrText xml:space="preserve"> ADDIN ZOTERO_ITEM CSL_CITATION {"citationID":"sLjTkXhC","properties":{"unsorted":true,"formattedCitation":"\\super 69,70\\nosupersub{}","plainCitation":"69,70","noteIndex":0},"citationItems":[{"id":338,"uris":["http://zotero.org/users/19404620/items/GTRLFGP9"],"itemData":{"id":338,"type":"article-journal","abstract":"Computational\nenzymology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rsidR="00793866" w:rsidRPr="004100CF">
        <w:rPr>
          <w:rFonts w:ascii="Times New Roman" w:hAnsi="Times New Roman" w:cs="Times New Roman"/>
        </w:rPr>
        <w:fldChar w:fldCharType="separate"/>
      </w:r>
      <w:r w:rsidR="00793866" w:rsidRPr="004100CF">
        <w:rPr>
          <w:rFonts w:ascii="Times New Roman" w:hAnsi="Times New Roman" w:cs="Times New Roman"/>
          <w:szCs w:val="24"/>
          <w:vertAlign w:val="superscript"/>
        </w:rPr>
        <w:t>69,70</w:t>
      </w:r>
      <w:r w:rsidR="00793866" w:rsidRPr="004100CF">
        <w:rPr>
          <w:rFonts w:ascii="Times New Roman" w:hAnsi="Times New Roman" w:cs="Times New Roman"/>
        </w:rPr>
        <w:fldChar w:fldCharType="end"/>
      </w:r>
      <w:r w:rsidR="00A56C40" w:rsidRPr="004100CF">
        <w:rPr>
          <w:rFonts w:ascii="Times New Roman" w:hAnsi="Times New Roman" w:cs="Times New Roman"/>
        </w:rPr>
        <w:t xml:space="preserve"> </w:t>
      </w:r>
      <w:r w:rsidR="005F4A15" w:rsidRPr="004100CF">
        <w:rPr>
          <w:rFonts w:ascii="Times New Roman" w:hAnsi="Times New Roman" w:cs="Times New Roman"/>
        </w:rPr>
        <w:t>enhanced sampling techniques</w:t>
      </w:r>
      <w:r w:rsidR="00A56C40" w:rsidRPr="004100CF">
        <w:rPr>
          <w:rFonts w:ascii="Times New Roman" w:hAnsi="Times New Roman" w:cs="Times New Roman"/>
        </w:rPr>
        <w:t>,</w:t>
      </w:r>
      <w:r w:rsidR="00793866" w:rsidRPr="004100CF">
        <w:rPr>
          <w:rFonts w:ascii="Times New Roman" w:hAnsi="Times New Roman" w:cs="Times New Roman"/>
        </w:rPr>
        <w:fldChar w:fldCharType="begin"/>
      </w:r>
      <w:r w:rsidR="00793866" w:rsidRPr="004100CF">
        <w:rPr>
          <w:rFonts w:ascii="Times New Roman" w:hAnsi="Times New Roman" w:cs="Times New Roman"/>
        </w:rPr>
        <w:instrText xml:space="preserve"> ADDIN ZOTERO_ITEM CSL_CITATION {"citationID":"rSbnknBS","properties":{"unsorted":true,"formattedCitation":"\\super 71\\uc0\\u8211{}73\\nosupersub{}","plainCitation":"71–73","noteIndex":0},"citationItems":[{"id":344,"uris":["http://zotero.org/users/19404620/items/LYV9Y28D"],"itemData":{"id":344,"type":"article-journal","abstract":"Understanding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rsidR="00793866" w:rsidRPr="004100CF">
        <w:rPr>
          <w:rFonts w:ascii="Times New Roman" w:hAnsi="Times New Roman" w:cs="Times New Roman"/>
        </w:rPr>
        <w:fldChar w:fldCharType="separate"/>
      </w:r>
      <w:r w:rsidR="00793866" w:rsidRPr="004100CF">
        <w:rPr>
          <w:rFonts w:ascii="Times New Roman" w:hAnsi="Times New Roman" w:cs="Times New Roman"/>
          <w:szCs w:val="24"/>
          <w:vertAlign w:val="superscript"/>
        </w:rPr>
        <w:t>71–73</w:t>
      </w:r>
      <w:r w:rsidR="00793866" w:rsidRPr="004100CF">
        <w:rPr>
          <w:rFonts w:ascii="Times New Roman" w:hAnsi="Times New Roman" w:cs="Times New Roman"/>
        </w:rPr>
        <w:fldChar w:fldCharType="end"/>
      </w:r>
      <w:r w:rsidR="005F4A15" w:rsidRPr="004100CF">
        <w:rPr>
          <w:rFonts w:ascii="Times New Roman" w:hAnsi="Times New Roman" w:cs="Times New Roman"/>
        </w:rPr>
        <w:t xml:space="preserve"> and</w:t>
      </w:r>
      <w:r w:rsidR="00785447" w:rsidRPr="004100CF">
        <w:rPr>
          <w:rFonts w:ascii="Times New Roman" w:hAnsi="Times New Roman" w:cs="Times New Roman"/>
        </w:rPr>
        <w:t xml:space="preserve"> </w:t>
      </w:r>
      <w:r w:rsidR="005F4A15" w:rsidRPr="004100CF">
        <w:rPr>
          <w:rFonts w:ascii="Times New Roman" w:hAnsi="Times New Roman" w:cs="Times New Roman"/>
        </w:rPr>
        <w:t>machine learning</w:t>
      </w:r>
      <w:r w:rsidR="00785447" w:rsidRPr="004100CF">
        <w:rPr>
          <w:rFonts w:ascii="Times New Roman" w:hAnsi="Times New Roman" w:cs="Times New Roman"/>
        </w:rPr>
        <w:t>.</w:t>
      </w:r>
      <w:r w:rsidR="00793866" w:rsidRPr="004100CF">
        <w:rPr>
          <w:rFonts w:ascii="Times New Roman" w:hAnsi="Times New Roman" w:cs="Times New Roman"/>
        </w:rPr>
        <w:fldChar w:fldCharType="begin"/>
      </w:r>
      <w:r w:rsidR="00793866" w:rsidRPr="004100CF">
        <w:rPr>
          <w:rFonts w:ascii="Times New Roman" w:hAnsi="Times New Roman" w:cs="Times New Roman"/>
        </w:rPr>
        <w:instrText xml:space="preserve"> ADDIN ZOTERO_ITEM CSL_CITATION {"citationID":"QwpykdhK","properties":{"unsorted":false,"formattedCitation":"\\super 74\\uc0\\u8211{}76\\nosupersub{}","plainCitation":"74–76","noteIndex":0},"citationItems":[{"id":352,"uris":["http://zotero.org/users/19404620/items/ZQMDXA4E"],"itemData":{"id":352,"type":"article","abstract":"Predicting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rsidR="00793866" w:rsidRPr="004100CF">
        <w:rPr>
          <w:rFonts w:ascii="Times New Roman" w:hAnsi="Times New Roman" w:cs="Times New Roman"/>
        </w:rPr>
        <w:fldChar w:fldCharType="separate"/>
      </w:r>
      <w:r w:rsidR="00793866" w:rsidRPr="004100CF">
        <w:rPr>
          <w:rFonts w:ascii="Times New Roman" w:hAnsi="Times New Roman" w:cs="Times New Roman"/>
          <w:szCs w:val="24"/>
          <w:vertAlign w:val="superscript"/>
        </w:rPr>
        <w:t>74–76</w:t>
      </w:r>
      <w:r w:rsidR="00793866" w:rsidRPr="004100CF">
        <w:rPr>
          <w:rFonts w:ascii="Times New Roman" w:hAnsi="Times New Roman" w:cs="Times New Roman"/>
        </w:rPr>
        <w:fldChar w:fldCharType="end"/>
      </w:r>
    </w:p>
    <w:p w14:paraId="2B7699C5" w14:textId="2C5DD09F" w:rsidR="00574C6E" w:rsidRPr="004100CF" w:rsidRDefault="00574C6E" w:rsidP="00574C6E">
      <w:pPr>
        <w:rPr>
          <w:rFonts w:ascii="Times New Roman" w:hAnsi="Times New Roman" w:cs="Times New Roman"/>
          <w:b/>
          <w:bCs/>
          <w:sz w:val="28"/>
          <w:szCs w:val="22"/>
        </w:rPr>
      </w:pPr>
      <w:r w:rsidRPr="004100CF">
        <w:rPr>
          <w:rFonts w:ascii="Times New Roman" w:hAnsi="Times New Roman" w:cs="Times New Roman"/>
          <w:b/>
          <w:bCs/>
          <w:sz w:val="28"/>
          <w:szCs w:val="22"/>
        </w:rPr>
        <w:t>References</w:t>
      </w:r>
    </w:p>
    <w:p w14:paraId="22661414" w14:textId="77777777" w:rsidR="00793866" w:rsidRPr="004100CF" w:rsidRDefault="00574C6E" w:rsidP="00793866">
      <w:pPr>
        <w:pStyle w:val="Bibliography"/>
        <w:rPr>
          <w:rFonts w:ascii="Times New Roman" w:hAnsi="Times New Roman" w:cs="Times New Roman"/>
        </w:rPr>
      </w:pPr>
      <w:r w:rsidRPr="004100CF">
        <w:rPr>
          <w:rFonts w:ascii="Times New Roman" w:hAnsi="Times New Roman" w:cs="Times New Roman"/>
        </w:rPr>
        <w:fldChar w:fldCharType="begin"/>
      </w:r>
      <w:r w:rsidRPr="004100CF">
        <w:rPr>
          <w:rFonts w:ascii="Times New Roman" w:hAnsi="Times New Roman" w:cs="Times New Roman"/>
        </w:rPr>
        <w:instrText xml:space="preserve"> ADDIN ZOTERO_BIBL {"uncited":[],"omitted":[],"custom":[]} CSL_BIBLIOGRAPHY </w:instrText>
      </w:r>
      <w:r w:rsidRPr="004100CF">
        <w:rPr>
          <w:rFonts w:ascii="Times New Roman" w:hAnsi="Times New Roman" w:cs="Times New Roman"/>
        </w:rPr>
        <w:fldChar w:fldCharType="separate"/>
      </w:r>
      <w:r w:rsidR="00793866" w:rsidRPr="004100CF">
        <w:rPr>
          <w:rFonts w:ascii="Times New Roman" w:hAnsi="Times New Roman" w:cs="Times New Roman"/>
        </w:rPr>
        <w:t>(1)</w:t>
      </w:r>
      <w:r w:rsidR="00793866" w:rsidRPr="004100CF">
        <w:rPr>
          <w:rFonts w:ascii="Times New Roman" w:hAnsi="Times New Roman" w:cs="Times New Roman"/>
        </w:rPr>
        <w:tab/>
        <w:t xml:space="preserve">Kohlstaedt, L. A.; Wang, J.; Friedman, J. M.; Rice, P. A.; Steitz, T. A. Crystal Structure at 3.5 Å Resolution of HIV-1 Reverse Transcriptase Complexed with an Inhibitor. </w:t>
      </w:r>
      <w:r w:rsidR="00793866" w:rsidRPr="004100CF">
        <w:rPr>
          <w:rFonts w:ascii="Times New Roman" w:hAnsi="Times New Roman" w:cs="Times New Roman"/>
          <w:i/>
          <w:iCs/>
        </w:rPr>
        <w:t>Science</w:t>
      </w:r>
      <w:r w:rsidR="00793866" w:rsidRPr="004100CF">
        <w:rPr>
          <w:rFonts w:ascii="Times New Roman" w:hAnsi="Times New Roman" w:cs="Times New Roman"/>
        </w:rPr>
        <w:t xml:space="preserve"> </w:t>
      </w:r>
      <w:r w:rsidR="00793866" w:rsidRPr="004100CF">
        <w:rPr>
          <w:rFonts w:ascii="Times New Roman" w:hAnsi="Times New Roman" w:cs="Times New Roman"/>
          <w:b/>
          <w:bCs/>
        </w:rPr>
        <w:t>1992</w:t>
      </w:r>
      <w:r w:rsidR="00793866" w:rsidRPr="004100CF">
        <w:rPr>
          <w:rFonts w:ascii="Times New Roman" w:hAnsi="Times New Roman" w:cs="Times New Roman"/>
        </w:rPr>
        <w:t xml:space="preserve">, </w:t>
      </w:r>
      <w:r w:rsidR="00793866" w:rsidRPr="004100CF">
        <w:rPr>
          <w:rFonts w:ascii="Times New Roman" w:hAnsi="Times New Roman" w:cs="Times New Roman"/>
          <w:i/>
          <w:iCs/>
        </w:rPr>
        <w:t>256</w:t>
      </w:r>
      <w:r w:rsidR="00793866" w:rsidRPr="004100CF">
        <w:rPr>
          <w:rFonts w:ascii="Times New Roman" w:hAnsi="Times New Roman" w:cs="Times New Roman"/>
        </w:rPr>
        <w:t xml:space="preserve"> (5065), 1783–1790. https://doi.org/10.1126/science.1377403.</w:t>
      </w:r>
    </w:p>
    <w:p w14:paraId="411D1AB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w:t>
      </w:r>
      <w:r w:rsidRPr="004100CF">
        <w:rPr>
          <w:rFonts w:ascii="Times New Roman" w:hAnsi="Times New Roman" w:cs="Times New Roman"/>
        </w:rPr>
        <w:tab/>
        <w:t xml:space="preserve">Spence, R. A.; Kati, W. M.; Anderson, K. S.; Johnson, K. A. Mechanism of Inhibition of HIV-1 Reverse Transcriptase by Nonnucleoside Inhibitors. </w:t>
      </w:r>
      <w:r w:rsidRPr="004100CF">
        <w:rPr>
          <w:rFonts w:ascii="Times New Roman" w:hAnsi="Times New Roman" w:cs="Times New Roman"/>
          <w:i/>
          <w:iCs/>
        </w:rPr>
        <w:t>Science</w:t>
      </w:r>
      <w:r w:rsidRPr="004100CF">
        <w:rPr>
          <w:rFonts w:ascii="Times New Roman" w:hAnsi="Times New Roman" w:cs="Times New Roman"/>
        </w:rPr>
        <w:t xml:space="preserve"> </w:t>
      </w:r>
      <w:r w:rsidRPr="004100CF">
        <w:rPr>
          <w:rFonts w:ascii="Times New Roman" w:hAnsi="Times New Roman" w:cs="Times New Roman"/>
          <w:b/>
          <w:bCs/>
        </w:rPr>
        <w:t>1995</w:t>
      </w:r>
      <w:r w:rsidRPr="004100CF">
        <w:rPr>
          <w:rFonts w:ascii="Times New Roman" w:hAnsi="Times New Roman" w:cs="Times New Roman"/>
        </w:rPr>
        <w:t xml:space="preserve">, </w:t>
      </w:r>
      <w:r w:rsidRPr="004100CF">
        <w:rPr>
          <w:rFonts w:ascii="Times New Roman" w:hAnsi="Times New Roman" w:cs="Times New Roman"/>
          <w:i/>
          <w:iCs/>
        </w:rPr>
        <w:t>267</w:t>
      </w:r>
      <w:r w:rsidRPr="004100CF">
        <w:rPr>
          <w:rFonts w:ascii="Times New Roman" w:hAnsi="Times New Roman" w:cs="Times New Roman"/>
        </w:rPr>
        <w:t xml:space="preserve"> (5200), 988–993. https://doi.org/10.1126/science.7532321.</w:t>
      </w:r>
    </w:p>
    <w:p w14:paraId="14966A9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w:t>
      </w:r>
      <w:r w:rsidRPr="004100CF">
        <w:rPr>
          <w:rFonts w:ascii="Times New Roman" w:hAnsi="Times New Roman" w:cs="Times New Roman"/>
        </w:rPr>
        <w:tab/>
        <w:t xml:space="preserve">Rodgers, D. W.; Gamblin, S. J.; Harris, B. A.; Ray, S.; Culp, J. S.; Hellmig, B.; Woolf, D. J.; Debouck, C.; Harrison, S. C. The Structure of Unliganded Reverse Transcriptase from the Human Immunodeficiency Virus Type 1. </w:t>
      </w:r>
      <w:r w:rsidRPr="004100CF">
        <w:rPr>
          <w:rFonts w:ascii="Times New Roman" w:hAnsi="Times New Roman" w:cs="Times New Roman"/>
          <w:i/>
          <w:iCs/>
        </w:rPr>
        <w:t>Proceedings of the National Academy of Sciences</w:t>
      </w:r>
      <w:r w:rsidRPr="004100CF">
        <w:rPr>
          <w:rFonts w:ascii="Times New Roman" w:hAnsi="Times New Roman" w:cs="Times New Roman"/>
        </w:rPr>
        <w:t xml:space="preserve"> </w:t>
      </w:r>
      <w:r w:rsidRPr="004100CF">
        <w:rPr>
          <w:rFonts w:ascii="Times New Roman" w:hAnsi="Times New Roman" w:cs="Times New Roman"/>
          <w:b/>
          <w:bCs/>
        </w:rPr>
        <w:t>1995</w:t>
      </w:r>
      <w:r w:rsidRPr="004100CF">
        <w:rPr>
          <w:rFonts w:ascii="Times New Roman" w:hAnsi="Times New Roman" w:cs="Times New Roman"/>
        </w:rPr>
        <w:t xml:space="preserve">, </w:t>
      </w:r>
      <w:r w:rsidRPr="004100CF">
        <w:rPr>
          <w:rFonts w:ascii="Times New Roman" w:hAnsi="Times New Roman" w:cs="Times New Roman"/>
          <w:i/>
          <w:iCs/>
        </w:rPr>
        <w:t>92</w:t>
      </w:r>
      <w:r w:rsidRPr="004100CF">
        <w:rPr>
          <w:rFonts w:ascii="Times New Roman" w:hAnsi="Times New Roman" w:cs="Times New Roman"/>
        </w:rPr>
        <w:t xml:space="preserve"> (4), 1222–1226. https://doi.org/10.1073/pnas.92.4.1222.</w:t>
      </w:r>
    </w:p>
    <w:p w14:paraId="69851992"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w:t>
      </w:r>
      <w:r w:rsidRPr="004100CF">
        <w:rPr>
          <w:rFonts w:ascii="Times New Roman" w:hAnsi="Times New Roman" w:cs="Times New Roman"/>
        </w:rPr>
        <w:tab/>
        <w:t xml:space="preserve">Hsiou, Y.; Ding, J.; Das, K.; AD Clark, J.; Hughes, S. H.; Arnold, E. Structure of Unliganded HIV-1 Reverse Transcriptase at 2.7 å Resolution: Implications of Conformational Changes for Polymerization and Inhibition Mechanisms. </w:t>
      </w:r>
      <w:r w:rsidRPr="004100CF">
        <w:rPr>
          <w:rFonts w:ascii="Times New Roman" w:hAnsi="Times New Roman" w:cs="Times New Roman"/>
          <w:i/>
          <w:iCs/>
        </w:rPr>
        <w:t>Structure</w:t>
      </w:r>
      <w:r w:rsidRPr="004100CF">
        <w:rPr>
          <w:rFonts w:ascii="Times New Roman" w:hAnsi="Times New Roman" w:cs="Times New Roman"/>
        </w:rPr>
        <w:t xml:space="preserve"> </w:t>
      </w:r>
      <w:r w:rsidRPr="004100CF">
        <w:rPr>
          <w:rFonts w:ascii="Times New Roman" w:hAnsi="Times New Roman" w:cs="Times New Roman"/>
          <w:b/>
          <w:bCs/>
        </w:rPr>
        <w:t>1996</w:t>
      </w:r>
      <w:r w:rsidRPr="004100CF">
        <w:rPr>
          <w:rFonts w:ascii="Times New Roman" w:hAnsi="Times New Roman" w:cs="Times New Roman"/>
        </w:rPr>
        <w:t xml:space="preserve">, </w:t>
      </w:r>
      <w:r w:rsidRPr="004100CF">
        <w:rPr>
          <w:rFonts w:ascii="Times New Roman" w:hAnsi="Times New Roman" w:cs="Times New Roman"/>
          <w:i/>
          <w:iCs/>
        </w:rPr>
        <w:t>4</w:t>
      </w:r>
      <w:r w:rsidRPr="004100CF">
        <w:rPr>
          <w:rFonts w:ascii="Times New Roman" w:hAnsi="Times New Roman" w:cs="Times New Roman"/>
        </w:rPr>
        <w:t xml:space="preserve"> (7), 853–860. https://doi.org/10.1016/S0969-2126(96)00091-3.</w:t>
      </w:r>
    </w:p>
    <w:p w14:paraId="3232DEA4"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w:t>
      </w:r>
      <w:r w:rsidRPr="004100CF">
        <w:rPr>
          <w:rFonts w:ascii="Times New Roman" w:hAnsi="Times New Roman" w:cs="Times New Roman"/>
        </w:rPr>
        <w:tab/>
        <w:t xml:space="preserve">Arts, E. J.; Hazuda, D. J. HIV-1 Antiretroviral Drug Therapy. </w:t>
      </w:r>
      <w:r w:rsidRPr="004100CF">
        <w:rPr>
          <w:rFonts w:ascii="Times New Roman" w:hAnsi="Times New Roman" w:cs="Times New Roman"/>
          <w:i/>
          <w:iCs/>
        </w:rPr>
        <w:t>Cold Spring Harb Perspect Med</w:t>
      </w:r>
      <w:r w:rsidRPr="004100CF">
        <w:rPr>
          <w:rFonts w:ascii="Times New Roman" w:hAnsi="Times New Roman" w:cs="Times New Roman"/>
        </w:rPr>
        <w:t xml:space="preserve"> </w:t>
      </w:r>
      <w:r w:rsidRPr="004100CF">
        <w:rPr>
          <w:rFonts w:ascii="Times New Roman" w:hAnsi="Times New Roman" w:cs="Times New Roman"/>
          <w:b/>
          <w:bCs/>
        </w:rPr>
        <w:t>2012</w:t>
      </w:r>
      <w:r w:rsidRPr="004100CF">
        <w:rPr>
          <w:rFonts w:ascii="Times New Roman" w:hAnsi="Times New Roman" w:cs="Times New Roman"/>
        </w:rPr>
        <w:t xml:space="preserve">, </w:t>
      </w:r>
      <w:r w:rsidRPr="004100CF">
        <w:rPr>
          <w:rFonts w:ascii="Times New Roman" w:hAnsi="Times New Roman" w:cs="Times New Roman"/>
          <w:i/>
          <w:iCs/>
        </w:rPr>
        <w:t>2</w:t>
      </w:r>
      <w:r w:rsidRPr="004100CF">
        <w:rPr>
          <w:rFonts w:ascii="Times New Roman" w:hAnsi="Times New Roman" w:cs="Times New Roman"/>
        </w:rPr>
        <w:t xml:space="preserve"> (4), a007161. https://doi.org/10.1101/cshperspect.a007161.</w:t>
      </w:r>
    </w:p>
    <w:p w14:paraId="649402EE"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w:t>
      </w:r>
      <w:r w:rsidRPr="004100CF">
        <w:rPr>
          <w:rFonts w:ascii="Times New Roman" w:hAnsi="Times New Roman" w:cs="Times New Roman"/>
        </w:rPr>
        <w:tab/>
        <w:t xml:space="preserve">Cilento, M. E.; Kirby, K. A.; Sarafianos, S. G. Avoiding Drug Resistance in HIV Reverse Transcriptase. </w:t>
      </w:r>
      <w:r w:rsidRPr="004100CF">
        <w:rPr>
          <w:rFonts w:ascii="Times New Roman" w:hAnsi="Times New Roman" w:cs="Times New Roman"/>
          <w:i/>
          <w:iCs/>
        </w:rPr>
        <w:t>Chem. Rev.</w:t>
      </w:r>
      <w:r w:rsidRPr="004100CF">
        <w:rPr>
          <w:rFonts w:ascii="Times New Roman" w:hAnsi="Times New Roman" w:cs="Times New Roman"/>
        </w:rPr>
        <w:t xml:space="preserve"> </w:t>
      </w:r>
      <w:r w:rsidRPr="004100CF">
        <w:rPr>
          <w:rFonts w:ascii="Times New Roman" w:hAnsi="Times New Roman" w:cs="Times New Roman"/>
          <w:b/>
          <w:bCs/>
        </w:rPr>
        <w:t>2021</w:t>
      </w:r>
      <w:r w:rsidRPr="004100CF">
        <w:rPr>
          <w:rFonts w:ascii="Times New Roman" w:hAnsi="Times New Roman" w:cs="Times New Roman"/>
        </w:rPr>
        <w:t xml:space="preserve">, </w:t>
      </w:r>
      <w:r w:rsidRPr="004100CF">
        <w:rPr>
          <w:rFonts w:ascii="Times New Roman" w:hAnsi="Times New Roman" w:cs="Times New Roman"/>
          <w:i/>
          <w:iCs/>
        </w:rPr>
        <w:t>121</w:t>
      </w:r>
      <w:r w:rsidRPr="004100CF">
        <w:rPr>
          <w:rFonts w:ascii="Times New Roman" w:hAnsi="Times New Roman" w:cs="Times New Roman"/>
        </w:rPr>
        <w:t xml:space="preserve"> (6), 3271–3296. https://doi.org/10.1021/acs.chemrev.0c00967.</w:t>
      </w:r>
    </w:p>
    <w:p w14:paraId="1D415DF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w:t>
      </w:r>
      <w:r w:rsidRPr="004100CF">
        <w:rPr>
          <w:rFonts w:ascii="Times New Roman" w:hAnsi="Times New Roman" w:cs="Times New Roma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4100CF">
        <w:rPr>
          <w:rFonts w:ascii="Times New Roman" w:hAnsi="Times New Roman" w:cs="Times New Roman"/>
          <w:i/>
          <w:iCs/>
        </w:rPr>
        <w:lastRenderedPageBreak/>
        <w:t>Journal of Molecular Biology</w:t>
      </w:r>
      <w:r w:rsidRPr="004100CF">
        <w:rPr>
          <w:rFonts w:ascii="Times New Roman" w:hAnsi="Times New Roman" w:cs="Times New Roman"/>
        </w:rPr>
        <w:t xml:space="preserve"> </w:t>
      </w:r>
      <w:r w:rsidRPr="004100CF">
        <w:rPr>
          <w:rFonts w:ascii="Times New Roman" w:hAnsi="Times New Roman" w:cs="Times New Roman"/>
          <w:b/>
          <w:bCs/>
        </w:rPr>
        <w:t>1994</w:t>
      </w:r>
      <w:r w:rsidRPr="004100CF">
        <w:rPr>
          <w:rFonts w:ascii="Times New Roman" w:hAnsi="Times New Roman" w:cs="Times New Roman"/>
        </w:rPr>
        <w:t xml:space="preserve">, </w:t>
      </w:r>
      <w:r w:rsidRPr="004100CF">
        <w:rPr>
          <w:rFonts w:ascii="Times New Roman" w:hAnsi="Times New Roman" w:cs="Times New Roman"/>
          <w:i/>
          <w:iCs/>
        </w:rPr>
        <w:t>243</w:t>
      </w:r>
      <w:r w:rsidRPr="004100CF">
        <w:rPr>
          <w:rFonts w:ascii="Times New Roman" w:hAnsi="Times New Roman" w:cs="Times New Roman"/>
        </w:rPr>
        <w:t xml:space="preserve"> (3), 369–387. https://doi.org/10.1006/jmbi.1994.1665.</w:t>
      </w:r>
    </w:p>
    <w:p w14:paraId="6FBFCAF0"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(8)</w:t>
      </w:r>
      <w:r w:rsidRPr="004100CF">
        <w:rPr>
          <w:rFonts w:ascii="Times New Roman" w:hAnsi="Times New Roman" w:cs="Times New Roman"/>
        </w:rPr>
        <w:tab/>
        <w:t xml:space="preserve">Schauer, G. D.; Huber, K. D.; Leuba, S. H.; Sluis-Cremer, N. Mechanism of Allosteric Inhibition of HIV-1 Reverse Transcriptase Revealed by Single-Molecule and Ensemble Fluorescence. </w:t>
      </w:r>
      <w:r w:rsidRPr="004100CF">
        <w:rPr>
          <w:rFonts w:ascii="Times New Roman" w:hAnsi="Times New Roman" w:cs="Times New Roman"/>
          <w:i/>
          <w:iCs/>
        </w:rPr>
        <w:t>Nucleic Acids Res</w:t>
      </w:r>
      <w:r w:rsidRPr="004100CF">
        <w:rPr>
          <w:rFonts w:ascii="Times New Roman" w:hAnsi="Times New Roman" w:cs="Times New Roman"/>
        </w:rPr>
        <w:t xml:space="preserve"> </w:t>
      </w:r>
      <w:r w:rsidRPr="004100CF">
        <w:rPr>
          <w:rFonts w:ascii="Times New Roman" w:hAnsi="Times New Roman" w:cs="Times New Roman"/>
          <w:b/>
          <w:bCs/>
        </w:rPr>
        <w:t>2014</w:t>
      </w:r>
      <w:r w:rsidRPr="004100CF">
        <w:rPr>
          <w:rFonts w:ascii="Times New Roman" w:hAnsi="Times New Roman" w:cs="Times New Roman"/>
        </w:rPr>
        <w:t xml:space="preserve">, </w:t>
      </w:r>
      <w:r w:rsidRPr="004100CF">
        <w:rPr>
          <w:rFonts w:ascii="Times New Roman" w:hAnsi="Times New Roman" w:cs="Times New Roman"/>
          <w:i/>
          <w:iCs/>
        </w:rPr>
        <w:t>42</w:t>
      </w:r>
      <w:r w:rsidRPr="004100CF">
        <w:rPr>
          <w:rFonts w:ascii="Times New Roman" w:hAnsi="Times New Roman" w:cs="Times New Roman"/>
        </w:rPr>
        <w:t xml:space="preserve"> (18), 11687–11696. https://doi.org/10.1093/nar/gku819.</w:t>
      </w:r>
    </w:p>
    <w:p w14:paraId="2BD9481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(9)</w:t>
      </w:r>
      <w:r w:rsidRPr="004100CF">
        <w:rPr>
          <w:rFonts w:ascii="Times New Roman" w:hAnsi="Times New Roman" w:cs="Times New Roman"/>
        </w:rPr>
        <w:tab/>
        <w:t xml:space="preserve">Hsiou, Y.; Ding, J.; Das, K.; Clark, A. D.; Boyer, P. L.; Lewi, P.; Janssen, P. A. J.; Kleim, J.-P.; Rösner, M.; Hughes, S. H.; Arnold, E. The Lys103Asn Mutation of HIV-1 RT: A Novel Mechanism of Drug Resistance. </w:t>
      </w:r>
      <w:r w:rsidRPr="004100CF">
        <w:rPr>
          <w:rFonts w:ascii="Times New Roman" w:hAnsi="Times New Roman" w:cs="Times New Roman"/>
          <w:i/>
          <w:iCs/>
        </w:rPr>
        <w:t>Journal of Molecular Biology</w:t>
      </w:r>
      <w:r w:rsidRPr="004100CF">
        <w:rPr>
          <w:rFonts w:ascii="Times New Roman" w:hAnsi="Times New Roman" w:cs="Times New Roman"/>
        </w:rPr>
        <w:t xml:space="preserve"> </w:t>
      </w:r>
      <w:r w:rsidRPr="004100CF">
        <w:rPr>
          <w:rFonts w:ascii="Times New Roman" w:hAnsi="Times New Roman" w:cs="Times New Roman"/>
          <w:b/>
          <w:bCs/>
        </w:rPr>
        <w:t>2001</w:t>
      </w:r>
      <w:r w:rsidRPr="004100CF">
        <w:rPr>
          <w:rFonts w:ascii="Times New Roman" w:hAnsi="Times New Roman" w:cs="Times New Roman"/>
        </w:rPr>
        <w:t xml:space="preserve">, </w:t>
      </w:r>
      <w:r w:rsidRPr="004100CF">
        <w:rPr>
          <w:rFonts w:ascii="Times New Roman" w:hAnsi="Times New Roman" w:cs="Times New Roman"/>
          <w:i/>
          <w:iCs/>
        </w:rPr>
        <w:t>309</w:t>
      </w:r>
      <w:r w:rsidRPr="004100CF">
        <w:rPr>
          <w:rFonts w:ascii="Times New Roman" w:hAnsi="Times New Roman" w:cs="Times New Roman"/>
        </w:rPr>
        <w:t xml:space="preserve"> (2), 437–445. https://doi.org/10.1006/jmbi.2001.4648.</w:t>
      </w:r>
    </w:p>
    <w:p w14:paraId="49AF20E0"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(10)</w:t>
      </w:r>
      <w:r w:rsidRPr="004100CF">
        <w:rPr>
          <w:rFonts w:ascii="Times New Roman" w:hAnsi="Times New Roman" w:cs="Times New Roman"/>
        </w:rPr>
        <w:tab/>
        <w:t xml:space="preserve">Lai, M.-T.; Munshi, V.; Lu, M.; Feng, M.; Hrin-Solt, R.; McKenna, P. M.; Hazuda, D. J.; Miller, M. D. Mechanistic Study of Common Non-Nucleoside Reverse Transcriptase Inhibitor-Resistant Mutations with K103N and Y181C Substitutions. </w:t>
      </w:r>
      <w:r w:rsidRPr="004100CF">
        <w:rPr>
          <w:rFonts w:ascii="Times New Roman" w:hAnsi="Times New Roman" w:cs="Times New Roman"/>
          <w:i/>
          <w:iCs/>
        </w:rPr>
        <w:t>Viruses</w:t>
      </w:r>
      <w:r w:rsidRPr="004100CF">
        <w:rPr>
          <w:rFonts w:ascii="Times New Roman" w:hAnsi="Times New Roman" w:cs="Times New Roman"/>
        </w:rPr>
        <w:t xml:space="preserve"> </w:t>
      </w:r>
      <w:r w:rsidRPr="004100CF">
        <w:rPr>
          <w:rFonts w:ascii="Times New Roman" w:hAnsi="Times New Roman" w:cs="Times New Roman"/>
          <w:b/>
          <w:bCs/>
        </w:rPr>
        <w:t>2016</w:t>
      </w:r>
      <w:r w:rsidRPr="004100CF">
        <w:rPr>
          <w:rFonts w:ascii="Times New Roman" w:hAnsi="Times New Roman" w:cs="Times New Roman"/>
        </w:rPr>
        <w:t xml:space="preserve">, </w:t>
      </w:r>
      <w:r w:rsidRPr="004100CF">
        <w:rPr>
          <w:rFonts w:ascii="Times New Roman" w:hAnsi="Times New Roman" w:cs="Times New Roman"/>
          <w:i/>
          <w:iCs/>
        </w:rPr>
        <w:t>8</w:t>
      </w:r>
      <w:r w:rsidRPr="004100CF">
        <w:rPr>
          <w:rFonts w:ascii="Times New Roman" w:hAnsi="Times New Roman" w:cs="Times New Roman"/>
        </w:rPr>
        <w:t xml:space="preserve"> (10), 263. https://doi.org/10.3390/v8100263.</w:t>
      </w:r>
    </w:p>
    <w:p w14:paraId="5E8D03A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(11)</w:t>
      </w:r>
      <w:r w:rsidRPr="004100CF">
        <w:rPr>
          <w:rFonts w:ascii="Times New Roman" w:hAnsi="Times New Roman" w:cs="Times New Roma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4100CF">
        <w:rPr>
          <w:rFonts w:ascii="Times New Roman" w:hAnsi="Times New Roman" w:cs="Times New Roman"/>
          <w:i/>
          <w:iCs/>
        </w:rPr>
        <w:t>Journal of Molecular Biology</w:t>
      </w:r>
      <w:r w:rsidRPr="004100CF">
        <w:rPr>
          <w:rFonts w:ascii="Times New Roman" w:hAnsi="Times New Roman" w:cs="Times New Roman"/>
        </w:rPr>
        <w:t xml:space="preserve"> </w:t>
      </w:r>
      <w:r w:rsidRPr="004100CF">
        <w:rPr>
          <w:rFonts w:ascii="Times New Roman" w:hAnsi="Times New Roman" w:cs="Times New Roman"/>
          <w:b/>
          <w:bCs/>
        </w:rPr>
        <w:t>2001</w:t>
      </w:r>
      <w:r w:rsidRPr="004100CF">
        <w:rPr>
          <w:rFonts w:ascii="Times New Roman" w:hAnsi="Times New Roman" w:cs="Times New Roman"/>
        </w:rPr>
        <w:t xml:space="preserve">, </w:t>
      </w:r>
      <w:r w:rsidRPr="004100CF">
        <w:rPr>
          <w:rFonts w:ascii="Times New Roman" w:hAnsi="Times New Roman" w:cs="Times New Roman"/>
          <w:i/>
          <w:iCs/>
        </w:rPr>
        <w:t>312</w:t>
      </w:r>
      <w:r w:rsidRPr="004100CF">
        <w:rPr>
          <w:rFonts w:ascii="Times New Roman" w:hAnsi="Times New Roman" w:cs="Times New Roman"/>
        </w:rPr>
        <w:t xml:space="preserve"> (4), 795–805. https://doi.org/10.1006/jmbi.2001.4988.</w:t>
      </w:r>
    </w:p>
    <w:p w14:paraId="62D1BBB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(12)</w:t>
      </w:r>
      <w:r w:rsidRPr="004100CF">
        <w:rPr>
          <w:rFonts w:ascii="Times New Roman" w:hAnsi="Times New Roman" w:cs="Times New Roma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4100CF">
        <w:rPr>
          <w:rFonts w:ascii="Times New Roman" w:hAnsi="Times New Roman" w:cs="Times New Roman"/>
          <w:i/>
          <w:iCs/>
        </w:rPr>
        <w:t>J. Med. Chem.</w:t>
      </w:r>
      <w:r w:rsidRPr="004100CF">
        <w:rPr>
          <w:rFonts w:ascii="Times New Roman" w:hAnsi="Times New Roman" w:cs="Times New Roman"/>
        </w:rPr>
        <w:t xml:space="preserve"> </w:t>
      </w:r>
      <w:r w:rsidRPr="004100CF">
        <w:rPr>
          <w:rFonts w:ascii="Times New Roman" w:hAnsi="Times New Roman" w:cs="Times New Roman"/>
          <w:b/>
          <w:bCs/>
        </w:rPr>
        <w:t>2004</w:t>
      </w:r>
      <w:r w:rsidRPr="004100CF">
        <w:rPr>
          <w:rFonts w:ascii="Times New Roman" w:hAnsi="Times New Roman" w:cs="Times New Roman"/>
        </w:rPr>
        <w:t xml:space="preserve">, </w:t>
      </w:r>
      <w:r w:rsidRPr="004100CF">
        <w:rPr>
          <w:rFonts w:ascii="Times New Roman" w:hAnsi="Times New Roman" w:cs="Times New Roman"/>
          <w:i/>
          <w:iCs/>
        </w:rPr>
        <w:t>47</w:t>
      </w:r>
      <w:r w:rsidRPr="004100CF">
        <w:rPr>
          <w:rFonts w:ascii="Times New Roman" w:hAnsi="Times New Roman" w:cs="Times New Roman"/>
        </w:rPr>
        <w:t xml:space="preserve"> (10), 2550–2560. https://doi.org/10.1021/jm030558s.</w:t>
      </w:r>
    </w:p>
    <w:p w14:paraId="231B2F1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(13)</w:t>
      </w:r>
      <w:r w:rsidRPr="004100CF">
        <w:rPr>
          <w:rFonts w:ascii="Times New Roman" w:hAnsi="Times New Roman" w:cs="Times New Roman"/>
        </w:rPr>
        <w:tab/>
        <w:t xml:space="preserve">Das, K.; Bauman, J. D.; Clark, A. D.; Frenkel, Y. V.; Lewi, P. J.; Shatkin, A. J.; Hughes, S. H.; Arnold, E. High-Resolution Structures of HIV-1 Reverse Transcriptase/TMC278 Complexes: Strategic Flexibility Explains Potency against Resistance Mutations. </w:t>
      </w:r>
      <w:r w:rsidRPr="004100CF">
        <w:rPr>
          <w:rFonts w:ascii="Times New Roman" w:hAnsi="Times New Roman" w:cs="Times New Roman"/>
          <w:i/>
          <w:iCs/>
        </w:rPr>
        <w:t>Proceedings of the National Academy of Sciences</w:t>
      </w:r>
      <w:r w:rsidRPr="004100CF">
        <w:rPr>
          <w:rFonts w:ascii="Times New Roman" w:hAnsi="Times New Roman" w:cs="Times New Roman"/>
        </w:rPr>
        <w:t xml:space="preserve"> </w:t>
      </w:r>
      <w:r w:rsidRPr="004100CF">
        <w:rPr>
          <w:rFonts w:ascii="Times New Roman" w:hAnsi="Times New Roman" w:cs="Times New Roman"/>
          <w:b/>
          <w:bCs/>
        </w:rPr>
        <w:t>2008</w:t>
      </w:r>
      <w:r w:rsidRPr="004100CF">
        <w:rPr>
          <w:rFonts w:ascii="Times New Roman" w:hAnsi="Times New Roman" w:cs="Times New Roman"/>
        </w:rPr>
        <w:t xml:space="preserve">, </w:t>
      </w:r>
      <w:r w:rsidRPr="004100CF">
        <w:rPr>
          <w:rFonts w:ascii="Times New Roman" w:hAnsi="Times New Roman" w:cs="Times New Roman"/>
          <w:i/>
          <w:iCs/>
        </w:rPr>
        <w:t>105</w:t>
      </w:r>
      <w:r w:rsidRPr="004100CF">
        <w:rPr>
          <w:rFonts w:ascii="Times New Roman" w:hAnsi="Times New Roman" w:cs="Times New Roman"/>
        </w:rPr>
        <w:t xml:space="preserve"> (5), 1466–1471. https://doi.org/10.1073/pnas.0711209105.</w:t>
      </w:r>
    </w:p>
    <w:p w14:paraId="64EAC731"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(14)</w:t>
      </w:r>
      <w:r w:rsidRPr="004100CF">
        <w:rPr>
          <w:rFonts w:ascii="Times New Roman" w:hAnsi="Times New Roman" w:cs="Times New Roma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4100CF">
        <w:rPr>
          <w:rFonts w:ascii="Times New Roman" w:hAnsi="Times New Roman" w:cs="Times New Roman"/>
          <w:i/>
          <w:iCs/>
        </w:rPr>
        <w:t>Bioorganic &amp; Medicinal Chemistry Letters</w:t>
      </w:r>
      <w:r w:rsidRPr="004100CF">
        <w:rPr>
          <w:rFonts w:ascii="Times New Roman" w:hAnsi="Times New Roman" w:cs="Times New Roman"/>
        </w:rPr>
        <w:t xml:space="preserve"> </w:t>
      </w:r>
      <w:r w:rsidRPr="004100CF">
        <w:rPr>
          <w:rFonts w:ascii="Times New Roman" w:hAnsi="Times New Roman" w:cs="Times New Roman"/>
          <w:b/>
          <w:bCs/>
        </w:rPr>
        <w:t>2014</w:t>
      </w:r>
      <w:r w:rsidRPr="004100CF">
        <w:rPr>
          <w:rFonts w:ascii="Times New Roman" w:hAnsi="Times New Roman" w:cs="Times New Roman"/>
        </w:rPr>
        <w:t xml:space="preserve">, </w:t>
      </w:r>
      <w:r w:rsidRPr="004100CF">
        <w:rPr>
          <w:rFonts w:ascii="Times New Roman" w:hAnsi="Times New Roman" w:cs="Times New Roman"/>
          <w:i/>
          <w:iCs/>
        </w:rPr>
        <w:t>24</w:t>
      </w:r>
      <w:r w:rsidRPr="004100CF">
        <w:rPr>
          <w:rFonts w:ascii="Times New Roman" w:hAnsi="Times New Roman" w:cs="Times New Roman"/>
        </w:rPr>
        <w:t xml:space="preserve"> (3), 917–922. https://doi.org/10.1016/j.bmcl.2013.12.070.</w:t>
      </w:r>
    </w:p>
    <w:p w14:paraId="1DE89F5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(15)</w:t>
      </w:r>
      <w:r w:rsidRPr="004100CF">
        <w:rPr>
          <w:rFonts w:ascii="Times New Roman" w:hAnsi="Times New Roman" w:cs="Times New Roman"/>
        </w:rPr>
        <w:tab/>
        <w:t xml:space="preserve">Hwang, C.; Lai, M.-T.; Hazuda, D. Rational Design of Doravirine: From Bench to Patients. </w:t>
      </w:r>
      <w:r w:rsidRPr="004100CF">
        <w:rPr>
          <w:rFonts w:ascii="Times New Roman" w:hAnsi="Times New Roman" w:cs="Times New Roman"/>
          <w:i/>
          <w:iCs/>
        </w:rPr>
        <w:t>ACS Infect. Dis.</w:t>
      </w:r>
      <w:r w:rsidRPr="004100CF">
        <w:rPr>
          <w:rFonts w:ascii="Times New Roman" w:hAnsi="Times New Roman" w:cs="Times New Roman"/>
        </w:rPr>
        <w:t xml:space="preserve"> </w:t>
      </w:r>
      <w:r w:rsidRPr="004100CF">
        <w:rPr>
          <w:rFonts w:ascii="Times New Roman" w:hAnsi="Times New Roman" w:cs="Times New Roman"/>
          <w:b/>
          <w:bCs/>
        </w:rPr>
        <w:t>2020</w:t>
      </w:r>
      <w:r w:rsidRPr="004100CF">
        <w:rPr>
          <w:rFonts w:ascii="Times New Roman" w:hAnsi="Times New Roman" w:cs="Times New Roman"/>
        </w:rPr>
        <w:t xml:space="preserve">, </w:t>
      </w:r>
      <w:r w:rsidRPr="004100CF">
        <w:rPr>
          <w:rFonts w:ascii="Times New Roman" w:hAnsi="Times New Roman" w:cs="Times New Roman"/>
          <w:i/>
          <w:iCs/>
        </w:rPr>
        <w:t>6</w:t>
      </w:r>
      <w:r w:rsidRPr="004100CF">
        <w:rPr>
          <w:rFonts w:ascii="Times New Roman" w:hAnsi="Times New Roman" w:cs="Times New Roman"/>
        </w:rPr>
        <w:t xml:space="preserve"> (1), 64–73. https://doi.org/10.1021/acsinfecdis.9b00178.</w:t>
      </w:r>
    </w:p>
    <w:p w14:paraId="00355560"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(16)</w:t>
      </w:r>
      <w:r w:rsidRPr="004100CF">
        <w:rPr>
          <w:rFonts w:ascii="Times New Roman" w:hAnsi="Times New Roman" w:cs="Times New Roman"/>
        </w:rPr>
        <w:tab/>
        <w:t>Lai, M.-T.; Feng, M.; Falgueyret, J.-P.; Tawa, P.; Witmer, M.; DiStefano, D.; Li, Y.; Burch, J.; Sachs, N.; Lu, M.; Cauchon, E.; Campeau, L.-C.; Grobler, J.; Yan, Y.; Ducharme, Y.; Côté, B.; Asante-Appiah, E.; Hazuda, D. J.; Miller, M. D. In Vitro Characterization of MK-</w:t>
      </w:r>
      <w:r w:rsidRPr="004100CF">
        <w:rPr>
          <w:rFonts w:ascii="Times New Roman" w:hAnsi="Times New Roman" w:cs="Times New Roman"/>
        </w:rPr>
        <w:lastRenderedPageBreak/>
        <w:t xml:space="preserve">1439, a Novel HIV-1 Nonnucleoside Reverse Transcriptase Inhibitor. </w:t>
      </w:r>
      <w:r w:rsidRPr="004100CF">
        <w:rPr>
          <w:rFonts w:ascii="Times New Roman" w:hAnsi="Times New Roman" w:cs="Times New Roman"/>
          <w:i/>
          <w:iCs/>
        </w:rPr>
        <w:t>Antimicrobial Agents and Chemotherapy</w:t>
      </w:r>
      <w:r w:rsidRPr="004100CF">
        <w:rPr>
          <w:rFonts w:ascii="Times New Roman" w:hAnsi="Times New Roman" w:cs="Times New Roman"/>
        </w:rPr>
        <w:t xml:space="preserve"> </w:t>
      </w:r>
      <w:r w:rsidRPr="004100CF">
        <w:rPr>
          <w:rFonts w:ascii="Times New Roman" w:hAnsi="Times New Roman" w:cs="Times New Roman"/>
          <w:b/>
          <w:bCs/>
        </w:rPr>
        <w:t>2014</w:t>
      </w:r>
      <w:r w:rsidRPr="004100CF">
        <w:rPr>
          <w:rFonts w:ascii="Times New Roman" w:hAnsi="Times New Roman" w:cs="Times New Roman"/>
        </w:rPr>
        <w:t xml:space="preserve">, </w:t>
      </w:r>
      <w:r w:rsidRPr="004100CF">
        <w:rPr>
          <w:rFonts w:ascii="Times New Roman" w:hAnsi="Times New Roman" w:cs="Times New Roman"/>
          <w:i/>
          <w:iCs/>
        </w:rPr>
        <w:t>58</w:t>
      </w:r>
      <w:r w:rsidRPr="004100CF">
        <w:rPr>
          <w:rFonts w:ascii="Times New Roman" w:hAnsi="Times New Roman" w:cs="Times New Roman"/>
        </w:rPr>
        <w:t xml:space="preserve"> (3), 1652–1663. https://doi.org/10.1128/aac.02403-13.</w:t>
      </w:r>
    </w:p>
    <w:p w14:paraId="1919010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(17)</w:t>
      </w:r>
      <w:r w:rsidRPr="004100CF">
        <w:rPr>
          <w:rFonts w:ascii="Times New Roman" w:hAnsi="Times New Roman" w:cs="Times New Roman"/>
        </w:rPr>
        <w:tab/>
        <w:t xml:space="preserve">Feng, M.; Wang, D.; Grobler, J. A.; Hazuda, D. J.; Miller, M. D.; Lai, M.-T. In Vitro Resistance Selection with Doravirine (MK-1439), a Novel Nonnucleoside Reverse Transcriptase Inhibitor with Distinct Mutation Development Pathways. </w:t>
      </w:r>
      <w:r w:rsidRPr="004100CF">
        <w:rPr>
          <w:rFonts w:ascii="Times New Roman" w:hAnsi="Times New Roman" w:cs="Times New Roman"/>
          <w:i/>
          <w:iCs/>
        </w:rPr>
        <w:t>Antimicrobial Agents and Chemotherapy</w:t>
      </w:r>
      <w:r w:rsidRPr="004100CF">
        <w:rPr>
          <w:rFonts w:ascii="Times New Roman" w:hAnsi="Times New Roman" w:cs="Times New Roman"/>
        </w:rPr>
        <w:t xml:space="preserve"> </w:t>
      </w:r>
      <w:r w:rsidRPr="004100CF">
        <w:rPr>
          <w:rFonts w:ascii="Times New Roman" w:hAnsi="Times New Roman" w:cs="Times New Roman"/>
          <w:b/>
          <w:bCs/>
        </w:rPr>
        <w:t>2014</w:t>
      </w:r>
      <w:r w:rsidRPr="004100CF">
        <w:rPr>
          <w:rFonts w:ascii="Times New Roman" w:hAnsi="Times New Roman" w:cs="Times New Roman"/>
        </w:rPr>
        <w:t xml:space="preserve">, </w:t>
      </w:r>
      <w:r w:rsidRPr="004100CF">
        <w:rPr>
          <w:rFonts w:ascii="Times New Roman" w:hAnsi="Times New Roman" w:cs="Times New Roman"/>
          <w:i/>
          <w:iCs/>
        </w:rPr>
        <w:t>59</w:t>
      </w:r>
      <w:r w:rsidRPr="004100CF">
        <w:rPr>
          <w:rFonts w:ascii="Times New Roman" w:hAnsi="Times New Roman" w:cs="Times New Roman"/>
        </w:rPr>
        <w:t xml:space="preserve"> (1), 590–598. https://doi.org/10.1128/aac.04201-14.</w:t>
      </w:r>
    </w:p>
    <w:p w14:paraId="6F48D8A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(18)</w:t>
      </w:r>
      <w:r w:rsidRPr="004100CF">
        <w:rPr>
          <w:rFonts w:ascii="Times New Roman" w:hAnsi="Times New Roman" w:cs="Times New Roman"/>
        </w:rPr>
        <w:tab/>
        <w:t xml:space="preserve">Rhee, S.-Y.; Schapiro, J. M.; Saladini, F.; Zazzi, M.; Khoo, S.; Shafer, R. W. Potential Role of Doravirine for the Treatment of HIV-1-Infected Persons with Transmitted Drug Resistance. </w:t>
      </w:r>
      <w:r w:rsidRPr="004100CF">
        <w:rPr>
          <w:rFonts w:ascii="Times New Roman" w:hAnsi="Times New Roman" w:cs="Times New Roman"/>
          <w:i/>
          <w:iCs/>
        </w:rPr>
        <w:t>AIDS Res Ther</w:t>
      </w:r>
      <w:r w:rsidRPr="004100CF">
        <w:rPr>
          <w:rFonts w:ascii="Times New Roman" w:hAnsi="Times New Roman" w:cs="Times New Roman"/>
        </w:rPr>
        <w:t xml:space="preserve"> </w:t>
      </w:r>
      <w:r w:rsidRPr="004100CF">
        <w:rPr>
          <w:rFonts w:ascii="Times New Roman" w:hAnsi="Times New Roman" w:cs="Times New Roman"/>
          <w:b/>
          <w:bCs/>
        </w:rPr>
        <w:t>2023</w:t>
      </w:r>
      <w:r w:rsidRPr="004100CF">
        <w:rPr>
          <w:rFonts w:ascii="Times New Roman" w:hAnsi="Times New Roman" w:cs="Times New Roman"/>
        </w:rPr>
        <w:t xml:space="preserve">, </w:t>
      </w:r>
      <w:r w:rsidRPr="004100CF">
        <w:rPr>
          <w:rFonts w:ascii="Times New Roman" w:hAnsi="Times New Roman" w:cs="Times New Roman"/>
          <w:i/>
          <w:iCs/>
        </w:rPr>
        <w:t>20</w:t>
      </w:r>
      <w:r w:rsidRPr="004100CF">
        <w:rPr>
          <w:rFonts w:ascii="Times New Roman" w:hAnsi="Times New Roman" w:cs="Times New Roman"/>
        </w:rPr>
        <w:t xml:space="preserve"> (1), 8. https://doi.org/10.1186/s12981-023-00503-5.</w:t>
      </w:r>
    </w:p>
    <w:p w14:paraId="58AD9ECD"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(19)</w:t>
      </w:r>
      <w:r w:rsidRPr="004100CF">
        <w:rPr>
          <w:rFonts w:ascii="Times New Roman" w:hAnsi="Times New Roman" w:cs="Times New Roman"/>
        </w:rPr>
        <w:tab/>
        <w:t xml:space="preserve">Calza, L.; Colangeli, V.; Pensalfine, G.; Appolloni, L.; Vitale, S.; Bon, I.; Viale, P. Doravirine/Lamivudine/Tenofovir Disoproxil Fumarate in Virologically Suppressed People Living with HIV: A Real-Life Experience. </w:t>
      </w:r>
      <w:r w:rsidRPr="004100CF">
        <w:rPr>
          <w:rFonts w:ascii="Times New Roman" w:hAnsi="Times New Roman" w:cs="Times New Roman"/>
          <w:i/>
          <w:iCs/>
        </w:rPr>
        <w:t>Int J STD AIDS</w:t>
      </w:r>
      <w:r w:rsidRPr="004100CF">
        <w:rPr>
          <w:rFonts w:ascii="Times New Roman" w:hAnsi="Times New Roman" w:cs="Times New Roman"/>
        </w:rPr>
        <w:t xml:space="preserve"> </w:t>
      </w:r>
      <w:r w:rsidRPr="004100CF">
        <w:rPr>
          <w:rFonts w:ascii="Times New Roman" w:hAnsi="Times New Roman" w:cs="Times New Roman"/>
          <w:b/>
          <w:bCs/>
        </w:rPr>
        <w:t>2023</w:t>
      </w:r>
      <w:r w:rsidRPr="004100CF">
        <w:rPr>
          <w:rFonts w:ascii="Times New Roman" w:hAnsi="Times New Roman" w:cs="Times New Roman"/>
        </w:rPr>
        <w:t xml:space="preserve">, </w:t>
      </w:r>
      <w:r w:rsidRPr="004100CF">
        <w:rPr>
          <w:rFonts w:ascii="Times New Roman" w:hAnsi="Times New Roman" w:cs="Times New Roman"/>
          <w:i/>
          <w:iCs/>
        </w:rPr>
        <w:t>34</w:t>
      </w:r>
      <w:r w:rsidRPr="004100CF">
        <w:rPr>
          <w:rFonts w:ascii="Times New Roman" w:hAnsi="Times New Roman" w:cs="Times New Roman"/>
        </w:rPr>
        <w:t xml:space="preserve"> (14), 1018–1023. https://doi.org/10.1177/09564624231195084.</w:t>
      </w:r>
    </w:p>
    <w:p w14:paraId="17B1F9A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(20)</w:t>
      </w:r>
      <w:r w:rsidRPr="004100CF">
        <w:rPr>
          <w:rFonts w:ascii="Times New Roman" w:hAnsi="Times New Roman" w:cs="Times New Roma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4100CF">
        <w:rPr>
          <w:rFonts w:ascii="Times New Roman" w:hAnsi="Times New Roman" w:cs="Times New Roman"/>
          <w:i/>
          <w:iCs/>
        </w:rPr>
        <w:t>Microbiology Spectrum</w:t>
      </w:r>
      <w:r w:rsidRPr="004100CF">
        <w:rPr>
          <w:rFonts w:ascii="Times New Roman" w:hAnsi="Times New Roman" w:cs="Times New Roman"/>
        </w:rPr>
        <w:t xml:space="preserve"> </w:t>
      </w:r>
      <w:r w:rsidRPr="004100CF">
        <w:rPr>
          <w:rFonts w:ascii="Times New Roman" w:hAnsi="Times New Roman" w:cs="Times New Roman"/>
          <w:b/>
          <w:bCs/>
        </w:rPr>
        <w:t>2024</w:t>
      </w:r>
      <w:r w:rsidRPr="004100CF">
        <w:rPr>
          <w:rFonts w:ascii="Times New Roman" w:hAnsi="Times New Roman" w:cs="Times New Roman"/>
        </w:rPr>
        <w:t xml:space="preserve">, </w:t>
      </w:r>
      <w:r w:rsidRPr="004100CF">
        <w:rPr>
          <w:rFonts w:ascii="Times New Roman" w:hAnsi="Times New Roman" w:cs="Times New Roman"/>
          <w:i/>
          <w:iCs/>
        </w:rPr>
        <w:t>12</w:t>
      </w:r>
      <w:r w:rsidRPr="004100CF">
        <w:rPr>
          <w:rFonts w:ascii="Times New Roman" w:hAnsi="Times New Roman" w:cs="Times New Roman"/>
        </w:rPr>
        <w:t xml:space="preserve"> (8), e00654-24. https://doi.org/10.1128/spectrum.00654-24.</w:t>
      </w:r>
    </w:p>
    <w:p w14:paraId="21C3A469"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(21)</w:t>
      </w:r>
      <w:r w:rsidRPr="004100CF">
        <w:rPr>
          <w:rFonts w:ascii="Times New Roman" w:hAnsi="Times New Roman" w:cs="Times New Roman"/>
        </w:rPr>
        <w:tab/>
        <w:t xml:space="preserve">Yang, H.; Li, M.; Liu, Q.; Zeng, Q.; Yuan, J. The Efficacy and Safety of Doravirine/Lamivudine/Tenofovir Disoproxil Fumarate in Treatment-Naïve and Treatment-Experienced Patients with HIV. </w:t>
      </w:r>
      <w:r w:rsidRPr="004100CF">
        <w:rPr>
          <w:rFonts w:ascii="Times New Roman" w:hAnsi="Times New Roman" w:cs="Times New Roman"/>
          <w:i/>
          <w:iCs/>
        </w:rPr>
        <w:t>Annals of Medicine</w:t>
      </w:r>
      <w:r w:rsidRPr="004100CF">
        <w:rPr>
          <w:rFonts w:ascii="Times New Roman" w:hAnsi="Times New Roman" w:cs="Times New Roman"/>
        </w:rPr>
        <w:t xml:space="preserve"> </w:t>
      </w:r>
      <w:r w:rsidRPr="004100CF">
        <w:rPr>
          <w:rFonts w:ascii="Times New Roman" w:hAnsi="Times New Roman" w:cs="Times New Roman"/>
          <w:b/>
          <w:bCs/>
        </w:rPr>
        <w:t>2025</w:t>
      </w:r>
      <w:r w:rsidRPr="004100CF">
        <w:rPr>
          <w:rFonts w:ascii="Times New Roman" w:hAnsi="Times New Roman" w:cs="Times New Roman"/>
        </w:rPr>
        <w:t xml:space="preserve">, </w:t>
      </w:r>
      <w:r w:rsidRPr="004100CF">
        <w:rPr>
          <w:rFonts w:ascii="Times New Roman" w:hAnsi="Times New Roman" w:cs="Times New Roman"/>
          <w:i/>
          <w:iCs/>
        </w:rPr>
        <w:t>57</w:t>
      </w:r>
      <w:r w:rsidRPr="004100CF">
        <w:rPr>
          <w:rFonts w:ascii="Times New Roman" w:hAnsi="Times New Roman" w:cs="Times New Roman"/>
        </w:rPr>
        <w:t xml:space="preserve"> (1), 2564286. https://doi.org/10.1080/07853890.2025.2564286.</w:t>
      </w:r>
    </w:p>
    <w:p w14:paraId="698705B7"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(22)</w:t>
      </w:r>
      <w:r w:rsidRPr="004100CF">
        <w:rPr>
          <w:rFonts w:ascii="Times New Roman" w:hAnsi="Times New Roman" w:cs="Times New Roma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4100CF">
        <w:rPr>
          <w:rFonts w:ascii="Times New Roman" w:hAnsi="Times New Roman" w:cs="Times New Roman"/>
          <w:i/>
          <w:iCs/>
        </w:rPr>
        <w:t>The Lancet</w:t>
      </w:r>
      <w:r w:rsidRPr="004100CF">
        <w:rPr>
          <w:rFonts w:ascii="Times New Roman" w:hAnsi="Times New Roman" w:cs="Times New Roman"/>
        </w:rPr>
        <w:t xml:space="preserve"> </w:t>
      </w:r>
      <w:r w:rsidRPr="004100CF">
        <w:rPr>
          <w:rFonts w:ascii="Times New Roman" w:hAnsi="Times New Roman" w:cs="Times New Roman"/>
          <w:b/>
          <w:bCs/>
        </w:rPr>
        <w:t>2026</w:t>
      </w:r>
      <w:r w:rsidRPr="004100CF">
        <w:rPr>
          <w:rFonts w:ascii="Times New Roman" w:hAnsi="Times New Roman" w:cs="Times New Roman"/>
        </w:rPr>
        <w:t xml:space="preserve">, </w:t>
      </w:r>
      <w:r w:rsidRPr="004100CF">
        <w:rPr>
          <w:rFonts w:ascii="Times New Roman" w:hAnsi="Times New Roman" w:cs="Times New Roman"/>
          <w:i/>
          <w:iCs/>
        </w:rPr>
        <w:t>407</w:t>
      </w:r>
      <w:r w:rsidRPr="004100CF">
        <w:rPr>
          <w:rFonts w:ascii="Times New Roman" w:hAnsi="Times New Roman" w:cs="Times New Roman"/>
        </w:rPr>
        <w:t xml:space="preserve"> (10528), 599–610. https://doi.org/10.1016/S0140-6736(25)01945-2.</w:t>
      </w:r>
    </w:p>
    <w:p w14:paraId="7BF338C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(23)</w:t>
      </w:r>
      <w:r w:rsidRPr="004100CF">
        <w:rPr>
          <w:rFonts w:ascii="Times New Roman" w:hAnsi="Times New Roman" w:cs="Times New Roman"/>
        </w:rPr>
        <w:tab/>
        <w:t xml:space="preserve">Rizzo, R. C.; Wang, D.-P.; Tirado-Rives, J.; Jorgensen, W. L. Validation of a Model for the Complex of HIV-1 Reverse Transcriptase with Sustiva through Computation of Resistance Profiles. </w:t>
      </w:r>
      <w:r w:rsidRPr="004100CF">
        <w:rPr>
          <w:rFonts w:ascii="Times New Roman" w:hAnsi="Times New Roman" w:cs="Times New Roman"/>
          <w:i/>
          <w:iCs/>
        </w:rPr>
        <w:t>Journal American Chemical Society</w:t>
      </w:r>
      <w:r w:rsidRPr="004100CF">
        <w:rPr>
          <w:rFonts w:ascii="Times New Roman" w:hAnsi="Times New Roman" w:cs="Times New Roman"/>
        </w:rPr>
        <w:t xml:space="preserve"> </w:t>
      </w:r>
      <w:r w:rsidRPr="004100CF">
        <w:rPr>
          <w:rFonts w:ascii="Times New Roman" w:hAnsi="Times New Roman" w:cs="Times New Roman"/>
          <w:b/>
          <w:bCs/>
        </w:rPr>
        <w:t>2000</w:t>
      </w:r>
      <w:r w:rsidRPr="004100CF">
        <w:rPr>
          <w:rFonts w:ascii="Times New Roman" w:hAnsi="Times New Roman" w:cs="Times New Roman"/>
        </w:rPr>
        <w:t xml:space="preserve">, </w:t>
      </w:r>
      <w:r w:rsidRPr="004100CF">
        <w:rPr>
          <w:rFonts w:ascii="Times New Roman" w:hAnsi="Times New Roman" w:cs="Times New Roman"/>
          <w:i/>
          <w:iCs/>
        </w:rPr>
        <w:t>122</w:t>
      </w:r>
      <w:r w:rsidRPr="004100CF">
        <w:rPr>
          <w:rFonts w:ascii="Times New Roman" w:hAnsi="Times New Roman" w:cs="Times New Roman"/>
        </w:rPr>
        <w:t xml:space="preserve"> (51), 12898–12900. https://doi.org/10.1021/ja003113r.</w:t>
      </w:r>
    </w:p>
    <w:p w14:paraId="3CD75CA7"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(24)</w:t>
      </w:r>
      <w:r w:rsidRPr="004100CF">
        <w:rPr>
          <w:rFonts w:ascii="Times New Roman" w:hAnsi="Times New Roman" w:cs="Times New Roman"/>
        </w:rPr>
        <w:tab/>
        <w:t xml:space="preserve">Wang, D.-P.; Rizzo, R. C.; Tirado-Rives, J.; Jorgensen, W. L. Antiviral Drug Design: Computational Analyses of the Effects of the L100I Mutation for HIV-RT on the Binding of NNRTIs. </w:t>
      </w:r>
      <w:r w:rsidRPr="004100CF">
        <w:rPr>
          <w:rFonts w:ascii="Times New Roman" w:hAnsi="Times New Roman" w:cs="Times New Roman"/>
          <w:i/>
          <w:iCs/>
        </w:rPr>
        <w:t>Bioorganic &amp; Medicinal Chemistry Letters</w:t>
      </w:r>
      <w:r w:rsidRPr="004100CF">
        <w:rPr>
          <w:rFonts w:ascii="Times New Roman" w:hAnsi="Times New Roman" w:cs="Times New Roman"/>
        </w:rPr>
        <w:t xml:space="preserve"> </w:t>
      </w:r>
      <w:r w:rsidRPr="004100CF">
        <w:rPr>
          <w:rFonts w:ascii="Times New Roman" w:hAnsi="Times New Roman" w:cs="Times New Roman"/>
          <w:b/>
          <w:bCs/>
        </w:rPr>
        <w:t>2001</w:t>
      </w:r>
      <w:r w:rsidRPr="004100CF">
        <w:rPr>
          <w:rFonts w:ascii="Times New Roman" w:hAnsi="Times New Roman" w:cs="Times New Roman"/>
        </w:rPr>
        <w:t xml:space="preserve">, </w:t>
      </w:r>
      <w:r w:rsidRPr="004100CF">
        <w:rPr>
          <w:rFonts w:ascii="Times New Roman" w:hAnsi="Times New Roman" w:cs="Times New Roman"/>
          <w:i/>
          <w:iCs/>
        </w:rPr>
        <w:t>11</w:t>
      </w:r>
      <w:r w:rsidRPr="004100CF">
        <w:rPr>
          <w:rFonts w:ascii="Times New Roman" w:hAnsi="Times New Roman" w:cs="Times New Roman"/>
        </w:rPr>
        <w:t xml:space="preserve"> (21), 2799–2802. https://doi.org/10.1016/S0960-894X(01)00510-8.</w:t>
      </w:r>
    </w:p>
    <w:p w14:paraId="2D0A4B7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(25)</w:t>
      </w:r>
      <w:r w:rsidRPr="004100CF">
        <w:rPr>
          <w:rFonts w:ascii="Times New Roman" w:hAnsi="Times New Roman" w:cs="Times New Roman"/>
        </w:rPr>
        <w:tab/>
        <w:t xml:space="preserve">Udier-Blagović, M.; Tirado-Rives, J.; Jorgensen, W. L. Validation of a Model for the Complex of HIV-1 Reverse Transcriptase with Nonnucleoside Inhibitor TMC125. </w:t>
      </w:r>
      <w:r w:rsidRPr="004100CF">
        <w:rPr>
          <w:rFonts w:ascii="Times New Roman" w:hAnsi="Times New Roman" w:cs="Times New Roman"/>
          <w:i/>
          <w:iCs/>
        </w:rPr>
        <w:t>Journal American Chemical Society</w:t>
      </w:r>
      <w:r w:rsidRPr="004100CF">
        <w:rPr>
          <w:rFonts w:ascii="Times New Roman" w:hAnsi="Times New Roman" w:cs="Times New Roman"/>
        </w:rPr>
        <w:t xml:space="preserve"> </w:t>
      </w:r>
      <w:r w:rsidRPr="004100CF">
        <w:rPr>
          <w:rFonts w:ascii="Times New Roman" w:hAnsi="Times New Roman" w:cs="Times New Roman"/>
          <w:b/>
          <w:bCs/>
        </w:rPr>
        <w:t>2003</w:t>
      </w:r>
      <w:r w:rsidRPr="004100CF">
        <w:rPr>
          <w:rFonts w:ascii="Times New Roman" w:hAnsi="Times New Roman" w:cs="Times New Roman"/>
        </w:rPr>
        <w:t xml:space="preserve">, </w:t>
      </w:r>
      <w:r w:rsidRPr="004100CF">
        <w:rPr>
          <w:rFonts w:ascii="Times New Roman" w:hAnsi="Times New Roman" w:cs="Times New Roman"/>
          <w:i/>
          <w:iCs/>
        </w:rPr>
        <w:t>125</w:t>
      </w:r>
      <w:r w:rsidRPr="004100CF">
        <w:rPr>
          <w:rFonts w:ascii="Times New Roman" w:hAnsi="Times New Roman" w:cs="Times New Roman"/>
        </w:rPr>
        <w:t xml:space="preserve"> (20), 6016–6017. https://doi.org/10.1021/ja034308c.</w:t>
      </w:r>
    </w:p>
    <w:p w14:paraId="7EFDAAB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(26)</w:t>
      </w:r>
      <w:r w:rsidRPr="004100CF">
        <w:rPr>
          <w:rFonts w:ascii="Times New Roman" w:hAnsi="Times New Roman" w:cs="Times New Roman"/>
        </w:rPr>
        <w:tab/>
        <w:t xml:space="preserve">Udier-Blagović, M.; Tirado-Rives, J.; Jorgensen, W. L. Structural and Energetic Analyses of the Effects of the K103N Mutation of HIV-1 Reverse Transcriptase on Efavirenz Analogues. </w:t>
      </w:r>
      <w:r w:rsidRPr="004100CF">
        <w:rPr>
          <w:rFonts w:ascii="Times New Roman" w:hAnsi="Times New Roman" w:cs="Times New Roman"/>
          <w:i/>
          <w:iCs/>
        </w:rPr>
        <w:t>J. Med. Chem.</w:t>
      </w:r>
      <w:r w:rsidRPr="004100CF">
        <w:rPr>
          <w:rFonts w:ascii="Times New Roman" w:hAnsi="Times New Roman" w:cs="Times New Roman"/>
        </w:rPr>
        <w:t xml:space="preserve"> </w:t>
      </w:r>
      <w:r w:rsidRPr="004100CF">
        <w:rPr>
          <w:rFonts w:ascii="Times New Roman" w:hAnsi="Times New Roman" w:cs="Times New Roman"/>
          <w:b/>
          <w:bCs/>
        </w:rPr>
        <w:t>2004</w:t>
      </w:r>
      <w:r w:rsidRPr="004100CF">
        <w:rPr>
          <w:rFonts w:ascii="Times New Roman" w:hAnsi="Times New Roman" w:cs="Times New Roman"/>
        </w:rPr>
        <w:t xml:space="preserve">, </w:t>
      </w:r>
      <w:r w:rsidRPr="004100CF">
        <w:rPr>
          <w:rFonts w:ascii="Times New Roman" w:hAnsi="Times New Roman" w:cs="Times New Roman"/>
          <w:i/>
          <w:iCs/>
        </w:rPr>
        <w:t>47</w:t>
      </w:r>
      <w:r w:rsidRPr="004100CF">
        <w:rPr>
          <w:rFonts w:ascii="Times New Roman" w:hAnsi="Times New Roman" w:cs="Times New Roman"/>
        </w:rPr>
        <w:t xml:space="preserve"> (9), 2389–2392. https://doi.org/10.1021/jm0303507.</w:t>
      </w:r>
    </w:p>
    <w:p w14:paraId="648ACE79"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(27)</w:t>
      </w:r>
      <w:r w:rsidRPr="004100CF">
        <w:rPr>
          <w:rFonts w:ascii="Times New Roman" w:hAnsi="Times New Roman" w:cs="Times New Roman"/>
        </w:rPr>
        <w:tab/>
        <w:t xml:space="preserve">Rodríguez-Barrios, F.; Balzarini, J.; Gago, F. The Molecular Basis of Resilience to the Effect of the Lys103Asn Mutation in Non-Nucleoside HIV-1 Reverse Transcriptase </w:t>
      </w:r>
      <w:r w:rsidRPr="004100CF">
        <w:rPr>
          <w:rFonts w:ascii="Times New Roman" w:hAnsi="Times New Roman" w:cs="Times New Roman"/>
        </w:rPr>
        <w:lastRenderedPageBreak/>
        <w:t xml:space="preserve">Inhibitors Studied by Targeted Molecular Dynamics Simulations. </w:t>
      </w:r>
      <w:r w:rsidRPr="004100CF">
        <w:rPr>
          <w:rFonts w:ascii="Times New Roman" w:hAnsi="Times New Roman" w:cs="Times New Roman"/>
          <w:i/>
          <w:iCs/>
        </w:rPr>
        <w:t>Journal American Chemical Society</w:t>
      </w:r>
      <w:r w:rsidRPr="004100CF">
        <w:rPr>
          <w:rFonts w:ascii="Times New Roman" w:hAnsi="Times New Roman" w:cs="Times New Roman"/>
        </w:rPr>
        <w:t xml:space="preserve"> </w:t>
      </w:r>
      <w:r w:rsidRPr="004100CF">
        <w:rPr>
          <w:rFonts w:ascii="Times New Roman" w:hAnsi="Times New Roman" w:cs="Times New Roman"/>
          <w:b/>
          <w:bCs/>
        </w:rPr>
        <w:t>2005</w:t>
      </w:r>
      <w:r w:rsidRPr="004100CF">
        <w:rPr>
          <w:rFonts w:ascii="Times New Roman" w:hAnsi="Times New Roman" w:cs="Times New Roman"/>
        </w:rPr>
        <w:t xml:space="preserve">, </w:t>
      </w:r>
      <w:r w:rsidRPr="004100CF">
        <w:rPr>
          <w:rFonts w:ascii="Times New Roman" w:hAnsi="Times New Roman" w:cs="Times New Roman"/>
          <w:i/>
          <w:iCs/>
        </w:rPr>
        <w:t>127</w:t>
      </w:r>
      <w:r w:rsidRPr="004100CF">
        <w:rPr>
          <w:rFonts w:ascii="Times New Roman" w:hAnsi="Times New Roman" w:cs="Times New Roman"/>
        </w:rPr>
        <w:t xml:space="preserve"> (20), 7570–7578. https://doi.org/10.1021/ja042289g.</w:t>
      </w:r>
    </w:p>
    <w:p w14:paraId="3C1FE760"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(28)</w:t>
      </w:r>
      <w:r w:rsidRPr="004100CF">
        <w:rPr>
          <w:rFonts w:ascii="Times New Roman" w:hAnsi="Times New Roman" w:cs="Times New Roman"/>
        </w:rPr>
        <w:tab/>
        <w:t xml:space="preserve">Zhou, Z.; Madrid, M.; Evanseck, J. D.; Madura, J. D. Effect of a Bound Non-Nucleoside RT Inhibitor on the Dynamics of Wild-Type and Mutant HIV-1 Reverse Transcriptase. </w:t>
      </w:r>
      <w:r w:rsidRPr="004100CF">
        <w:rPr>
          <w:rFonts w:ascii="Times New Roman" w:hAnsi="Times New Roman" w:cs="Times New Roman"/>
          <w:i/>
          <w:iCs/>
        </w:rPr>
        <w:t>J. Am. Chem. Soc.</w:t>
      </w:r>
      <w:r w:rsidRPr="004100CF">
        <w:rPr>
          <w:rFonts w:ascii="Times New Roman" w:hAnsi="Times New Roman" w:cs="Times New Roman"/>
        </w:rPr>
        <w:t xml:space="preserve"> </w:t>
      </w:r>
      <w:r w:rsidRPr="004100CF">
        <w:rPr>
          <w:rFonts w:ascii="Times New Roman" w:hAnsi="Times New Roman" w:cs="Times New Roman"/>
          <w:b/>
          <w:bCs/>
        </w:rPr>
        <w:t>2005</w:t>
      </w:r>
      <w:r w:rsidRPr="004100CF">
        <w:rPr>
          <w:rFonts w:ascii="Times New Roman" w:hAnsi="Times New Roman" w:cs="Times New Roman"/>
        </w:rPr>
        <w:t xml:space="preserve">, </w:t>
      </w:r>
      <w:r w:rsidRPr="004100CF">
        <w:rPr>
          <w:rFonts w:ascii="Times New Roman" w:hAnsi="Times New Roman" w:cs="Times New Roman"/>
          <w:i/>
          <w:iCs/>
        </w:rPr>
        <w:t>127</w:t>
      </w:r>
      <w:r w:rsidRPr="004100CF">
        <w:rPr>
          <w:rFonts w:ascii="Times New Roman" w:hAnsi="Times New Roman" w:cs="Times New Roman"/>
        </w:rPr>
        <w:t xml:space="preserve"> (49), 17253–17260. https://doi.org/10.1021/ja053973d.</w:t>
      </w:r>
    </w:p>
    <w:p w14:paraId="2EFC2B89"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(29)</w:t>
      </w:r>
      <w:r w:rsidRPr="004100CF">
        <w:rPr>
          <w:rFonts w:ascii="Times New Roman" w:hAnsi="Times New Roman" w:cs="Times New Roman"/>
        </w:rPr>
        <w:tab/>
        <w:t xml:space="preserve">Vijayan, R. S. K.; Arnold, E.; Das, K. Molecular Dynamics Study of HIV-1 RT-DNA-Nevirapine Complexes Explains NNRTI Inhibition and Resistance by Connection Mutations. </w:t>
      </w:r>
      <w:r w:rsidRPr="004100CF">
        <w:rPr>
          <w:rFonts w:ascii="Times New Roman" w:hAnsi="Times New Roman" w:cs="Times New Roman"/>
          <w:i/>
          <w:iCs/>
        </w:rPr>
        <w:t>Proteins: Structure, Function, and Bioinformatics</w:t>
      </w:r>
      <w:r w:rsidRPr="004100CF">
        <w:rPr>
          <w:rFonts w:ascii="Times New Roman" w:hAnsi="Times New Roman" w:cs="Times New Roman"/>
        </w:rPr>
        <w:t xml:space="preserve"> </w:t>
      </w:r>
      <w:r w:rsidRPr="004100CF">
        <w:rPr>
          <w:rFonts w:ascii="Times New Roman" w:hAnsi="Times New Roman" w:cs="Times New Roman"/>
          <w:b/>
          <w:bCs/>
        </w:rPr>
        <w:t>2014</w:t>
      </w:r>
      <w:r w:rsidRPr="004100CF">
        <w:rPr>
          <w:rFonts w:ascii="Times New Roman" w:hAnsi="Times New Roman" w:cs="Times New Roman"/>
        </w:rPr>
        <w:t xml:space="preserve">, </w:t>
      </w:r>
      <w:r w:rsidRPr="004100CF">
        <w:rPr>
          <w:rFonts w:ascii="Times New Roman" w:hAnsi="Times New Roman" w:cs="Times New Roman"/>
          <w:i/>
          <w:iCs/>
        </w:rPr>
        <w:t>82</w:t>
      </w:r>
      <w:r w:rsidRPr="004100CF">
        <w:rPr>
          <w:rFonts w:ascii="Times New Roman" w:hAnsi="Times New Roman" w:cs="Times New Roman"/>
        </w:rPr>
        <w:t xml:space="preserve"> (5), 815–829. https://doi.org/10.1002/prot.24460.</w:t>
      </w:r>
    </w:p>
    <w:p w14:paraId="1B1F028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(30)</w:t>
      </w:r>
      <w:r w:rsidRPr="004100CF">
        <w:rPr>
          <w:rFonts w:ascii="Times New Roman" w:hAnsi="Times New Roman" w:cs="Times New Roman"/>
        </w:rPr>
        <w:tab/>
        <w:t xml:space="preserve">Ghidini, A.; Serra, E.; Cavalli, A. On Free Energy Calculations in Drug Discovery. </w:t>
      </w:r>
      <w:r w:rsidRPr="004100CF">
        <w:rPr>
          <w:rFonts w:ascii="Times New Roman" w:hAnsi="Times New Roman" w:cs="Times New Roman"/>
          <w:i/>
          <w:iCs/>
        </w:rPr>
        <w:t>Acc. Chem. Res.</w:t>
      </w:r>
      <w:r w:rsidRPr="004100CF">
        <w:rPr>
          <w:rFonts w:ascii="Times New Roman" w:hAnsi="Times New Roman" w:cs="Times New Roman"/>
        </w:rPr>
        <w:t xml:space="preserve"> </w:t>
      </w:r>
      <w:r w:rsidRPr="004100CF">
        <w:rPr>
          <w:rFonts w:ascii="Times New Roman" w:hAnsi="Times New Roman" w:cs="Times New Roman"/>
          <w:b/>
          <w:bCs/>
        </w:rPr>
        <w:t>2025</w:t>
      </w:r>
      <w:r w:rsidRPr="004100CF">
        <w:rPr>
          <w:rFonts w:ascii="Times New Roman" w:hAnsi="Times New Roman" w:cs="Times New Roman"/>
        </w:rPr>
        <w:t xml:space="preserve">, </w:t>
      </w:r>
      <w:r w:rsidRPr="004100CF">
        <w:rPr>
          <w:rFonts w:ascii="Times New Roman" w:hAnsi="Times New Roman" w:cs="Times New Roman"/>
          <w:i/>
          <w:iCs/>
        </w:rPr>
        <w:t>58</w:t>
      </w:r>
      <w:r w:rsidRPr="004100CF">
        <w:rPr>
          <w:rFonts w:ascii="Times New Roman" w:hAnsi="Times New Roman" w:cs="Times New Roman"/>
        </w:rPr>
        <w:t xml:space="preserve"> (20), 3137–3145. https://doi.org/10.1021/acs.accounts.5c00465.</w:t>
      </w:r>
    </w:p>
    <w:p w14:paraId="0FB1EEFC"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(31)</w:t>
      </w:r>
      <w:r w:rsidRPr="004100CF">
        <w:rPr>
          <w:rFonts w:ascii="Times New Roman" w:hAnsi="Times New Roman" w:cs="Times New Roman"/>
        </w:rPr>
        <w:tab/>
        <w:t xml:space="preserve">Gapsys, V.; Pérez-Benito, L.; Aldeghi, M.; Seeliger, D.; van Vlijmen, H.; Tresadern, G.; de Groot, B. L. Large Scale Relative Protein Ligand Binding Affinities Using Non-Equilibrium Alchemy. </w:t>
      </w:r>
      <w:r w:rsidRPr="004100CF">
        <w:rPr>
          <w:rFonts w:ascii="Times New Roman" w:hAnsi="Times New Roman" w:cs="Times New Roman"/>
          <w:i/>
          <w:iCs/>
        </w:rPr>
        <w:t>Chem. Sci.</w:t>
      </w:r>
      <w:r w:rsidRPr="004100CF">
        <w:rPr>
          <w:rFonts w:ascii="Times New Roman" w:hAnsi="Times New Roman" w:cs="Times New Roman"/>
        </w:rPr>
        <w:t xml:space="preserve"> </w:t>
      </w:r>
      <w:r w:rsidRPr="004100CF">
        <w:rPr>
          <w:rFonts w:ascii="Times New Roman" w:hAnsi="Times New Roman" w:cs="Times New Roman"/>
          <w:b/>
          <w:bCs/>
        </w:rPr>
        <w:t>2020</w:t>
      </w:r>
      <w:r w:rsidRPr="004100CF">
        <w:rPr>
          <w:rFonts w:ascii="Times New Roman" w:hAnsi="Times New Roman" w:cs="Times New Roman"/>
        </w:rPr>
        <w:t xml:space="preserve">, </w:t>
      </w:r>
      <w:r w:rsidRPr="004100CF">
        <w:rPr>
          <w:rFonts w:ascii="Times New Roman" w:hAnsi="Times New Roman" w:cs="Times New Roman"/>
          <w:i/>
          <w:iCs/>
        </w:rPr>
        <w:t>11</w:t>
      </w:r>
      <w:r w:rsidRPr="004100CF">
        <w:rPr>
          <w:rFonts w:ascii="Times New Roman" w:hAnsi="Times New Roman" w:cs="Times New Roman"/>
        </w:rPr>
        <w:t xml:space="preserve"> (4), 1140–1152. https://doi.org/10.1039/c9sc03754c.</w:t>
      </w:r>
    </w:p>
    <w:p w14:paraId="3829F484"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(32)</w:t>
      </w:r>
      <w:r w:rsidRPr="004100CF">
        <w:rPr>
          <w:rFonts w:ascii="Times New Roman" w:hAnsi="Times New Roman" w:cs="Times New Roman"/>
        </w:rPr>
        <w:tab/>
        <w:t xml:space="preserve">Kabsch, W. A Solution for the Best Rotation to Relate Two Sets of Vectors. </w:t>
      </w:r>
      <w:r w:rsidRPr="004100CF">
        <w:rPr>
          <w:rFonts w:ascii="Times New Roman" w:hAnsi="Times New Roman" w:cs="Times New Roman"/>
          <w:i/>
          <w:iCs/>
        </w:rPr>
        <w:t>Acta Crystallographica Section A</w:t>
      </w:r>
      <w:r w:rsidRPr="004100CF">
        <w:rPr>
          <w:rFonts w:ascii="Times New Roman" w:hAnsi="Times New Roman" w:cs="Times New Roman"/>
        </w:rPr>
        <w:t xml:space="preserve"> </w:t>
      </w:r>
      <w:r w:rsidRPr="004100CF">
        <w:rPr>
          <w:rFonts w:ascii="Times New Roman" w:hAnsi="Times New Roman" w:cs="Times New Roman"/>
          <w:b/>
          <w:bCs/>
        </w:rPr>
        <w:t>1976</w:t>
      </w:r>
      <w:r w:rsidRPr="004100CF">
        <w:rPr>
          <w:rFonts w:ascii="Times New Roman" w:hAnsi="Times New Roman" w:cs="Times New Roman"/>
        </w:rPr>
        <w:t xml:space="preserve">, </w:t>
      </w:r>
      <w:r w:rsidRPr="004100CF">
        <w:rPr>
          <w:rFonts w:ascii="Times New Roman" w:hAnsi="Times New Roman" w:cs="Times New Roman"/>
          <w:i/>
          <w:iCs/>
        </w:rPr>
        <w:t>32</w:t>
      </w:r>
      <w:r w:rsidRPr="004100CF">
        <w:rPr>
          <w:rFonts w:ascii="Times New Roman" w:hAnsi="Times New Roman" w:cs="Times New Roman"/>
        </w:rPr>
        <w:t xml:space="preserve"> (5), 922–923. https://doi.org/10.1107/S0567739476001873.</w:t>
      </w:r>
    </w:p>
    <w:p w14:paraId="3C9643EB"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(33)</w:t>
      </w:r>
      <w:r w:rsidRPr="004100CF">
        <w:rPr>
          <w:rFonts w:ascii="Times New Roman" w:hAnsi="Times New Roman" w:cs="Times New Roman"/>
        </w:rPr>
        <w:tab/>
        <w:t xml:space="preserve">Eastman, P.; Swails, J.; Chodera, J. D.; McGibbon, R. T.; Zhao, Y.; Beauchamp, K. A.; Wang, L.-P.; Simmonett, A. C.; Harrigan, M. P.; Stern, C. D.; Wiewiora, R. P.; Brooks, B. R.; Pande, V. S. OpenMM 7: Rapid Development of High Performance Algorithms for Molecular Dynamics. </w:t>
      </w:r>
      <w:r w:rsidRPr="004100CF">
        <w:rPr>
          <w:rFonts w:ascii="Times New Roman" w:hAnsi="Times New Roman" w:cs="Times New Roman"/>
          <w:i/>
          <w:iCs/>
        </w:rPr>
        <w:t>PLOS Computational Biology</w:t>
      </w:r>
      <w:r w:rsidRPr="004100CF">
        <w:rPr>
          <w:rFonts w:ascii="Times New Roman" w:hAnsi="Times New Roman" w:cs="Times New Roman"/>
        </w:rPr>
        <w:t xml:space="preserve"> </w:t>
      </w:r>
      <w:r w:rsidRPr="004100CF">
        <w:rPr>
          <w:rFonts w:ascii="Times New Roman" w:hAnsi="Times New Roman" w:cs="Times New Roman"/>
          <w:b/>
          <w:bCs/>
        </w:rPr>
        <w:t>2017</w:t>
      </w:r>
      <w:r w:rsidRPr="004100CF">
        <w:rPr>
          <w:rFonts w:ascii="Times New Roman" w:hAnsi="Times New Roman" w:cs="Times New Roman"/>
        </w:rPr>
        <w:t xml:space="preserve">, </w:t>
      </w:r>
      <w:r w:rsidRPr="004100CF">
        <w:rPr>
          <w:rFonts w:ascii="Times New Roman" w:hAnsi="Times New Roman" w:cs="Times New Roman"/>
          <w:i/>
          <w:iCs/>
        </w:rPr>
        <w:t>13</w:t>
      </w:r>
      <w:r w:rsidRPr="004100CF">
        <w:rPr>
          <w:rFonts w:ascii="Times New Roman" w:hAnsi="Times New Roman" w:cs="Times New Roman"/>
        </w:rPr>
        <w:t xml:space="preserve"> (7), e1005659. https://doi.org/10.1371/journal.pcbi.1005659.</w:t>
      </w:r>
    </w:p>
    <w:p w14:paraId="6BB871A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(34)</w:t>
      </w:r>
      <w:r w:rsidRPr="004100CF">
        <w:rPr>
          <w:rFonts w:ascii="Times New Roman" w:hAnsi="Times New Roman" w:cs="Times New Roman"/>
        </w:rPr>
        <w:tab/>
        <w:t xml:space="preserve">Maier, J. A.; Martinez, C.; Kasavajhala, K.; Wickstrom, L.; Hauser, K. E.; Simmerling, C. ff14SB: Improving the Accuracy of Protein Side Chain and Backbone Parameters from ff99SB.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11</w:t>
      </w:r>
      <w:r w:rsidRPr="004100CF">
        <w:rPr>
          <w:rFonts w:ascii="Times New Roman" w:hAnsi="Times New Roman" w:cs="Times New Roman"/>
        </w:rPr>
        <w:t xml:space="preserve"> (8), 3696–3713. https://doi.org/10.1021/acs.jctc.5b00255.</w:t>
      </w:r>
    </w:p>
    <w:p w14:paraId="1DECE0F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(35)</w:t>
      </w:r>
      <w:r w:rsidRPr="004100CF">
        <w:rPr>
          <w:rFonts w:ascii="Times New Roman" w:hAnsi="Times New Roman" w:cs="Times New Roman"/>
        </w:rPr>
        <w:tab/>
        <w:t xml:space="preserve">Ivani, I.; Dans, P. D.; Noy, A.; Pérez, A.; Faustino, I.; Hospital, A.; Walther, J.; Andrio, P.; Goñi, R.; Balaceanu, A.; Portella, G.; Battistini, F.; Gelpí, J. L.; González, C.; Vendruscolo, M.; Laughton, C. A.; Harris, S. A.; Case, D. A.; Orozco, M. Parmbsc1: A Refined Force Field for DNA Simulations. </w:t>
      </w:r>
      <w:r w:rsidRPr="004100CF">
        <w:rPr>
          <w:rFonts w:ascii="Times New Roman" w:hAnsi="Times New Roman" w:cs="Times New Roman"/>
          <w:i/>
          <w:iCs/>
        </w:rPr>
        <w:t>Nat Methods</w:t>
      </w:r>
      <w:r w:rsidRPr="004100CF">
        <w:rPr>
          <w:rFonts w:ascii="Times New Roman" w:hAnsi="Times New Roman" w:cs="Times New Roman"/>
        </w:rPr>
        <w:t xml:space="preserve"> </w:t>
      </w:r>
      <w:r w:rsidRPr="004100CF">
        <w:rPr>
          <w:rFonts w:ascii="Times New Roman" w:hAnsi="Times New Roman" w:cs="Times New Roman"/>
          <w:b/>
          <w:bCs/>
        </w:rPr>
        <w:t>2016</w:t>
      </w:r>
      <w:r w:rsidRPr="004100CF">
        <w:rPr>
          <w:rFonts w:ascii="Times New Roman" w:hAnsi="Times New Roman" w:cs="Times New Roman"/>
        </w:rPr>
        <w:t xml:space="preserve">, </w:t>
      </w:r>
      <w:r w:rsidRPr="004100CF">
        <w:rPr>
          <w:rFonts w:ascii="Times New Roman" w:hAnsi="Times New Roman" w:cs="Times New Roman"/>
          <w:i/>
          <w:iCs/>
        </w:rPr>
        <w:t>13</w:t>
      </w:r>
      <w:r w:rsidRPr="004100CF">
        <w:rPr>
          <w:rFonts w:ascii="Times New Roman" w:hAnsi="Times New Roman" w:cs="Times New Roman"/>
        </w:rPr>
        <w:t xml:space="preserve"> (1), 55–58. https://doi.org/10.1038/nmeth.3658.</w:t>
      </w:r>
    </w:p>
    <w:p w14:paraId="23805B7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(36)</w:t>
      </w:r>
      <w:r w:rsidRPr="004100CF">
        <w:rPr>
          <w:rFonts w:ascii="Times New Roman" w:hAnsi="Times New Roman" w:cs="Times New Roman"/>
        </w:rPr>
        <w:tab/>
        <w:t xml:space="preserve">Jorgensen, W. L.; Chandrasekhar, J.; Madura, J. D.; Impey, R. W.; Klein, M. L. Comparison of Simple Potential Functions for Simulating Liquid Water. </w:t>
      </w:r>
      <w:r w:rsidRPr="004100CF">
        <w:rPr>
          <w:rFonts w:ascii="Times New Roman" w:hAnsi="Times New Roman" w:cs="Times New Roman"/>
          <w:i/>
          <w:iCs/>
        </w:rPr>
        <w:t>J. Chem. Phys.</w:t>
      </w:r>
      <w:r w:rsidRPr="004100CF">
        <w:rPr>
          <w:rFonts w:ascii="Times New Roman" w:hAnsi="Times New Roman" w:cs="Times New Roman"/>
        </w:rPr>
        <w:t xml:space="preserve"> </w:t>
      </w:r>
      <w:r w:rsidRPr="004100CF">
        <w:rPr>
          <w:rFonts w:ascii="Times New Roman" w:hAnsi="Times New Roman" w:cs="Times New Roman"/>
          <w:b/>
          <w:bCs/>
        </w:rPr>
        <w:t>1983</w:t>
      </w:r>
      <w:r w:rsidRPr="004100CF">
        <w:rPr>
          <w:rFonts w:ascii="Times New Roman" w:hAnsi="Times New Roman" w:cs="Times New Roman"/>
        </w:rPr>
        <w:t xml:space="preserve">, </w:t>
      </w:r>
      <w:r w:rsidRPr="004100CF">
        <w:rPr>
          <w:rFonts w:ascii="Times New Roman" w:hAnsi="Times New Roman" w:cs="Times New Roman"/>
          <w:i/>
          <w:iCs/>
        </w:rPr>
        <w:t>79</w:t>
      </w:r>
      <w:r w:rsidRPr="004100CF">
        <w:rPr>
          <w:rFonts w:ascii="Times New Roman" w:hAnsi="Times New Roman" w:cs="Times New Roman"/>
        </w:rPr>
        <w:t xml:space="preserve"> (2), 926–935. https://doi.org/10.1063/1.445869.</w:t>
      </w:r>
    </w:p>
    <w:p w14:paraId="0E42EE3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(37)</w:t>
      </w:r>
      <w:r w:rsidRPr="004100CF">
        <w:rPr>
          <w:rFonts w:ascii="Times New Roman" w:hAnsi="Times New Roman" w:cs="Times New Roman"/>
        </w:rPr>
        <w:tab/>
        <w:t xml:space="preserve">Mobley, D. L.; Bannan, C. C.; Rizzi, A.; Bayly, C. I.; Chodera, J. D.; Lim, V. T.; Lim, N. M.; Beauchamp, K. A.; Slochower, D. R.; Shirts, M. R.; Gilson, M. K.; Eastman, P. K. Escaping Atom Types in Force Fields Using Direct Chemical Perception.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2018</w:t>
      </w:r>
      <w:r w:rsidRPr="004100CF">
        <w:rPr>
          <w:rFonts w:ascii="Times New Roman" w:hAnsi="Times New Roman" w:cs="Times New Roman"/>
        </w:rPr>
        <w:t xml:space="preserve">, </w:t>
      </w:r>
      <w:r w:rsidRPr="004100CF">
        <w:rPr>
          <w:rFonts w:ascii="Times New Roman" w:hAnsi="Times New Roman" w:cs="Times New Roman"/>
          <w:i/>
          <w:iCs/>
        </w:rPr>
        <w:t>14</w:t>
      </w:r>
      <w:r w:rsidRPr="004100CF">
        <w:rPr>
          <w:rFonts w:ascii="Times New Roman" w:hAnsi="Times New Roman" w:cs="Times New Roman"/>
        </w:rPr>
        <w:t xml:space="preserve"> (11), 6076–6092. https://doi.org/10.1021/acs.jctc.8b00640.</w:t>
      </w:r>
    </w:p>
    <w:p w14:paraId="38B91D47"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(38)</w:t>
      </w:r>
      <w:r w:rsidRPr="004100CF">
        <w:rPr>
          <w:rFonts w:ascii="Times New Roman" w:hAnsi="Times New Roman" w:cs="Times New Roman"/>
        </w:rPr>
        <w:tab/>
        <w:t xml:space="preserve">Gasteiger, J.; Marsili, M. Iterative Partial Equalization of Orbital Electronegativity—a Rapid Access to Atomic Charges. </w:t>
      </w:r>
      <w:r w:rsidRPr="004100CF">
        <w:rPr>
          <w:rFonts w:ascii="Times New Roman" w:hAnsi="Times New Roman" w:cs="Times New Roman"/>
          <w:i/>
          <w:iCs/>
        </w:rPr>
        <w:t>Tetrahedron</w:t>
      </w:r>
      <w:r w:rsidRPr="004100CF">
        <w:rPr>
          <w:rFonts w:ascii="Times New Roman" w:hAnsi="Times New Roman" w:cs="Times New Roman"/>
        </w:rPr>
        <w:t xml:space="preserve"> </w:t>
      </w:r>
      <w:r w:rsidRPr="004100CF">
        <w:rPr>
          <w:rFonts w:ascii="Times New Roman" w:hAnsi="Times New Roman" w:cs="Times New Roman"/>
          <w:b/>
          <w:bCs/>
        </w:rPr>
        <w:t>1980</w:t>
      </w:r>
      <w:r w:rsidRPr="004100CF">
        <w:rPr>
          <w:rFonts w:ascii="Times New Roman" w:hAnsi="Times New Roman" w:cs="Times New Roman"/>
        </w:rPr>
        <w:t xml:space="preserve">, </w:t>
      </w:r>
      <w:r w:rsidRPr="004100CF">
        <w:rPr>
          <w:rFonts w:ascii="Times New Roman" w:hAnsi="Times New Roman" w:cs="Times New Roman"/>
          <w:i/>
          <w:iCs/>
        </w:rPr>
        <w:t>36</w:t>
      </w:r>
      <w:r w:rsidRPr="004100CF">
        <w:rPr>
          <w:rFonts w:ascii="Times New Roman" w:hAnsi="Times New Roman" w:cs="Times New Roman"/>
        </w:rPr>
        <w:t xml:space="preserve"> (22), 3219–3228. https://doi.org/10.1016/0040-4020(80)80168-2.</w:t>
      </w:r>
    </w:p>
    <w:p w14:paraId="30A5053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(39)</w:t>
      </w:r>
      <w:r w:rsidRPr="004100CF">
        <w:rPr>
          <w:rFonts w:ascii="Times New Roman" w:hAnsi="Times New Roman" w:cs="Times New Roman"/>
        </w:rPr>
        <w:tab/>
        <w:t>Darden, T.; York, D.; Pedersen, L. Particle Mesh Ewald: An N</w:t>
      </w:r>
      <w:r w:rsidRPr="004100CF">
        <w:rPr>
          <w:rFonts w:ascii="Cambria Math" w:hAnsi="Cambria Math" w:cs="Cambria Math"/>
        </w:rPr>
        <w:t>⋅</w:t>
      </w:r>
      <w:r w:rsidRPr="004100CF">
        <w:rPr>
          <w:rFonts w:ascii="Times New Roman" w:hAnsi="Times New Roman" w:cs="Times New Roman"/>
        </w:rPr>
        <w:t xml:space="preserve">log(N) Method for Ewald Sums in Large Systems. </w:t>
      </w:r>
      <w:r w:rsidRPr="004100CF">
        <w:rPr>
          <w:rFonts w:ascii="Times New Roman" w:hAnsi="Times New Roman" w:cs="Times New Roman"/>
          <w:i/>
          <w:iCs/>
        </w:rPr>
        <w:t>J. Chem. Phys.</w:t>
      </w:r>
      <w:r w:rsidRPr="004100CF">
        <w:rPr>
          <w:rFonts w:ascii="Times New Roman" w:hAnsi="Times New Roman" w:cs="Times New Roman"/>
        </w:rPr>
        <w:t xml:space="preserve"> </w:t>
      </w:r>
      <w:r w:rsidRPr="004100CF">
        <w:rPr>
          <w:rFonts w:ascii="Times New Roman" w:hAnsi="Times New Roman" w:cs="Times New Roman"/>
          <w:b/>
          <w:bCs/>
        </w:rPr>
        <w:t>1993</w:t>
      </w:r>
      <w:r w:rsidRPr="004100CF">
        <w:rPr>
          <w:rFonts w:ascii="Times New Roman" w:hAnsi="Times New Roman" w:cs="Times New Roman"/>
        </w:rPr>
        <w:t xml:space="preserve">, </w:t>
      </w:r>
      <w:r w:rsidRPr="004100CF">
        <w:rPr>
          <w:rFonts w:ascii="Times New Roman" w:hAnsi="Times New Roman" w:cs="Times New Roman"/>
          <w:i/>
          <w:iCs/>
        </w:rPr>
        <w:t>98</w:t>
      </w:r>
      <w:r w:rsidRPr="004100CF">
        <w:rPr>
          <w:rFonts w:ascii="Times New Roman" w:hAnsi="Times New Roman" w:cs="Times New Roman"/>
        </w:rPr>
        <w:t xml:space="preserve"> (12), 10089–10092. https://doi.org/10.1063/1.464397.</w:t>
      </w:r>
    </w:p>
    <w:p w14:paraId="45C5A8FB"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lastRenderedPageBreak/>
        <w:t>(40)</w:t>
      </w:r>
      <w:r w:rsidRPr="004100CF">
        <w:rPr>
          <w:rFonts w:ascii="Times New Roman" w:hAnsi="Times New Roman" w:cs="Times New Roman"/>
        </w:rPr>
        <w:tab/>
        <w:t xml:space="preserve">Michaud-Agrawal, N.; Denning, E. J.; Woolf, T. B.; Beckstein, O. MDAnalysis: A Toolkit for the Analysis of Molecular Dynamics Simulations. </w:t>
      </w:r>
      <w:r w:rsidRPr="004100CF">
        <w:rPr>
          <w:rFonts w:ascii="Times New Roman" w:hAnsi="Times New Roman" w:cs="Times New Roman"/>
          <w:i/>
          <w:iCs/>
        </w:rPr>
        <w:t>Journal of Computational Chemistry</w:t>
      </w:r>
      <w:r w:rsidRPr="004100CF">
        <w:rPr>
          <w:rFonts w:ascii="Times New Roman" w:hAnsi="Times New Roman" w:cs="Times New Roman"/>
        </w:rPr>
        <w:t xml:space="preserve"> </w:t>
      </w:r>
      <w:r w:rsidRPr="004100CF">
        <w:rPr>
          <w:rFonts w:ascii="Times New Roman" w:hAnsi="Times New Roman" w:cs="Times New Roman"/>
          <w:b/>
          <w:bCs/>
        </w:rPr>
        <w:t>2011</w:t>
      </w:r>
      <w:r w:rsidRPr="004100CF">
        <w:rPr>
          <w:rFonts w:ascii="Times New Roman" w:hAnsi="Times New Roman" w:cs="Times New Roman"/>
        </w:rPr>
        <w:t xml:space="preserve">, </w:t>
      </w:r>
      <w:r w:rsidRPr="004100CF">
        <w:rPr>
          <w:rFonts w:ascii="Times New Roman" w:hAnsi="Times New Roman" w:cs="Times New Roman"/>
          <w:i/>
          <w:iCs/>
        </w:rPr>
        <w:t>32</w:t>
      </w:r>
      <w:r w:rsidRPr="004100CF">
        <w:rPr>
          <w:rFonts w:ascii="Times New Roman" w:hAnsi="Times New Roman" w:cs="Times New Roman"/>
        </w:rPr>
        <w:t xml:space="preserve"> (10), 2319–2327. https://doi.org/10.1002/jcc.21787.</w:t>
      </w:r>
    </w:p>
    <w:p w14:paraId="4AF08025"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(41)</w:t>
      </w:r>
      <w:r w:rsidRPr="004100CF">
        <w:rPr>
          <w:rFonts w:ascii="Times New Roman" w:hAnsi="Times New Roman" w:cs="Times New Roman"/>
        </w:rPr>
        <w:tab/>
        <w:t xml:space="preserve">McGibbon, R. T.; Beauchamp, K. A.; Harrigan, M. P.; Klein, C.; Swails, J. M.; Hernández, C. X.; Schwantes, C. R.; Wang, L.-P.; Lane, T. J.; Pande, V. S. MDTraj: A Modern Open Library for the Analysis of Molecular Dynamics Trajectories. </w:t>
      </w:r>
      <w:r w:rsidRPr="004100CF">
        <w:rPr>
          <w:rFonts w:ascii="Times New Roman" w:hAnsi="Times New Roman" w:cs="Times New Roman"/>
          <w:i/>
          <w:iCs/>
        </w:rPr>
        <w:t>Biophysical Journal</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109</w:t>
      </w:r>
      <w:r w:rsidRPr="004100CF">
        <w:rPr>
          <w:rFonts w:ascii="Times New Roman" w:hAnsi="Times New Roman" w:cs="Times New Roman"/>
        </w:rPr>
        <w:t xml:space="preserve"> (8), 1528–1532. https://doi.org/10.1016/j.bpj.2015.08.015.</w:t>
      </w:r>
    </w:p>
    <w:p w14:paraId="0770F8E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(42)</w:t>
      </w:r>
      <w:r w:rsidRPr="004100CF">
        <w:rPr>
          <w:rFonts w:ascii="Times New Roman" w:hAnsi="Times New Roman" w:cs="Times New Roman"/>
        </w:rPr>
        <w:tab/>
        <w:t xml:space="preserve">Massova, I.; Kollman, P. A. Combined Molecular Mechanical and Continuum Solvent Approach (MM-PBSA/GBSA) to Predict Ligand Binding. </w:t>
      </w:r>
      <w:r w:rsidRPr="004100CF">
        <w:rPr>
          <w:rFonts w:ascii="Times New Roman" w:hAnsi="Times New Roman" w:cs="Times New Roman"/>
          <w:i/>
          <w:iCs/>
        </w:rPr>
        <w:t>Perspectives in Drug Discovery and Design</w:t>
      </w:r>
      <w:r w:rsidRPr="004100CF">
        <w:rPr>
          <w:rFonts w:ascii="Times New Roman" w:hAnsi="Times New Roman" w:cs="Times New Roman"/>
        </w:rPr>
        <w:t xml:space="preserve"> </w:t>
      </w:r>
      <w:r w:rsidRPr="004100CF">
        <w:rPr>
          <w:rFonts w:ascii="Times New Roman" w:hAnsi="Times New Roman" w:cs="Times New Roman"/>
          <w:b/>
          <w:bCs/>
        </w:rPr>
        <w:t>2000</w:t>
      </w:r>
      <w:r w:rsidRPr="004100CF">
        <w:rPr>
          <w:rFonts w:ascii="Times New Roman" w:hAnsi="Times New Roman" w:cs="Times New Roman"/>
        </w:rPr>
        <w:t xml:space="preserve">, </w:t>
      </w:r>
      <w:r w:rsidRPr="004100CF">
        <w:rPr>
          <w:rFonts w:ascii="Times New Roman" w:hAnsi="Times New Roman" w:cs="Times New Roman"/>
          <w:i/>
          <w:iCs/>
        </w:rPr>
        <w:t>18</w:t>
      </w:r>
      <w:r w:rsidRPr="004100CF">
        <w:rPr>
          <w:rFonts w:ascii="Times New Roman" w:hAnsi="Times New Roman" w:cs="Times New Roman"/>
        </w:rPr>
        <w:t xml:space="preserve"> (1), 113–135. https://doi.org/10.1023/A:1008763014207.</w:t>
      </w:r>
    </w:p>
    <w:p w14:paraId="1409EAF3"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(43)</w:t>
      </w:r>
      <w:r w:rsidRPr="004100CF">
        <w:rPr>
          <w:rFonts w:ascii="Times New Roman" w:hAnsi="Times New Roman" w:cs="Times New Roman"/>
        </w:rPr>
        <w:tab/>
        <w:t xml:space="preserve">Onufriev, A.; Bashford, D.; Case, D. A. Exploring Protein Native States and Large-Scale Conformational Changes with a Modified Generalized Born Model. </w:t>
      </w:r>
      <w:r w:rsidRPr="004100CF">
        <w:rPr>
          <w:rFonts w:ascii="Times New Roman" w:hAnsi="Times New Roman" w:cs="Times New Roman"/>
          <w:i/>
          <w:iCs/>
        </w:rPr>
        <w:t>Proteins: Structure, Function, and Bioinformatics</w:t>
      </w:r>
      <w:r w:rsidRPr="004100CF">
        <w:rPr>
          <w:rFonts w:ascii="Times New Roman" w:hAnsi="Times New Roman" w:cs="Times New Roman"/>
        </w:rPr>
        <w:t xml:space="preserve"> </w:t>
      </w:r>
      <w:r w:rsidRPr="004100CF">
        <w:rPr>
          <w:rFonts w:ascii="Times New Roman" w:hAnsi="Times New Roman" w:cs="Times New Roman"/>
          <w:b/>
          <w:bCs/>
        </w:rPr>
        <w:t>2004</w:t>
      </w:r>
      <w:r w:rsidRPr="004100CF">
        <w:rPr>
          <w:rFonts w:ascii="Times New Roman" w:hAnsi="Times New Roman" w:cs="Times New Roman"/>
        </w:rPr>
        <w:t xml:space="preserve">, </w:t>
      </w:r>
      <w:r w:rsidRPr="004100CF">
        <w:rPr>
          <w:rFonts w:ascii="Times New Roman" w:hAnsi="Times New Roman" w:cs="Times New Roman"/>
          <w:i/>
          <w:iCs/>
        </w:rPr>
        <w:t>55</w:t>
      </w:r>
      <w:r w:rsidRPr="004100CF">
        <w:rPr>
          <w:rFonts w:ascii="Times New Roman" w:hAnsi="Times New Roman" w:cs="Times New Roman"/>
        </w:rPr>
        <w:t xml:space="preserve"> (2), 383–394. https://doi.org/10.1002/prot.20033.</w:t>
      </w:r>
    </w:p>
    <w:p w14:paraId="5B8719C2"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(44)</w:t>
      </w:r>
      <w:r w:rsidRPr="004100CF">
        <w:rPr>
          <w:rFonts w:ascii="Times New Roman" w:hAnsi="Times New Roman" w:cs="Times New Roman"/>
        </w:rPr>
        <w:tab/>
        <w:t xml:space="preserve">Gapsys, V.; Michielssens, S.; Seeliger, D.; de Groot, B. L. Pmx: Automated Protein Structure and Topology Generation for Alchemical Perturbations. </w:t>
      </w:r>
      <w:r w:rsidRPr="004100CF">
        <w:rPr>
          <w:rFonts w:ascii="Times New Roman" w:hAnsi="Times New Roman" w:cs="Times New Roman"/>
          <w:i/>
          <w:iCs/>
        </w:rPr>
        <w:t>Journal of Computational Chemistry</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36</w:t>
      </w:r>
      <w:r w:rsidRPr="004100CF">
        <w:rPr>
          <w:rFonts w:ascii="Times New Roman" w:hAnsi="Times New Roman" w:cs="Times New Roman"/>
        </w:rPr>
        <w:t xml:space="preserve"> (5), 348–354. https://doi.org/10.1002/jcc.23804.</w:t>
      </w:r>
    </w:p>
    <w:p w14:paraId="68F40B21"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(45)</w:t>
      </w:r>
      <w:r w:rsidRPr="004100CF">
        <w:rPr>
          <w:rFonts w:ascii="Times New Roman" w:hAnsi="Times New Roman" w:cs="Times New Roman"/>
        </w:rPr>
        <w:tab/>
        <w:t xml:space="preserve">Abraham, M. J.; Murtola, T.; Schulz, R.; Páll, S.; Smith, J. C.; Hess, B.; Lindahl, E. GROMACS: High Performance Molecular Simulations through Multi-Level Parallelism from Laptops to Supercomputers. </w:t>
      </w:r>
      <w:r w:rsidRPr="004100CF">
        <w:rPr>
          <w:rFonts w:ascii="Times New Roman" w:hAnsi="Times New Roman" w:cs="Times New Roman"/>
          <w:i/>
          <w:iCs/>
        </w:rPr>
        <w:t>SoftwareX</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1–2</w:t>
      </w:r>
      <w:r w:rsidRPr="004100CF">
        <w:rPr>
          <w:rFonts w:ascii="Times New Roman" w:hAnsi="Times New Roman" w:cs="Times New Roman"/>
        </w:rPr>
        <w:t>, 19–25. https://doi.org/10.1016/j.softx.2015.06.001.</w:t>
      </w:r>
    </w:p>
    <w:p w14:paraId="755BE127"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(46)</w:t>
      </w:r>
      <w:r w:rsidRPr="004100CF">
        <w:rPr>
          <w:rFonts w:ascii="Times New Roman" w:hAnsi="Times New Roman" w:cs="Times New Roman"/>
        </w:rPr>
        <w:tab/>
        <w:t xml:space="preserve">Gapsys, V.; Seeliger, D.; de Groot, B. L. New Soft-Core Potential Function for Molecular Dynamics Based Alchemical Free Energy Calculations.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2012</w:t>
      </w:r>
      <w:r w:rsidRPr="004100CF">
        <w:rPr>
          <w:rFonts w:ascii="Times New Roman" w:hAnsi="Times New Roman" w:cs="Times New Roman"/>
        </w:rPr>
        <w:t xml:space="preserve">, </w:t>
      </w:r>
      <w:r w:rsidRPr="004100CF">
        <w:rPr>
          <w:rFonts w:ascii="Times New Roman" w:hAnsi="Times New Roman" w:cs="Times New Roman"/>
          <w:i/>
          <w:iCs/>
        </w:rPr>
        <w:t>8</w:t>
      </w:r>
      <w:r w:rsidRPr="004100CF">
        <w:rPr>
          <w:rFonts w:ascii="Times New Roman" w:hAnsi="Times New Roman" w:cs="Times New Roman"/>
        </w:rPr>
        <w:t xml:space="preserve"> (7), 2373–2382. https://doi.org/10.1021/ct300220p.</w:t>
      </w:r>
    </w:p>
    <w:p w14:paraId="60D9922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(47)</w:t>
      </w:r>
      <w:r w:rsidRPr="004100CF">
        <w:rPr>
          <w:rFonts w:ascii="Times New Roman" w:hAnsi="Times New Roman" w:cs="Times New Roman"/>
        </w:rPr>
        <w:tab/>
        <w:t xml:space="preserve">Jarzynski, C. Nonequilibrium Equality for Free Energy Differences. </w:t>
      </w:r>
      <w:r w:rsidRPr="004100CF">
        <w:rPr>
          <w:rFonts w:ascii="Times New Roman" w:hAnsi="Times New Roman" w:cs="Times New Roman"/>
          <w:i/>
          <w:iCs/>
        </w:rPr>
        <w:t>Phys. Rev. Lett.</w:t>
      </w:r>
      <w:r w:rsidRPr="004100CF">
        <w:rPr>
          <w:rFonts w:ascii="Times New Roman" w:hAnsi="Times New Roman" w:cs="Times New Roman"/>
        </w:rPr>
        <w:t xml:space="preserve"> </w:t>
      </w:r>
      <w:r w:rsidRPr="004100CF">
        <w:rPr>
          <w:rFonts w:ascii="Times New Roman" w:hAnsi="Times New Roman" w:cs="Times New Roman"/>
          <w:b/>
          <w:bCs/>
        </w:rPr>
        <w:t>1997</w:t>
      </w:r>
      <w:r w:rsidRPr="004100CF">
        <w:rPr>
          <w:rFonts w:ascii="Times New Roman" w:hAnsi="Times New Roman" w:cs="Times New Roman"/>
        </w:rPr>
        <w:t xml:space="preserve">, </w:t>
      </w:r>
      <w:r w:rsidRPr="004100CF">
        <w:rPr>
          <w:rFonts w:ascii="Times New Roman" w:hAnsi="Times New Roman" w:cs="Times New Roman"/>
          <w:i/>
          <w:iCs/>
        </w:rPr>
        <w:t>78</w:t>
      </w:r>
      <w:r w:rsidRPr="004100CF">
        <w:rPr>
          <w:rFonts w:ascii="Times New Roman" w:hAnsi="Times New Roman" w:cs="Times New Roman"/>
        </w:rPr>
        <w:t xml:space="preserve"> (14), 2690–2693. https://doi.org/10.1103/PhysRevLett.78.2690.</w:t>
      </w:r>
    </w:p>
    <w:p w14:paraId="15C894B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(48)</w:t>
      </w:r>
      <w:r w:rsidRPr="004100CF">
        <w:rPr>
          <w:rFonts w:ascii="Times New Roman" w:hAnsi="Times New Roman" w:cs="Times New Roman"/>
        </w:rPr>
        <w:tab/>
        <w:t xml:space="preserve">Crooks, G. E. Entropy Production Fluctuation Theorem and the Nonequilibrium Work Relation for Free Energy Differences. </w:t>
      </w:r>
      <w:r w:rsidRPr="004100CF">
        <w:rPr>
          <w:rFonts w:ascii="Times New Roman" w:hAnsi="Times New Roman" w:cs="Times New Roman"/>
          <w:i/>
          <w:iCs/>
        </w:rPr>
        <w:t>Phys. Rev. E</w:t>
      </w:r>
      <w:r w:rsidRPr="004100CF">
        <w:rPr>
          <w:rFonts w:ascii="Times New Roman" w:hAnsi="Times New Roman" w:cs="Times New Roman"/>
        </w:rPr>
        <w:t xml:space="preserve"> </w:t>
      </w:r>
      <w:r w:rsidRPr="004100CF">
        <w:rPr>
          <w:rFonts w:ascii="Times New Roman" w:hAnsi="Times New Roman" w:cs="Times New Roman"/>
          <w:b/>
          <w:bCs/>
        </w:rPr>
        <w:t>1999</w:t>
      </w:r>
      <w:r w:rsidRPr="004100CF">
        <w:rPr>
          <w:rFonts w:ascii="Times New Roman" w:hAnsi="Times New Roman" w:cs="Times New Roman"/>
        </w:rPr>
        <w:t xml:space="preserve">, </w:t>
      </w:r>
      <w:r w:rsidRPr="004100CF">
        <w:rPr>
          <w:rFonts w:ascii="Times New Roman" w:hAnsi="Times New Roman" w:cs="Times New Roman"/>
          <w:i/>
          <w:iCs/>
        </w:rPr>
        <w:t>60</w:t>
      </w:r>
      <w:r w:rsidRPr="004100CF">
        <w:rPr>
          <w:rFonts w:ascii="Times New Roman" w:hAnsi="Times New Roman" w:cs="Times New Roman"/>
        </w:rPr>
        <w:t xml:space="preserve"> (3), 2721–2726. https://doi.org/10.1103/PhysRevE.60.2721.</w:t>
      </w:r>
    </w:p>
    <w:p w14:paraId="4AFF2E2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(49)</w:t>
      </w:r>
      <w:r w:rsidRPr="004100CF">
        <w:rPr>
          <w:rFonts w:ascii="Times New Roman" w:hAnsi="Times New Roman" w:cs="Times New Roman"/>
        </w:rPr>
        <w:tab/>
        <w:t xml:space="preserve">Bernetti, M.; Bussi, G. Pressure Control Using Stochastic Cell Rescaling. </w:t>
      </w:r>
      <w:r w:rsidRPr="004100CF">
        <w:rPr>
          <w:rFonts w:ascii="Times New Roman" w:hAnsi="Times New Roman" w:cs="Times New Roman"/>
          <w:i/>
          <w:iCs/>
        </w:rPr>
        <w:t>J. Chem. Phys.</w:t>
      </w:r>
      <w:r w:rsidRPr="004100CF">
        <w:rPr>
          <w:rFonts w:ascii="Times New Roman" w:hAnsi="Times New Roman" w:cs="Times New Roman"/>
        </w:rPr>
        <w:t xml:space="preserve"> </w:t>
      </w:r>
      <w:r w:rsidRPr="004100CF">
        <w:rPr>
          <w:rFonts w:ascii="Times New Roman" w:hAnsi="Times New Roman" w:cs="Times New Roman"/>
          <w:b/>
          <w:bCs/>
        </w:rPr>
        <w:t>2020</w:t>
      </w:r>
      <w:r w:rsidRPr="004100CF">
        <w:rPr>
          <w:rFonts w:ascii="Times New Roman" w:hAnsi="Times New Roman" w:cs="Times New Roman"/>
        </w:rPr>
        <w:t xml:space="preserve">, </w:t>
      </w:r>
      <w:r w:rsidRPr="004100CF">
        <w:rPr>
          <w:rFonts w:ascii="Times New Roman" w:hAnsi="Times New Roman" w:cs="Times New Roman"/>
          <w:i/>
          <w:iCs/>
        </w:rPr>
        <w:t>153</w:t>
      </w:r>
      <w:r w:rsidRPr="004100CF">
        <w:rPr>
          <w:rFonts w:ascii="Times New Roman" w:hAnsi="Times New Roman" w:cs="Times New Roman"/>
        </w:rPr>
        <w:t xml:space="preserve"> (11), 114107. https://doi.org/10.1063/5.0020514.</w:t>
      </w:r>
    </w:p>
    <w:p w14:paraId="3A9AE5BD"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(50)</w:t>
      </w:r>
      <w:r w:rsidRPr="004100CF">
        <w:rPr>
          <w:rFonts w:ascii="Times New Roman" w:hAnsi="Times New Roman" w:cs="Times New Roman"/>
        </w:rPr>
        <w:tab/>
        <w:t xml:space="preserve">Bennett, C. H. Efficient Estimation of Free Energy Differences from Monte Carlo Data. </w:t>
      </w:r>
      <w:r w:rsidRPr="004100CF">
        <w:rPr>
          <w:rFonts w:ascii="Times New Roman" w:hAnsi="Times New Roman" w:cs="Times New Roman"/>
          <w:i/>
          <w:iCs/>
        </w:rPr>
        <w:t>Journal of Computational Physics</w:t>
      </w:r>
      <w:r w:rsidRPr="004100CF">
        <w:rPr>
          <w:rFonts w:ascii="Times New Roman" w:hAnsi="Times New Roman" w:cs="Times New Roman"/>
        </w:rPr>
        <w:t xml:space="preserve"> </w:t>
      </w:r>
      <w:r w:rsidRPr="004100CF">
        <w:rPr>
          <w:rFonts w:ascii="Times New Roman" w:hAnsi="Times New Roman" w:cs="Times New Roman"/>
          <w:b/>
          <w:bCs/>
        </w:rPr>
        <w:t>1976</w:t>
      </w:r>
      <w:r w:rsidRPr="004100CF">
        <w:rPr>
          <w:rFonts w:ascii="Times New Roman" w:hAnsi="Times New Roman" w:cs="Times New Roman"/>
        </w:rPr>
        <w:t xml:space="preserve">, </w:t>
      </w:r>
      <w:r w:rsidRPr="004100CF">
        <w:rPr>
          <w:rFonts w:ascii="Times New Roman" w:hAnsi="Times New Roman" w:cs="Times New Roman"/>
          <w:i/>
          <w:iCs/>
        </w:rPr>
        <w:t>22</w:t>
      </w:r>
      <w:r w:rsidRPr="004100CF">
        <w:rPr>
          <w:rFonts w:ascii="Times New Roman" w:hAnsi="Times New Roman" w:cs="Times New Roman"/>
        </w:rPr>
        <w:t xml:space="preserve"> (2), 245–268. https://doi.org/10.1016/0021-9991(76)90078-4.</w:t>
      </w:r>
    </w:p>
    <w:p w14:paraId="636C4D63"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(51)</w:t>
      </w:r>
      <w:r w:rsidRPr="004100CF">
        <w:rPr>
          <w:rFonts w:ascii="Times New Roman" w:hAnsi="Times New Roman" w:cs="Times New Roma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4100CF">
        <w:rPr>
          <w:rFonts w:ascii="Times New Roman" w:hAnsi="Times New Roman" w:cs="Times New Roman"/>
          <w:i/>
          <w:iCs/>
        </w:rPr>
        <w:t>J. Chem. Phys.</w:t>
      </w:r>
      <w:r w:rsidRPr="004100CF">
        <w:rPr>
          <w:rFonts w:ascii="Times New Roman" w:hAnsi="Times New Roman" w:cs="Times New Roman"/>
        </w:rPr>
        <w:t xml:space="preserve"> </w:t>
      </w:r>
      <w:r w:rsidRPr="004100CF">
        <w:rPr>
          <w:rFonts w:ascii="Times New Roman" w:hAnsi="Times New Roman" w:cs="Times New Roman"/>
          <w:b/>
          <w:bCs/>
        </w:rPr>
        <w:t>2013</w:t>
      </w:r>
      <w:r w:rsidRPr="004100CF">
        <w:rPr>
          <w:rFonts w:ascii="Times New Roman" w:hAnsi="Times New Roman" w:cs="Times New Roman"/>
        </w:rPr>
        <w:t xml:space="preserve">, </w:t>
      </w:r>
      <w:r w:rsidRPr="004100CF">
        <w:rPr>
          <w:rFonts w:ascii="Times New Roman" w:hAnsi="Times New Roman" w:cs="Times New Roman"/>
          <w:i/>
          <w:iCs/>
        </w:rPr>
        <w:t>139</w:t>
      </w:r>
      <w:r w:rsidRPr="004100CF">
        <w:rPr>
          <w:rFonts w:ascii="Times New Roman" w:hAnsi="Times New Roman" w:cs="Times New Roman"/>
        </w:rPr>
        <w:t xml:space="preserve"> (18), 184103. https://doi.org/10.1063/1.4826261.</w:t>
      </w:r>
    </w:p>
    <w:p w14:paraId="4CE1C4F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(52)</w:t>
      </w:r>
      <w:r w:rsidRPr="004100CF">
        <w:rPr>
          <w:rFonts w:ascii="Times New Roman" w:hAnsi="Times New Roman" w:cs="Times New Roman"/>
        </w:rPr>
        <w:tab/>
        <w:t xml:space="preserve">Asante-Appiah, E.; Lai, J.; Wan, H.; Yang, D.; Martin, E. A.; Sklar, P.; Hazuda, D.; Petropoulos, C. J.; Walworth, C.; Grobler, J. A. Impact of HIV-1 Resistance-Associated Mutations on Susceptibility to Doravirine: Analysis of Real-World Clinical Isolates. </w:t>
      </w:r>
      <w:r w:rsidRPr="004100CF">
        <w:rPr>
          <w:rFonts w:ascii="Times New Roman" w:hAnsi="Times New Roman" w:cs="Times New Roman"/>
          <w:i/>
          <w:iCs/>
        </w:rPr>
        <w:t>Antimicrobial Agents and Chemotherapy</w:t>
      </w:r>
      <w:r w:rsidRPr="004100CF">
        <w:rPr>
          <w:rFonts w:ascii="Times New Roman" w:hAnsi="Times New Roman" w:cs="Times New Roman"/>
        </w:rPr>
        <w:t xml:space="preserve"> </w:t>
      </w:r>
      <w:r w:rsidRPr="004100CF">
        <w:rPr>
          <w:rFonts w:ascii="Times New Roman" w:hAnsi="Times New Roman" w:cs="Times New Roman"/>
          <w:b/>
          <w:bCs/>
        </w:rPr>
        <w:t>2021</w:t>
      </w:r>
      <w:r w:rsidRPr="004100CF">
        <w:rPr>
          <w:rFonts w:ascii="Times New Roman" w:hAnsi="Times New Roman" w:cs="Times New Roman"/>
        </w:rPr>
        <w:t xml:space="preserve">, </w:t>
      </w:r>
      <w:r w:rsidRPr="004100CF">
        <w:rPr>
          <w:rFonts w:ascii="Times New Roman" w:hAnsi="Times New Roman" w:cs="Times New Roman"/>
          <w:i/>
          <w:iCs/>
        </w:rPr>
        <w:t>65</w:t>
      </w:r>
      <w:r w:rsidRPr="004100CF">
        <w:rPr>
          <w:rFonts w:ascii="Times New Roman" w:hAnsi="Times New Roman" w:cs="Times New Roman"/>
        </w:rPr>
        <w:t xml:space="preserve"> (12), 10.1128/aac.01216-21. https://doi.org/10.1128/aac.01216-21.</w:t>
      </w:r>
    </w:p>
    <w:p w14:paraId="0C4E87E2"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(53)</w:t>
      </w:r>
      <w:r w:rsidRPr="004100CF">
        <w:rPr>
          <w:rFonts w:ascii="Times New Roman" w:hAnsi="Times New Roman" w:cs="Times New Roman"/>
        </w:rPr>
        <w:tab/>
        <w:t xml:space="preserve">Lai, M.-T.; Xu, M.; Ngo, W.; Feng, M.; Graham, D.; Wang, J.; Hazuda, D. J.; Hanna, G. J.; Kumar, S.; Xu, X.; Martin, E.; Hwang, C. </w:t>
      </w:r>
      <w:r w:rsidRPr="004100CF">
        <w:rPr>
          <w:rFonts w:ascii="Times New Roman" w:hAnsi="Times New Roman" w:cs="Times New Roman"/>
          <w:i/>
          <w:iCs/>
        </w:rPr>
        <w:t>Characterization of Doravirine-Selected Resistance Patterns From Participants in Treatment-Naïve Phase 3 Clinical Trials</w:t>
      </w:r>
      <w:r w:rsidRPr="004100CF">
        <w:rPr>
          <w:rFonts w:ascii="Times New Roman" w:hAnsi="Times New Roman" w:cs="Times New Roman"/>
        </w:rPr>
        <w:t>. https://www.natap.org/2018/IAC/IAC_54.htm (accessed 2026-05-24).</w:t>
      </w:r>
    </w:p>
    <w:p w14:paraId="3BBFB382"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lastRenderedPageBreak/>
        <w:t>(54)</w:t>
      </w:r>
      <w:r w:rsidRPr="004100CF">
        <w:rPr>
          <w:rFonts w:ascii="Times New Roman" w:hAnsi="Times New Roman" w:cs="Times New Roman"/>
        </w:rPr>
        <w:tab/>
        <w:t xml:space="preserve">Hazuda, D. J.; Xu, M.; Ngo, W.; Feng, M.; Hwang, C.; Grobler, J. A.; Lai, M.-T. </w:t>
      </w:r>
      <w:r w:rsidRPr="004100CF">
        <w:rPr>
          <w:rFonts w:ascii="Times New Roman" w:hAnsi="Times New Roman" w:cs="Times New Roman"/>
          <w:i/>
          <w:iCs/>
        </w:rPr>
        <w:t>Understanding the Resistance Profile of the HIV-1 NNRTI Doravirine in Combination With the Novel NRTTI MK-8591</w:t>
      </w:r>
      <w:r w:rsidRPr="004100CF">
        <w:rPr>
          <w:rFonts w:ascii="Times New Roman" w:hAnsi="Times New Roman" w:cs="Times New Roman"/>
        </w:rPr>
        <w:t>. https://www.natap.org/2018/IAC/IAC_48.htm (accessed 2026-05-24).</w:t>
      </w:r>
    </w:p>
    <w:p w14:paraId="445643DD"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(55)</w:t>
      </w:r>
      <w:r w:rsidRPr="004100CF">
        <w:rPr>
          <w:rFonts w:ascii="Times New Roman" w:hAnsi="Times New Roman" w:cs="Times New Roman"/>
        </w:rPr>
        <w:tab/>
        <w:t xml:space="preserve">Smith, S. J.; Pauly, G. T.; Akram, A.; Melody, K.; Ambrose, Z.; Schneider, J. P.; Hughes, S. H. Rilpivirine and Doravirine Have Complementary Efficacies Against NNRTI-Resistant HIV-1 Mutants. </w:t>
      </w:r>
      <w:r w:rsidRPr="004100CF">
        <w:rPr>
          <w:rFonts w:ascii="Times New Roman" w:hAnsi="Times New Roman" w:cs="Times New Roman"/>
          <w:i/>
          <w:iCs/>
        </w:rPr>
        <w:t>JAIDS Journal of Acquired Immune Deficiency Syndromes</w:t>
      </w:r>
      <w:r w:rsidRPr="004100CF">
        <w:rPr>
          <w:rFonts w:ascii="Times New Roman" w:hAnsi="Times New Roman" w:cs="Times New Roman"/>
        </w:rPr>
        <w:t xml:space="preserve"> </w:t>
      </w:r>
      <w:r w:rsidRPr="004100CF">
        <w:rPr>
          <w:rFonts w:ascii="Times New Roman" w:hAnsi="Times New Roman" w:cs="Times New Roman"/>
          <w:b/>
          <w:bCs/>
        </w:rPr>
        <w:t>2016</w:t>
      </w:r>
      <w:r w:rsidRPr="004100CF">
        <w:rPr>
          <w:rFonts w:ascii="Times New Roman" w:hAnsi="Times New Roman" w:cs="Times New Roman"/>
        </w:rPr>
        <w:t xml:space="preserve">, </w:t>
      </w:r>
      <w:r w:rsidRPr="004100CF">
        <w:rPr>
          <w:rFonts w:ascii="Times New Roman" w:hAnsi="Times New Roman" w:cs="Times New Roman"/>
          <w:i/>
          <w:iCs/>
        </w:rPr>
        <w:t>72</w:t>
      </w:r>
      <w:r w:rsidRPr="004100CF">
        <w:rPr>
          <w:rFonts w:ascii="Times New Roman" w:hAnsi="Times New Roman" w:cs="Times New Roman"/>
        </w:rPr>
        <w:t xml:space="preserve"> (5), 485. https://doi.org/10.1097/QAI.0000000000001031.</w:t>
      </w:r>
    </w:p>
    <w:p w14:paraId="3C76539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(56)</w:t>
      </w:r>
      <w:r w:rsidRPr="004100CF">
        <w:rPr>
          <w:rFonts w:ascii="Times New Roman" w:hAnsi="Times New Roman" w:cs="Times New Roman"/>
        </w:rPr>
        <w:tab/>
        <w:t xml:space="preserve">Kellinger, M. W.; Johnson, K. A. Nucleotide-Dependent Conformational Change Governs Specificity and Analog Discrimination by HIV Reverse Transcriptase. </w:t>
      </w:r>
      <w:r w:rsidRPr="004100CF">
        <w:rPr>
          <w:rFonts w:ascii="Times New Roman" w:hAnsi="Times New Roman" w:cs="Times New Roman"/>
          <w:i/>
          <w:iCs/>
        </w:rPr>
        <w:t>Proceedings of the National Academy of Sciences</w:t>
      </w:r>
      <w:r w:rsidRPr="004100CF">
        <w:rPr>
          <w:rFonts w:ascii="Times New Roman" w:hAnsi="Times New Roman" w:cs="Times New Roman"/>
        </w:rPr>
        <w:t xml:space="preserve"> </w:t>
      </w:r>
      <w:r w:rsidRPr="004100CF">
        <w:rPr>
          <w:rFonts w:ascii="Times New Roman" w:hAnsi="Times New Roman" w:cs="Times New Roman"/>
          <w:b/>
          <w:bCs/>
        </w:rPr>
        <w:t>2010</w:t>
      </w:r>
      <w:r w:rsidRPr="004100CF">
        <w:rPr>
          <w:rFonts w:ascii="Times New Roman" w:hAnsi="Times New Roman" w:cs="Times New Roman"/>
        </w:rPr>
        <w:t xml:space="preserve">, </w:t>
      </w:r>
      <w:r w:rsidRPr="004100CF">
        <w:rPr>
          <w:rFonts w:ascii="Times New Roman" w:hAnsi="Times New Roman" w:cs="Times New Roman"/>
          <w:i/>
          <w:iCs/>
        </w:rPr>
        <w:t>107</w:t>
      </w:r>
      <w:r w:rsidRPr="004100CF">
        <w:rPr>
          <w:rFonts w:ascii="Times New Roman" w:hAnsi="Times New Roman" w:cs="Times New Roman"/>
        </w:rPr>
        <w:t xml:space="preserve"> (17), 7734–7739. https://doi.org/10.1073/pnas.0913946107.</w:t>
      </w:r>
    </w:p>
    <w:p w14:paraId="2272C88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(57)</w:t>
      </w:r>
      <w:r w:rsidRPr="004100CF">
        <w:rPr>
          <w:rFonts w:ascii="Times New Roman" w:hAnsi="Times New Roman" w:cs="Times New Roman"/>
        </w:rPr>
        <w:tab/>
        <w:t xml:space="preserve">Chachra, R.; Rizzo, R. C. Origins of Resistance Conferred by the R292K Neuraminidase Mutation via Molecular Dynamics and Free Energy Calculations.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2008</w:t>
      </w:r>
      <w:r w:rsidRPr="004100CF">
        <w:rPr>
          <w:rFonts w:ascii="Times New Roman" w:hAnsi="Times New Roman" w:cs="Times New Roman"/>
        </w:rPr>
        <w:t xml:space="preserve">, </w:t>
      </w:r>
      <w:r w:rsidRPr="004100CF">
        <w:rPr>
          <w:rFonts w:ascii="Times New Roman" w:hAnsi="Times New Roman" w:cs="Times New Roman"/>
          <w:i/>
          <w:iCs/>
        </w:rPr>
        <w:t>4</w:t>
      </w:r>
      <w:r w:rsidRPr="004100CF">
        <w:rPr>
          <w:rFonts w:ascii="Times New Roman" w:hAnsi="Times New Roman" w:cs="Times New Roman"/>
        </w:rPr>
        <w:t xml:space="preserve"> (9), 1526–1540. https://doi.org/10.1021/ct800068v.</w:t>
      </w:r>
    </w:p>
    <w:p w14:paraId="28841E71"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(58)</w:t>
      </w:r>
      <w:r w:rsidRPr="004100CF">
        <w:rPr>
          <w:rFonts w:ascii="Times New Roman" w:hAnsi="Times New Roman" w:cs="Times New Roman"/>
        </w:rPr>
        <w:tab/>
        <w:t xml:space="preserve">Ripoll, D. R.; Khavrutskii, I. V.; Chaudhury, S.; Liu, J.; Kuschner, R. A.; Wallqvist, A.; Reifman, J. Quantitative Predictions of Binding Free Energy Changes in Drug-Resistant Influenza Neuraminidase. </w:t>
      </w:r>
      <w:r w:rsidRPr="004100CF">
        <w:rPr>
          <w:rFonts w:ascii="Times New Roman" w:hAnsi="Times New Roman" w:cs="Times New Roman"/>
          <w:i/>
          <w:iCs/>
        </w:rPr>
        <w:t>PLOS Computational Biology</w:t>
      </w:r>
      <w:r w:rsidRPr="004100CF">
        <w:rPr>
          <w:rFonts w:ascii="Times New Roman" w:hAnsi="Times New Roman" w:cs="Times New Roman"/>
        </w:rPr>
        <w:t xml:space="preserve"> </w:t>
      </w:r>
      <w:r w:rsidRPr="004100CF">
        <w:rPr>
          <w:rFonts w:ascii="Times New Roman" w:hAnsi="Times New Roman" w:cs="Times New Roman"/>
          <w:b/>
          <w:bCs/>
        </w:rPr>
        <w:t>2012</w:t>
      </w:r>
      <w:r w:rsidRPr="004100CF">
        <w:rPr>
          <w:rFonts w:ascii="Times New Roman" w:hAnsi="Times New Roman" w:cs="Times New Roman"/>
        </w:rPr>
        <w:t xml:space="preserve">, </w:t>
      </w:r>
      <w:r w:rsidRPr="004100CF">
        <w:rPr>
          <w:rFonts w:ascii="Times New Roman" w:hAnsi="Times New Roman" w:cs="Times New Roman"/>
          <w:i/>
          <w:iCs/>
        </w:rPr>
        <w:t>8</w:t>
      </w:r>
      <w:r w:rsidRPr="004100CF">
        <w:rPr>
          <w:rFonts w:ascii="Times New Roman" w:hAnsi="Times New Roman" w:cs="Times New Roman"/>
        </w:rPr>
        <w:t xml:space="preserve"> (8), e1002665. https://doi.org/10.1371/journal.pcbi.1002665.</w:t>
      </w:r>
    </w:p>
    <w:p w14:paraId="6F909363"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(59)</w:t>
      </w:r>
      <w:r w:rsidRPr="004100CF">
        <w:rPr>
          <w:rFonts w:ascii="Times New Roman" w:hAnsi="Times New Roman" w:cs="Times New Roman"/>
        </w:rPr>
        <w:tab/>
        <w:t xml:space="preserve">Havranek, B.; Demissie, R.; Lee, H.; Lan, S.; Zhang, H.; Sarafianos, S.; Ayitou, A. J.-L.; Islam, S. M. Discovery of Nirmatrelvir Resistance Mutations in SARS-CoV‑2 3CLpro: A Computational-Experimental Approach. </w:t>
      </w:r>
      <w:r w:rsidRPr="004100CF">
        <w:rPr>
          <w:rFonts w:ascii="Times New Roman" w:hAnsi="Times New Roman" w:cs="Times New Roman"/>
          <w:i/>
          <w:iCs/>
        </w:rPr>
        <w:t>J. Chem. Inf. Model.</w:t>
      </w:r>
      <w:r w:rsidRPr="004100CF">
        <w:rPr>
          <w:rFonts w:ascii="Times New Roman" w:hAnsi="Times New Roman" w:cs="Times New Roman"/>
        </w:rPr>
        <w:t xml:space="preserve"> </w:t>
      </w:r>
      <w:r w:rsidRPr="004100CF">
        <w:rPr>
          <w:rFonts w:ascii="Times New Roman" w:hAnsi="Times New Roman" w:cs="Times New Roman"/>
          <w:b/>
          <w:bCs/>
        </w:rPr>
        <w:t>2023</w:t>
      </w:r>
      <w:r w:rsidRPr="004100CF">
        <w:rPr>
          <w:rFonts w:ascii="Times New Roman" w:hAnsi="Times New Roman" w:cs="Times New Roman"/>
        </w:rPr>
        <w:t xml:space="preserve">, </w:t>
      </w:r>
      <w:r w:rsidRPr="004100CF">
        <w:rPr>
          <w:rFonts w:ascii="Times New Roman" w:hAnsi="Times New Roman" w:cs="Times New Roman"/>
          <w:i/>
          <w:iCs/>
        </w:rPr>
        <w:t>63</w:t>
      </w:r>
      <w:r w:rsidRPr="004100CF">
        <w:rPr>
          <w:rFonts w:ascii="Times New Roman" w:hAnsi="Times New Roman" w:cs="Times New Roman"/>
        </w:rPr>
        <w:t xml:space="preserve"> (22), 7180–7188. https://doi.org/10.1021/acs.jcim.3c01269.</w:t>
      </w:r>
    </w:p>
    <w:p w14:paraId="187341F7"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(60)</w:t>
      </w:r>
      <w:r w:rsidRPr="004100CF">
        <w:rPr>
          <w:rFonts w:ascii="Times New Roman" w:hAnsi="Times New Roman" w:cs="Times New Roman"/>
        </w:rPr>
        <w:tab/>
        <w:t xml:space="preserve">Cai, Y.; Schiffer, C. A. Decomposing the Energetic Impact of Drug Resistant Mutations in HIV-1 Protease on Binding DRV.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2010</w:t>
      </w:r>
      <w:r w:rsidRPr="004100CF">
        <w:rPr>
          <w:rFonts w:ascii="Times New Roman" w:hAnsi="Times New Roman" w:cs="Times New Roman"/>
        </w:rPr>
        <w:t xml:space="preserve">, </w:t>
      </w:r>
      <w:r w:rsidRPr="004100CF">
        <w:rPr>
          <w:rFonts w:ascii="Times New Roman" w:hAnsi="Times New Roman" w:cs="Times New Roman"/>
          <w:i/>
          <w:iCs/>
        </w:rPr>
        <w:t>6</w:t>
      </w:r>
      <w:r w:rsidRPr="004100CF">
        <w:rPr>
          <w:rFonts w:ascii="Times New Roman" w:hAnsi="Times New Roman" w:cs="Times New Roman"/>
        </w:rPr>
        <w:t xml:space="preserve"> (4), 1358–1368. https://doi.org/10.1021/ct9004678.</w:t>
      </w:r>
    </w:p>
    <w:p w14:paraId="18B66418"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(61)</w:t>
      </w:r>
      <w:r w:rsidRPr="004100CF">
        <w:rPr>
          <w:rFonts w:ascii="Times New Roman" w:hAnsi="Times New Roman" w:cs="Times New Roman"/>
        </w:rPr>
        <w:tab/>
        <w:t xml:space="preserve">Bastys, T.; Gapsys, V.; Doncheva, N. T.; Kaiser, R.; de Groot, B. L.; Kalinina, O. V. Consistent Prediction of Mutation Effect on Drug Binding in HIV‑1 Protease Using Alchemical Calculations.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2018</w:t>
      </w:r>
      <w:r w:rsidRPr="004100CF">
        <w:rPr>
          <w:rFonts w:ascii="Times New Roman" w:hAnsi="Times New Roman" w:cs="Times New Roman"/>
        </w:rPr>
        <w:t xml:space="preserve">, </w:t>
      </w:r>
      <w:r w:rsidRPr="004100CF">
        <w:rPr>
          <w:rFonts w:ascii="Times New Roman" w:hAnsi="Times New Roman" w:cs="Times New Roman"/>
          <w:i/>
          <w:iCs/>
        </w:rPr>
        <w:t>14</w:t>
      </w:r>
      <w:r w:rsidRPr="004100CF">
        <w:rPr>
          <w:rFonts w:ascii="Times New Roman" w:hAnsi="Times New Roman" w:cs="Times New Roman"/>
        </w:rPr>
        <w:t xml:space="preserve"> (7), 3397–3408. https://doi.org/10.1021/acs.jctc.7b01109.</w:t>
      </w:r>
    </w:p>
    <w:p w14:paraId="282AAB83"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(62)</w:t>
      </w:r>
      <w:r w:rsidRPr="004100CF">
        <w:rPr>
          <w:rFonts w:ascii="Times New Roman" w:hAnsi="Times New Roman" w:cs="Times New Roman"/>
        </w:rPr>
        <w:tab/>
        <w:t xml:space="preserve">Bastys, T.; Gapsys, V.; Walter, H.; Heger, E.; Doncheva, N. T.; Kaiser, R.; de Groot, B. L.; Kalinina, O. V. Non-Active Site Mutants of HIV-1 Protease Influence Resistance and Sensitisation towards Protease Inhibitors. </w:t>
      </w:r>
      <w:r w:rsidRPr="004100CF">
        <w:rPr>
          <w:rFonts w:ascii="Times New Roman" w:hAnsi="Times New Roman" w:cs="Times New Roman"/>
          <w:i/>
          <w:iCs/>
        </w:rPr>
        <w:t>Retrovirology</w:t>
      </w:r>
      <w:r w:rsidRPr="004100CF">
        <w:rPr>
          <w:rFonts w:ascii="Times New Roman" w:hAnsi="Times New Roman" w:cs="Times New Roman"/>
        </w:rPr>
        <w:t xml:space="preserve"> </w:t>
      </w:r>
      <w:r w:rsidRPr="004100CF">
        <w:rPr>
          <w:rFonts w:ascii="Times New Roman" w:hAnsi="Times New Roman" w:cs="Times New Roman"/>
          <w:b/>
          <w:bCs/>
        </w:rPr>
        <w:t>2020</w:t>
      </w:r>
      <w:r w:rsidRPr="004100CF">
        <w:rPr>
          <w:rFonts w:ascii="Times New Roman" w:hAnsi="Times New Roman" w:cs="Times New Roman"/>
        </w:rPr>
        <w:t xml:space="preserve">, </w:t>
      </w:r>
      <w:r w:rsidRPr="004100CF">
        <w:rPr>
          <w:rFonts w:ascii="Times New Roman" w:hAnsi="Times New Roman" w:cs="Times New Roman"/>
          <w:i/>
          <w:iCs/>
        </w:rPr>
        <w:t>17</w:t>
      </w:r>
      <w:r w:rsidRPr="004100CF">
        <w:rPr>
          <w:rFonts w:ascii="Times New Roman" w:hAnsi="Times New Roman" w:cs="Times New Roman"/>
        </w:rPr>
        <w:t xml:space="preserve"> (1), 13. https://doi.org/10.1186/s12977-020-00520-6.</w:t>
      </w:r>
    </w:p>
    <w:p w14:paraId="08027C50"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(63)</w:t>
      </w:r>
      <w:r w:rsidRPr="004100CF">
        <w:rPr>
          <w:rFonts w:ascii="Times New Roman" w:hAnsi="Times New Roman" w:cs="Times New Roman"/>
        </w:rPr>
        <w:tab/>
        <w:t xml:space="preserve">Sun, Q.; Levy, R. M.; Kirby, K. A.; Wang, Z.; Sarafianos, S. G.; Deng, N. Molecular Dynamics Free Energy Simulations Reveal the Mechanism for the Antiviral Resistance of the M66I HIV-1 Capsid Mutation. </w:t>
      </w:r>
      <w:r w:rsidRPr="004100CF">
        <w:rPr>
          <w:rFonts w:ascii="Times New Roman" w:hAnsi="Times New Roman" w:cs="Times New Roman"/>
          <w:i/>
          <w:iCs/>
        </w:rPr>
        <w:t>Viruses</w:t>
      </w:r>
      <w:r w:rsidRPr="004100CF">
        <w:rPr>
          <w:rFonts w:ascii="Times New Roman" w:hAnsi="Times New Roman" w:cs="Times New Roman"/>
        </w:rPr>
        <w:t xml:space="preserve"> </w:t>
      </w:r>
      <w:r w:rsidRPr="004100CF">
        <w:rPr>
          <w:rFonts w:ascii="Times New Roman" w:hAnsi="Times New Roman" w:cs="Times New Roman"/>
          <w:b/>
          <w:bCs/>
        </w:rPr>
        <w:t>2021</w:t>
      </w:r>
      <w:r w:rsidRPr="004100CF">
        <w:rPr>
          <w:rFonts w:ascii="Times New Roman" w:hAnsi="Times New Roman" w:cs="Times New Roman"/>
        </w:rPr>
        <w:t xml:space="preserve">, </w:t>
      </w:r>
      <w:r w:rsidRPr="004100CF">
        <w:rPr>
          <w:rFonts w:ascii="Times New Roman" w:hAnsi="Times New Roman" w:cs="Times New Roman"/>
          <w:i/>
          <w:iCs/>
        </w:rPr>
        <w:t>13</w:t>
      </w:r>
      <w:r w:rsidRPr="004100CF">
        <w:rPr>
          <w:rFonts w:ascii="Times New Roman" w:hAnsi="Times New Roman" w:cs="Times New Roman"/>
        </w:rPr>
        <w:t xml:space="preserve"> (5), 920. https://doi.org/10.3390/v13050920.</w:t>
      </w:r>
    </w:p>
    <w:p w14:paraId="6267B39F"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(64)</w:t>
      </w:r>
      <w:r w:rsidRPr="004100CF">
        <w:rPr>
          <w:rFonts w:ascii="Times New Roman" w:hAnsi="Times New Roman" w:cs="Times New Roma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4100CF">
        <w:rPr>
          <w:rFonts w:ascii="Times New Roman" w:hAnsi="Times New Roman" w:cs="Times New Roman"/>
          <w:i/>
          <w:iCs/>
        </w:rPr>
        <w:t>Science Advances</w:t>
      </w:r>
      <w:r w:rsidRPr="004100CF">
        <w:rPr>
          <w:rFonts w:ascii="Times New Roman" w:hAnsi="Times New Roman" w:cs="Times New Roman"/>
        </w:rPr>
        <w:t xml:space="preserve"> </w:t>
      </w:r>
      <w:r w:rsidRPr="004100CF">
        <w:rPr>
          <w:rFonts w:ascii="Times New Roman" w:hAnsi="Times New Roman" w:cs="Times New Roman"/>
          <w:b/>
          <w:bCs/>
        </w:rPr>
        <w:t>2023</w:t>
      </w:r>
      <w:r w:rsidRPr="004100CF">
        <w:rPr>
          <w:rFonts w:ascii="Times New Roman" w:hAnsi="Times New Roman" w:cs="Times New Roman"/>
        </w:rPr>
        <w:t xml:space="preserve">, </w:t>
      </w:r>
      <w:r w:rsidRPr="004100CF">
        <w:rPr>
          <w:rFonts w:ascii="Times New Roman" w:hAnsi="Times New Roman" w:cs="Times New Roman"/>
          <w:i/>
          <w:iCs/>
        </w:rPr>
        <w:t>9</w:t>
      </w:r>
      <w:r w:rsidRPr="004100CF">
        <w:rPr>
          <w:rFonts w:ascii="Times New Roman" w:hAnsi="Times New Roman" w:cs="Times New Roman"/>
        </w:rPr>
        <w:t xml:space="preserve"> (29), eadg5953. https://doi.org/10.1126/sciadv.adg5953.</w:t>
      </w:r>
    </w:p>
    <w:p w14:paraId="3F62BB32"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(65)</w:t>
      </w:r>
      <w:r w:rsidRPr="004100CF">
        <w:rPr>
          <w:rFonts w:ascii="Times New Roman" w:hAnsi="Times New Roman" w:cs="Times New Roman"/>
        </w:rPr>
        <w:tab/>
        <w:t xml:space="preserve">Hauser, K.; Negron, C.; Albanese, S. K.; Ray, S.; Steinbrecher, T.; Abel, R.; Chodera, J. D.; Wang, L. Predicting Resistance of Clinical Abl Mutations to Targeted Kinase Inhibitors </w:t>
      </w:r>
      <w:r w:rsidRPr="004100CF">
        <w:rPr>
          <w:rFonts w:ascii="Times New Roman" w:hAnsi="Times New Roman" w:cs="Times New Roman"/>
        </w:rPr>
        <w:lastRenderedPageBreak/>
        <w:t xml:space="preserve">Using Alchemical Free-Energy Calculations. </w:t>
      </w:r>
      <w:r w:rsidRPr="004100CF">
        <w:rPr>
          <w:rFonts w:ascii="Times New Roman" w:hAnsi="Times New Roman" w:cs="Times New Roman"/>
          <w:i/>
          <w:iCs/>
        </w:rPr>
        <w:t>Commun Biol</w:t>
      </w:r>
      <w:r w:rsidRPr="004100CF">
        <w:rPr>
          <w:rFonts w:ascii="Times New Roman" w:hAnsi="Times New Roman" w:cs="Times New Roman"/>
        </w:rPr>
        <w:t xml:space="preserve"> </w:t>
      </w:r>
      <w:r w:rsidRPr="004100CF">
        <w:rPr>
          <w:rFonts w:ascii="Times New Roman" w:hAnsi="Times New Roman" w:cs="Times New Roman"/>
          <w:b/>
          <w:bCs/>
        </w:rPr>
        <w:t>2018</w:t>
      </w:r>
      <w:r w:rsidRPr="004100CF">
        <w:rPr>
          <w:rFonts w:ascii="Times New Roman" w:hAnsi="Times New Roman" w:cs="Times New Roman"/>
        </w:rPr>
        <w:t xml:space="preserve">, </w:t>
      </w:r>
      <w:r w:rsidRPr="004100CF">
        <w:rPr>
          <w:rFonts w:ascii="Times New Roman" w:hAnsi="Times New Roman" w:cs="Times New Roman"/>
          <w:i/>
          <w:iCs/>
        </w:rPr>
        <w:t>1</w:t>
      </w:r>
      <w:r w:rsidRPr="004100CF">
        <w:rPr>
          <w:rFonts w:ascii="Times New Roman" w:hAnsi="Times New Roman" w:cs="Times New Roman"/>
        </w:rPr>
        <w:t xml:space="preserve"> (1), 70. https://doi.org/10.1038/s42003-018-0075-x.</w:t>
      </w:r>
    </w:p>
    <w:p w14:paraId="49B43E3C"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(66)</w:t>
      </w:r>
      <w:r w:rsidRPr="004100CF">
        <w:rPr>
          <w:rFonts w:ascii="Times New Roman" w:hAnsi="Times New Roman" w:cs="Times New Roman"/>
        </w:rPr>
        <w:tab/>
        <w:t xml:space="preserve">Nagarajan, A.; Amberg-Johnson, K.; Paull, E.; Huang, K.; Ghanakota, P.; Chandrasinghe, A.; Chief Elk, J.; Sampson, J. M.; Wang, L.; Abel, R.; Albanese, S. K. Predicting Resistance to Small Molecule Kinase Inhibitors. </w:t>
      </w:r>
      <w:r w:rsidRPr="004100CF">
        <w:rPr>
          <w:rFonts w:ascii="Times New Roman" w:hAnsi="Times New Roman" w:cs="Times New Roman"/>
          <w:i/>
          <w:iCs/>
        </w:rPr>
        <w:t>J. Chem. Inf. Model.</w:t>
      </w:r>
      <w:r w:rsidRPr="004100CF">
        <w:rPr>
          <w:rFonts w:ascii="Times New Roman" w:hAnsi="Times New Roman" w:cs="Times New Roman"/>
        </w:rPr>
        <w:t xml:space="preserve"> </w:t>
      </w:r>
      <w:r w:rsidRPr="004100CF">
        <w:rPr>
          <w:rFonts w:ascii="Times New Roman" w:hAnsi="Times New Roman" w:cs="Times New Roman"/>
          <w:b/>
          <w:bCs/>
        </w:rPr>
        <w:t>2025</w:t>
      </w:r>
      <w:r w:rsidRPr="004100CF">
        <w:rPr>
          <w:rFonts w:ascii="Times New Roman" w:hAnsi="Times New Roman" w:cs="Times New Roman"/>
        </w:rPr>
        <w:t xml:space="preserve">, </w:t>
      </w:r>
      <w:r w:rsidRPr="004100CF">
        <w:rPr>
          <w:rFonts w:ascii="Times New Roman" w:hAnsi="Times New Roman" w:cs="Times New Roman"/>
          <w:i/>
          <w:iCs/>
        </w:rPr>
        <w:t>65</w:t>
      </w:r>
      <w:r w:rsidRPr="004100CF">
        <w:rPr>
          <w:rFonts w:ascii="Times New Roman" w:hAnsi="Times New Roman" w:cs="Times New Roman"/>
        </w:rPr>
        <w:t xml:space="preserve"> (5), 2543–2557. https://doi.org/10.1021/acs.jcim.4c02313.</w:t>
      </w:r>
    </w:p>
    <w:p w14:paraId="22C4722B"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(67)</w:t>
      </w:r>
      <w:r w:rsidRPr="004100CF">
        <w:rPr>
          <w:rFonts w:ascii="Times New Roman" w:hAnsi="Times New Roman" w:cs="Times New Roma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4100CF">
        <w:rPr>
          <w:rFonts w:ascii="Times New Roman" w:hAnsi="Times New Roman" w:cs="Times New Roman"/>
          <w:i/>
          <w:iCs/>
        </w:rPr>
        <w:t>Journal American Chemical Society</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137</w:t>
      </w:r>
      <w:r w:rsidRPr="004100CF">
        <w:rPr>
          <w:rFonts w:ascii="Times New Roman" w:hAnsi="Times New Roman" w:cs="Times New Roman"/>
        </w:rPr>
        <w:t xml:space="preserve"> (7), 2695–2703. https://doi.org/10.1021/ja512751q.</w:t>
      </w:r>
    </w:p>
    <w:p w14:paraId="655CA473"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(68)</w:t>
      </w:r>
      <w:r w:rsidRPr="004100CF">
        <w:rPr>
          <w:rFonts w:ascii="Times New Roman" w:hAnsi="Times New Roman" w:cs="Times New Roma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4100CF">
        <w:rPr>
          <w:rFonts w:ascii="Times New Roman" w:hAnsi="Times New Roman" w:cs="Times New Roman"/>
          <w:i/>
          <w:iCs/>
        </w:rPr>
        <w:t>J. Chem. Inf. Model.</w:t>
      </w:r>
      <w:r w:rsidRPr="004100CF">
        <w:rPr>
          <w:rFonts w:ascii="Times New Roman" w:hAnsi="Times New Roman" w:cs="Times New Roman"/>
        </w:rPr>
        <w:t xml:space="preserve"> </w:t>
      </w:r>
      <w:r w:rsidRPr="004100CF">
        <w:rPr>
          <w:rFonts w:ascii="Times New Roman" w:hAnsi="Times New Roman" w:cs="Times New Roman"/>
          <w:b/>
          <w:bCs/>
        </w:rPr>
        <w:t>2020</w:t>
      </w:r>
      <w:r w:rsidRPr="004100CF">
        <w:rPr>
          <w:rFonts w:ascii="Times New Roman" w:hAnsi="Times New Roman" w:cs="Times New Roman"/>
        </w:rPr>
        <w:t xml:space="preserve">, </w:t>
      </w:r>
      <w:r w:rsidRPr="004100CF">
        <w:rPr>
          <w:rFonts w:ascii="Times New Roman" w:hAnsi="Times New Roman" w:cs="Times New Roman"/>
          <w:i/>
          <w:iCs/>
        </w:rPr>
        <w:t>60</w:t>
      </w:r>
      <w:r w:rsidRPr="004100CF">
        <w:rPr>
          <w:rFonts w:ascii="Times New Roman" w:hAnsi="Times New Roman" w:cs="Times New Roman"/>
        </w:rPr>
        <w:t xml:space="preserve"> (11), 5457–5474. https://doi.org/10.1021/acs.jcim.0c00900.</w:t>
      </w:r>
    </w:p>
    <w:p w14:paraId="2E1DBEE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(69)</w:t>
      </w:r>
      <w:r w:rsidRPr="004100CF">
        <w:rPr>
          <w:rFonts w:ascii="Times New Roman" w:hAnsi="Times New Roman" w:cs="Times New Roman"/>
        </w:rPr>
        <w:tab/>
        <w:t xml:space="preserve">van der Kamp, M. W.; Mulholland, A. J. Combined Quantum Mechanics/Molecular Mechanics (QM/MM) Methods in Computational Enzymology. </w:t>
      </w:r>
      <w:r w:rsidRPr="004100CF">
        <w:rPr>
          <w:rFonts w:ascii="Times New Roman" w:hAnsi="Times New Roman" w:cs="Times New Roman"/>
          <w:i/>
          <w:iCs/>
        </w:rPr>
        <w:t>Biochemistry</w:t>
      </w:r>
      <w:r w:rsidRPr="004100CF">
        <w:rPr>
          <w:rFonts w:ascii="Times New Roman" w:hAnsi="Times New Roman" w:cs="Times New Roman"/>
        </w:rPr>
        <w:t xml:space="preserve"> </w:t>
      </w:r>
      <w:r w:rsidRPr="004100CF">
        <w:rPr>
          <w:rFonts w:ascii="Times New Roman" w:hAnsi="Times New Roman" w:cs="Times New Roman"/>
          <w:b/>
          <w:bCs/>
        </w:rPr>
        <w:t>2013</w:t>
      </w:r>
      <w:r w:rsidRPr="004100CF">
        <w:rPr>
          <w:rFonts w:ascii="Times New Roman" w:hAnsi="Times New Roman" w:cs="Times New Roman"/>
        </w:rPr>
        <w:t xml:space="preserve">, </w:t>
      </w:r>
      <w:r w:rsidRPr="004100CF">
        <w:rPr>
          <w:rFonts w:ascii="Times New Roman" w:hAnsi="Times New Roman" w:cs="Times New Roman"/>
          <w:i/>
          <w:iCs/>
        </w:rPr>
        <w:t>52</w:t>
      </w:r>
      <w:r w:rsidRPr="004100CF">
        <w:rPr>
          <w:rFonts w:ascii="Times New Roman" w:hAnsi="Times New Roman" w:cs="Times New Roman"/>
        </w:rPr>
        <w:t xml:space="preserve"> (16), 2708–2728. https://doi.org/10.1021/bi400215w.</w:t>
      </w:r>
    </w:p>
    <w:p w14:paraId="46313F57"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(70)</w:t>
      </w:r>
      <w:r w:rsidRPr="004100CF">
        <w:rPr>
          <w:rFonts w:ascii="Times New Roman" w:hAnsi="Times New Roman" w:cs="Times New Roman"/>
        </w:rPr>
        <w:tab/>
        <w:t xml:space="preserve">Taguchi, M.; Oyama, R.; Kaneso, M.; Hayashi, S. Hybrid QM/MM Free-Energy Evaluation of Drug-Resistant Mutational Effect on the Binding of an Inhibitor Indinavir to HIV‑1 Protease. </w:t>
      </w:r>
      <w:r w:rsidRPr="004100CF">
        <w:rPr>
          <w:rFonts w:ascii="Times New Roman" w:hAnsi="Times New Roman" w:cs="Times New Roman"/>
          <w:i/>
          <w:iCs/>
        </w:rPr>
        <w:t>J. Chem. Inf. Model.</w:t>
      </w:r>
      <w:r w:rsidRPr="004100CF">
        <w:rPr>
          <w:rFonts w:ascii="Times New Roman" w:hAnsi="Times New Roman" w:cs="Times New Roman"/>
        </w:rPr>
        <w:t xml:space="preserve"> </w:t>
      </w:r>
      <w:r w:rsidRPr="004100CF">
        <w:rPr>
          <w:rFonts w:ascii="Times New Roman" w:hAnsi="Times New Roman" w:cs="Times New Roman"/>
          <w:b/>
          <w:bCs/>
        </w:rPr>
        <w:t>2022</w:t>
      </w:r>
      <w:r w:rsidRPr="004100CF">
        <w:rPr>
          <w:rFonts w:ascii="Times New Roman" w:hAnsi="Times New Roman" w:cs="Times New Roman"/>
        </w:rPr>
        <w:t xml:space="preserve">, </w:t>
      </w:r>
      <w:r w:rsidRPr="004100CF">
        <w:rPr>
          <w:rFonts w:ascii="Times New Roman" w:hAnsi="Times New Roman" w:cs="Times New Roman"/>
          <w:i/>
          <w:iCs/>
        </w:rPr>
        <w:t>62</w:t>
      </w:r>
      <w:r w:rsidRPr="004100CF">
        <w:rPr>
          <w:rFonts w:ascii="Times New Roman" w:hAnsi="Times New Roman" w:cs="Times New Roman"/>
        </w:rPr>
        <w:t xml:space="preserve"> (5), 1328–1344. https://doi.org/10.1021/acs.jcim.1c01193.</w:t>
      </w:r>
    </w:p>
    <w:p w14:paraId="6A57D8E0"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(71)</w:t>
      </w:r>
      <w:r w:rsidRPr="004100CF">
        <w:rPr>
          <w:rFonts w:ascii="Times New Roman" w:hAnsi="Times New Roman" w:cs="Times New Roman"/>
        </w:rPr>
        <w:tab/>
        <w:t xml:space="preserve">Plattner, N.; Noé, F. Protein Conformational Plasticity and Complex Ligand-Binding Kinetics Explored by Atomistic Simulations and Markov Models. </w:t>
      </w:r>
      <w:r w:rsidRPr="004100CF">
        <w:rPr>
          <w:rFonts w:ascii="Times New Roman" w:hAnsi="Times New Roman" w:cs="Times New Roman"/>
          <w:i/>
          <w:iCs/>
        </w:rPr>
        <w:t>Nat Commun</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6</w:t>
      </w:r>
      <w:r w:rsidRPr="004100CF">
        <w:rPr>
          <w:rFonts w:ascii="Times New Roman" w:hAnsi="Times New Roman" w:cs="Times New Roman"/>
        </w:rPr>
        <w:t xml:space="preserve"> (1), 7653. https://doi.org/10.1038/ncomms8653.</w:t>
      </w:r>
    </w:p>
    <w:p w14:paraId="4727F54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(72)</w:t>
      </w:r>
      <w:r w:rsidRPr="004100CF">
        <w:rPr>
          <w:rFonts w:ascii="Times New Roman" w:hAnsi="Times New Roman" w:cs="Times New Roman"/>
        </w:rPr>
        <w:tab/>
        <w:t xml:space="preserve">Tiwary, P.; Limongelli, V.; Salvalaglio, M.; Parrinello, M. Kinetics of Protein–Ligand Unbinding: Predicting Pathways, Rates, and Rate-Limiting Steps. </w:t>
      </w:r>
      <w:r w:rsidRPr="004100CF">
        <w:rPr>
          <w:rFonts w:ascii="Times New Roman" w:hAnsi="Times New Roman" w:cs="Times New Roman"/>
          <w:i/>
          <w:iCs/>
        </w:rPr>
        <w:t>Proceedings of the National Academy of Sciences</w:t>
      </w:r>
      <w:r w:rsidRPr="004100CF">
        <w:rPr>
          <w:rFonts w:ascii="Times New Roman" w:hAnsi="Times New Roman" w:cs="Times New Roman"/>
        </w:rPr>
        <w:t xml:space="preserve"> </w:t>
      </w:r>
      <w:r w:rsidRPr="004100CF">
        <w:rPr>
          <w:rFonts w:ascii="Times New Roman" w:hAnsi="Times New Roman" w:cs="Times New Roman"/>
          <w:b/>
          <w:bCs/>
        </w:rPr>
        <w:t>2015</w:t>
      </w:r>
      <w:r w:rsidRPr="004100CF">
        <w:rPr>
          <w:rFonts w:ascii="Times New Roman" w:hAnsi="Times New Roman" w:cs="Times New Roman"/>
        </w:rPr>
        <w:t xml:space="preserve">, </w:t>
      </w:r>
      <w:r w:rsidRPr="004100CF">
        <w:rPr>
          <w:rFonts w:ascii="Times New Roman" w:hAnsi="Times New Roman" w:cs="Times New Roman"/>
          <w:i/>
          <w:iCs/>
        </w:rPr>
        <w:t>112</w:t>
      </w:r>
      <w:r w:rsidRPr="004100CF">
        <w:rPr>
          <w:rFonts w:ascii="Times New Roman" w:hAnsi="Times New Roman" w:cs="Times New Roman"/>
        </w:rPr>
        <w:t xml:space="preserve"> (5), E386–E391. https://doi.org/10.1073/pnas.1424461112.</w:t>
      </w:r>
    </w:p>
    <w:p w14:paraId="62F9477C"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(73)</w:t>
      </w:r>
      <w:r w:rsidRPr="004100CF">
        <w:rPr>
          <w:rFonts w:ascii="Times New Roman" w:hAnsi="Times New Roman" w:cs="Times New Roman"/>
        </w:rPr>
        <w:tab/>
        <w:t xml:space="preserve">Jagger, B. R.; Ojha, A. A.; Amaro, R. E. Predicting Ligand Binding Kinetics Using a Markovian Milestoning with Voronoi Tessellations Multiscale Approach. </w:t>
      </w:r>
      <w:r w:rsidRPr="004100CF">
        <w:rPr>
          <w:rFonts w:ascii="Times New Roman" w:hAnsi="Times New Roman" w:cs="Times New Roman"/>
          <w:i/>
          <w:iCs/>
        </w:rPr>
        <w:t>J. Chem. Theory Comput.</w:t>
      </w:r>
      <w:r w:rsidRPr="004100CF">
        <w:rPr>
          <w:rFonts w:ascii="Times New Roman" w:hAnsi="Times New Roman" w:cs="Times New Roman"/>
        </w:rPr>
        <w:t xml:space="preserve"> </w:t>
      </w:r>
      <w:r w:rsidRPr="004100CF">
        <w:rPr>
          <w:rFonts w:ascii="Times New Roman" w:hAnsi="Times New Roman" w:cs="Times New Roman"/>
          <w:b/>
          <w:bCs/>
        </w:rPr>
        <w:t>2020</w:t>
      </w:r>
      <w:r w:rsidRPr="004100CF">
        <w:rPr>
          <w:rFonts w:ascii="Times New Roman" w:hAnsi="Times New Roman" w:cs="Times New Roman"/>
        </w:rPr>
        <w:t xml:space="preserve">, </w:t>
      </w:r>
      <w:r w:rsidRPr="004100CF">
        <w:rPr>
          <w:rFonts w:ascii="Times New Roman" w:hAnsi="Times New Roman" w:cs="Times New Roman"/>
          <w:i/>
          <w:iCs/>
        </w:rPr>
        <w:t>16</w:t>
      </w:r>
      <w:r w:rsidRPr="004100CF">
        <w:rPr>
          <w:rFonts w:ascii="Times New Roman" w:hAnsi="Times New Roman" w:cs="Times New Roman"/>
        </w:rPr>
        <w:t xml:space="preserve"> (8), 5348–5357. https://doi.org/10.1021/acs.jctc.0c00495.</w:t>
      </w:r>
    </w:p>
    <w:p w14:paraId="10383DB6"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(74)</w:t>
      </w:r>
      <w:r w:rsidRPr="004100CF">
        <w:rPr>
          <w:rFonts w:ascii="Times New Roman" w:hAnsi="Times New Roman" w:cs="Times New Roman"/>
        </w:rPr>
        <w:tab/>
        <w:t>Corso, G.; Stärk, H.; Jing, B.; Barzilay, R.; Jaakkola, T. DiffDock: Diffusion Steps, Twists, and Turns for Molecular Docking. arXiv February 11, 2023. https://doi.org/10.48550/arXiv.2210.01776.</w:t>
      </w:r>
    </w:p>
    <w:p w14:paraId="58A4248A"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t>(75)</w:t>
      </w:r>
      <w:r w:rsidRPr="004100CF">
        <w:rPr>
          <w:rFonts w:ascii="Times New Roman" w:hAnsi="Times New Roman" w:cs="Times New Roma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2C1AAF88" w14:textId="77777777" w:rsidR="00793866" w:rsidRPr="004100CF" w:rsidRDefault="00793866" w:rsidP="00793866">
      <w:pPr>
        <w:pStyle w:val="Bibliography"/>
        <w:rPr>
          <w:rFonts w:ascii="Times New Roman" w:hAnsi="Times New Roman" w:cs="Times New Roman"/>
        </w:rPr>
      </w:pPr>
      <w:r w:rsidRPr="004100CF">
        <w:rPr>
          <w:rFonts w:ascii="Times New Roman" w:hAnsi="Times New Roman" w:cs="Times New Roman"/>
        </w:rPr>
        <w:lastRenderedPageBreak/>
        <w:t>(76)</w:t>
      </w:r>
      <w:r w:rsidRPr="004100CF">
        <w:rPr>
          <w:rFonts w:ascii="Times New Roman" w:hAnsi="Times New Roman" w:cs="Times New Roma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8013FE1" w14:textId="16CCAF61" w:rsidR="00574C6E" w:rsidRPr="004100CF" w:rsidRDefault="00574C6E" w:rsidP="00793866">
      <w:pPr>
        <w:pStyle w:val="Bibliography"/>
        <w:rPr>
          <w:rFonts w:ascii="Times New Roman" w:hAnsi="Times New Roman" w:cs="Times New Roman"/>
        </w:rPr>
      </w:pPr>
      <w:r w:rsidRPr="004100CF">
        <w:rPr>
          <w:rFonts w:ascii="Times New Roman" w:hAnsi="Times New Roman" w:cs="Times New Roman"/>
        </w:rPr>
        <w:fldChar w:fldCharType="end"/>
      </w:r>
    </w:p>
    <w:sectPr w:rsidR="00574C6E" w:rsidRPr="004100C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obert W. Shafer" w:date="2026-08-24T14:41:00Z" w:initials="RS">
    <w:p w14:paraId="7BE31C40" w14:textId="77777777" w:rsidR="00FD121C" w:rsidRDefault="00FD121C" w:rsidP="00FD121C">
      <w:r>
        <w:rPr>
          <w:rStyle w:val="CommentReference"/>
        </w:rPr>
        <w:annotationRef/>
      </w:r>
      <w:r>
        <w:rPr>
          <w:sz w:val="20"/>
          <w:szCs w:val="18"/>
        </w:rPr>
        <w:t>The part about Tyr181 seems unclear.</w:t>
      </w:r>
    </w:p>
  </w:comment>
  <w:comment w:id="1" w:author="Robert W. Shafer" w:date="2026-08-24T14:44:00Z" w:initials="RS">
    <w:p w14:paraId="2A9DF87D" w14:textId="77777777" w:rsidR="00FD121C" w:rsidRDefault="00FD121C" w:rsidP="00FD121C">
      <w:r>
        <w:rPr>
          <w:rStyle w:val="CommentReference"/>
        </w:rPr>
        <w:annotationRef/>
      </w:r>
      <w:r>
        <w:rPr>
          <w:sz w:val="20"/>
          <w:szCs w:val="18"/>
        </w:rPr>
        <w:t>It will be easier for you and I to discuss this rather than (or before) I check these papers.</w:t>
      </w:r>
    </w:p>
  </w:comment>
  <w:comment w:id="2" w:author="Robert W. Shafer" w:date="2026-08-24T14:46:00Z" w:initials="RS">
    <w:p w14:paraId="0137A0BC" w14:textId="77777777" w:rsidR="00096ED7" w:rsidRDefault="00096ED7" w:rsidP="00096ED7">
      <w:r>
        <w:rPr>
          <w:rStyle w:val="CommentReference"/>
        </w:rPr>
        <w:annotationRef/>
      </w:r>
      <w:r>
        <w:rPr>
          <w:sz w:val="20"/>
          <w:szCs w:val="18"/>
        </w:rPr>
        <w:t>We should make sure that all likely reviewers would understand these 2 calculations.</w:t>
      </w:r>
    </w:p>
  </w:comment>
  <w:comment w:id="4" w:author="Robert W. Shafer" w:date="2026-08-24T15:29:00Z" w:initials="RS">
    <w:p w14:paraId="792365A0" w14:textId="77777777" w:rsidR="00AF4BCB" w:rsidRDefault="00AF4BCB" w:rsidP="00AF4BCB">
      <w:r>
        <w:rPr>
          <w:rStyle w:val="CommentReference"/>
        </w:rPr>
        <w:annotationRef/>
      </w:r>
      <w:r>
        <w:rPr>
          <w:sz w:val="20"/>
          <w:szCs w:val="18"/>
        </w:rPr>
        <w:t>What about A98G+F227C?</w:t>
      </w:r>
    </w:p>
  </w:comment>
  <w:comment w:id="5" w:author="Robert W. Shafer" w:date="2026-08-24T15:24:00Z" w:initials="RS">
    <w:p w14:paraId="081D3DD1" w14:textId="77777777" w:rsidR="005B7484" w:rsidRDefault="005B7484" w:rsidP="005B7484">
      <w:r>
        <w:rPr>
          <w:rStyle w:val="CommentReference"/>
        </w:rPr>
        <w:annotationRef/>
      </w:r>
      <w:r>
        <w:rPr>
          <w:sz w:val="20"/>
          <w:szCs w:val="18"/>
        </w:rPr>
        <w:t>Do these need to be expanded in the footnote?</w:t>
      </w:r>
    </w:p>
    <w:p w14:paraId="401831E0" w14:textId="77777777" w:rsidR="005B7484" w:rsidRDefault="005B7484" w:rsidP="005B748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BE31C40" w15:done="0"/>
  <w15:commentEx w15:paraId="2A9DF87D" w15:done="0"/>
  <w15:commentEx w15:paraId="0137A0BC" w15:done="0"/>
  <w15:commentEx w15:paraId="792365A0" w15:done="0"/>
  <w15:commentEx w15:paraId="401831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7B8A175" w16cex:dateUtc="2026-08-24T21:41:00Z"/>
  <w16cex:commentExtensible w16cex:durableId="7D8F1C56" w16cex:dateUtc="2026-08-24T21:44:00Z"/>
  <w16cex:commentExtensible w16cex:durableId="648B7E8A" w16cex:dateUtc="2026-08-24T21:46:00Z"/>
  <w16cex:commentExtensible w16cex:durableId="2732946D" w16cex:dateUtc="2026-08-24T22:29:00Z"/>
  <w16cex:commentExtensible w16cex:durableId="4BEB92BB" w16cex:dateUtc="2026-08-24T2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BE31C40" w16cid:durableId="37B8A175"/>
  <w16cid:commentId w16cid:paraId="2A9DF87D" w16cid:durableId="7D8F1C56"/>
  <w16cid:commentId w16cid:paraId="0137A0BC" w16cid:durableId="648B7E8A"/>
  <w16cid:commentId w16cid:paraId="792365A0" w16cid:durableId="2732946D"/>
  <w16cid:commentId w16cid:paraId="401831E0" w16cid:durableId="4BEB92B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obert W. Shafer">
    <w15:presenceInfo w15:providerId="AD" w15:userId="S::rshafer@stanford.edu::caa380a3-1bad-4c28-a71e-425b426e364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62F9"/>
    <w:rsid w:val="000073C6"/>
    <w:rsid w:val="000412F0"/>
    <w:rsid w:val="0004553D"/>
    <w:rsid w:val="0006771E"/>
    <w:rsid w:val="000745F0"/>
    <w:rsid w:val="00096ED7"/>
    <w:rsid w:val="000A3C07"/>
    <w:rsid w:val="000B5278"/>
    <w:rsid w:val="000C3A23"/>
    <w:rsid w:val="000C66C6"/>
    <w:rsid w:val="000E15E2"/>
    <w:rsid w:val="000E2996"/>
    <w:rsid w:val="00100DCA"/>
    <w:rsid w:val="00106118"/>
    <w:rsid w:val="001521FB"/>
    <w:rsid w:val="001B25CB"/>
    <w:rsid w:val="001C4CE6"/>
    <w:rsid w:val="001D654C"/>
    <w:rsid w:val="00200876"/>
    <w:rsid w:val="00230627"/>
    <w:rsid w:val="00247D42"/>
    <w:rsid w:val="0025147D"/>
    <w:rsid w:val="002975D3"/>
    <w:rsid w:val="002C6515"/>
    <w:rsid w:val="002E236A"/>
    <w:rsid w:val="00327F04"/>
    <w:rsid w:val="00376843"/>
    <w:rsid w:val="003874B7"/>
    <w:rsid w:val="003D726F"/>
    <w:rsid w:val="003D7E51"/>
    <w:rsid w:val="003E5220"/>
    <w:rsid w:val="003F5FB4"/>
    <w:rsid w:val="004100CF"/>
    <w:rsid w:val="00423928"/>
    <w:rsid w:val="004260F0"/>
    <w:rsid w:val="00426549"/>
    <w:rsid w:val="0045260D"/>
    <w:rsid w:val="0047062D"/>
    <w:rsid w:val="004770A2"/>
    <w:rsid w:val="004917E3"/>
    <w:rsid w:val="00492042"/>
    <w:rsid w:val="004B4FAC"/>
    <w:rsid w:val="005125AB"/>
    <w:rsid w:val="00523326"/>
    <w:rsid w:val="00567977"/>
    <w:rsid w:val="00574C6E"/>
    <w:rsid w:val="005B7484"/>
    <w:rsid w:val="005F2C5F"/>
    <w:rsid w:val="005F4A15"/>
    <w:rsid w:val="00627654"/>
    <w:rsid w:val="00672978"/>
    <w:rsid w:val="00674E9E"/>
    <w:rsid w:val="006F0935"/>
    <w:rsid w:val="006F69F6"/>
    <w:rsid w:val="00703302"/>
    <w:rsid w:val="00714E97"/>
    <w:rsid w:val="00717134"/>
    <w:rsid w:val="00725DDC"/>
    <w:rsid w:val="007842CF"/>
    <w:rsid w:val="00785447"/>
    <w:rsid w:val="00793866"/>
    <w:rsid w:val="007B5479"/>
    <w:rsid w:val="007C27D8"/>
    <w:rsid w:val="007D7A4D"/>
    <w:rsid w:val="007E05DC"/>
    <w:rsid w:val="00831C83"/>
    <w:rsid w:val="008437F2"/>
    <w:rsid w:val="00851C44"/>
    <w:rsid w:val="0087658B"/>
    <w:rsid w:val="00880E04"/>
    <w:rsid w:val="00883619"/>
    <w:rsid w:val="00896543"/>
    <w:rsid w:val="008D0E12"/>
    <w:rsid w:val="00904E1B"/>
    <w:rsid w:val="00943376"/>
    <w:rsid w:val="0095348C"/>
    <w:rsid w:val="009B49B5"/>
    <w:rsid w:val="009D30A5"/>
    <w:rsid w:val="009D3750"/>
    <w:rsid w:val="00A56C40"/>
    <w:rsid w:val="00A9487C"/>
    <w:rsid w:val="00AB074A"/>
    <w:rsid w:val="00AB26F7"/>
    <w:rsid w:val="00AC54E3"/>
    <w:rsid w:val="00AC6E17"/>
    <w:rsid w:val="00AD1C7A"/>
    <w:rsid w:val="00AF24CC"/>
    <w:rsid w:val="00AF4BCB"/>
    <w:rsid w:val="00B06E69"/>
    <w:rsid w:val="00B62678"/>
    <w:rsid w:val="00B813C0"/>
    <w:rsid w:val="00B96F1D"/>
    <w:rsid w:val="00B97C82"/>
    <w:rsid w:val="00BA0839"/>
    <w:rsid w:val="00BE1E8F"/>
    <w:rsid w:val="00C06CDC"/>
    <w:rsid w:val="00C13FA8"/>
    <w:rsid w:val="00C67814"/>
    <w:rsid w:val="00C96A03"/>
    <w:rsid w:val="00CA031B"/>
    <w:rsid w:val="00CB56D2"/>
    <w:rsid w:val="00CC257C"/>
    <w:rsid w:val="00CD7535"/>
    <w:rsid w:val="00D10CD4"/>
    <w:rsid w:val="00D51091"/>
    <w:rsid w:val="00D57381"/>
    <w:rsid w:val="00D620D9"/>
    <w:rsid w:val="00DA2A0D"/>
    <w:rsid w:val="00DB01C0"/>
    <w:rsid w:val="00DB0CDA"/>
    <w:rsid w:val="00DD61CC"/>
    <w:rsid w:val="00DE20DB"/>
    <w:rsid w:val="00DE40F6"/>
    <w:rsid w:val="00E00FF0"/>
    <w:rsid w:val="00E032F1"/>
    <w:rsid w:val="00E366D3"/>
    <w:rsid w:val="00E4582F"/>
    <w:rsid w:val="00E50017"/>
    <w:rsid w:val="00E62ECA"/>
    <w:rsid w:val="00ED7148"/>
    <w:rsid w:val="00EF12BD"/>
    <w:rsid w:val="00F21F97"/>
    <w:rsid w:val="00F775DD"/>
    <w:rsid w:val="00F77785"/>
    <w:rsid w:val="00F84272"/>
    <w:rsid w:val="00F84BC2"/>
    <w:rsid w:val="00F908FC"/>
    <w:rsid w:val="00FD121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4912"/>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935"/>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eastAsia="Times New Roman" w:hAnsi="Times New Roman" w:cs="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CommentReference">
    <w:name w:val="annotation reference"/>
    <w:basedOn w:val="DefaultParagraphFont"/>
    <w:uiPriority w:val="99"/>
    <w:semiHidden/>
    <w:unhideWhenUsed/>
    <w:rsid w:val="00FD121C"/>
    <w:rPr>
      <w:sz w:val="16"/>
      <w:szCs w:val="16"/>
    </w:rPr>
  </w:style>
  <w:style w:type="paragraph" w:styleId="CommentText">
    <w:name w:val="annotation text"/>
    <w:basedOn w:val="Normal"/>
    <w:link w:val="CommentTextChar"/>
    <w:uiPriority w:val="99"/>
    <w:semiHidden/>
    <w:unhideWhenUsed/>
    <w:rsid w:val="00FD121C"/>
    <w:rPr>
      <w:sz w:val="20"/>
      <w:szCs w:val="18"/>
    </w:rPr>
  </w:style>
  <w:style w:type="character" w:customStyle="1" w:styleId="CommentTextChar">
    <w:name w:val="Comment Text Char"/>
    <w:basedOn w:val="DefaultParagraphFont"/>
    <w:link w:val="CommentText"/>
    <w:uiPriority w:val="99"/>
    <w:semiHidden/>
    <w:rsid w:val="00FD121C"/>
    <w:rPr>
      <w:sz w:val="20"/>
      <w:szCs w:val="18"/>
    </w:rPr>
  </w:style>
  <w:style w:type="paragraph" w:styleId="CommentSubject">
    <w:name w:val="annotation subject"/>
    <w:basedOn w:val="CommentText"/>
    <w:next w:val="CommentText"/>
    <w:link w:val="CommentSubjectChar"/>
    <w:uiPriority w:val="99"/>
    <w:semiHidden/>
    <w:unhideWhenUsed/>
    <w:rsid w:val="00FD121C"/>
    <w:rPr>
      <w:b/>
      <w:bCs/>
    </w:rPr>
  </w:style>
  <w:style w:type="character" w:customStyle="1" w:styleId="CommentSubjectChar">
    <w:name w:val="Comment Subject Char"/>
    <w:basedOn w:val="CommentTextChar"/>
    <w:link w:val="CommentSubject"/>
    <w:uiPriority w:val="99"/>
    <w:semiHidden/>
    <w:rsid w:val="00FD121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2.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hivdb.stanford.edu/"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1.jp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pubchem.ncbi.nlm.nih.gov/compound/Doravirine" TargetMode="External"/><Relationship Id="rId4" Type="http://schemas.openxmlformats.org/officeDocument/2006/relationships/webSettings" Target="webSettings.xml"/><Relationship Id="rId9" Type="http://schemas.openxmlformats.org/officeDocument/2006/relationships/hyperlink" Target="https://www.rcsb.org/structure/4NC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18</Pages>
  <Words>42291</Words>
  <Characters>241063</Characters>
  <Application>Microsoft Office Word</Application>
  <DocSecurity>0</DocSecurity>
  <Lines>2008</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Robert W. Shafer</cp:lastModifiedBy>
  <cp:revision>3</cp:revision>
  <dcterms:created xsi:type="dcterms:W3CDTF">2026-08-20T20:41:00Z</dcterms:created>
  <dcterms:modified xsi:type="dcterms:W3CDTF">2026-08-24T22:33:00Z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id="sGQf21Pk"/&gt;&lt;style id="http://www.zotero.org/styles/american-chemical-society" hasBibliography="1" bibliographyStyleHasBeenSet="1"/&gt;&lt;prefs&gt;&lt;pref name="fieldType" value="Field"/&gt;&lt;/prefs&gt;&lt;/data&gt;</vt:lpwstr>
  </property>
</Properties>
</file>