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40B8C" w14:textId="08C0B105" w:rsidR="003D726F" w:rsidRPr="004100CF" w:rsidRDefault="003D726F">
      <w:pPr>
        <w:rPr>
          <w:rFonts w:ascii="Times New Roman" w:hAnsi="Times New Roman" w:cs="Times New Roman"/>
          <w:b/>
          <w:bCs/>
          <w:sz w:val="36"/>
          <w:szCs w:val="28"/>
        </w:rPr>
      </w:pPr>
      <w:r w:rsidRPr="004100CF">
        <w:rPr>
          <w:rFonts w:ascii="Times New Roman" w:hAnsi="Times New Roman" w:cs="Times New Roman"/>
          <w:b/>
          <w:bCs/>
          <w:sz w:val="32"/>
          <w:szCs w:val="24"/>
        </w:rPr>
        <w:t>Molecular Simulation of Doravirine Resistance in HIV-1 Reverse Transcriptase</w:t>
      </w:r>
    </w:p>
    <w:p w14:paraId="09BBE4FF" w14:textId="77777777" w:rsidR="003D726F" w:rsidRPr="004100CF" w:rsidRDefault="003D726F">
      <w:pPr>
        <w:rPr>
          <w:rFonts w:ascii="Times New Roman" w:hAnsi="Times New Roman" w:cs="Times New Roman"/>
          <w:b/>
          <w:bCs/>
          <w:sz w:val="28"/>
          <w:szCs w:val="22"/>
        </w:rPr>
      </w:pPr>
    </w:p>
    <w:p w14:paraId="60E8EB5D" w14:textId="77777777" w:rsidR="003D726F" w:rsidRPr="004100CF" w:rsidRDefault="003D726F" w:rsidP="003D726F">
      <w:pPr>
        <w:rPr>
          <w:rFonts w:ascii="Times New Roman" w:hAnsi="Times New Roman" w:cs="Times New Roman"/>
          <w:szCs w:val="24"/>
        </w:rPr>
      </w:pPr>
      <w:r w:rsidRPr="004100CF">
        <w:rPr>
          <w:rFonts w:ascii="Times New Roman" w:hAnsi="Times New Roman" w:cs="Times New Roman"/>
          <w:szCs w:val="24"/>
        </w:rPr>
        <w:t>Rohit Satija</w:t>
      </w:r>
      <w:r w:rsidRPr="004100CF">
        <w:rPr>
          <w:rFonts w:ascii="Times New Roman" w:hAnsi="Times New Roman" w:cs="Times New Roman"/>
          <w:szCs w:val="24"/>
          <w:vertAlign w:val="superscript"/>
        </w:rPr>
        <w:t>1</w:t>
      </w:r>
      <w:r w:rsidRPr="004100CF">
        <w:rPr>
          <w:rFonts w:ascii="Times New Roman" w:hAnsi="Times New Roman" w:cs="Times New Roman"/>
          <w:szCs w:val="24"/>
        </w:rPr>
        <w:t>, Kaiming Tao</w:t>
      </w:r>
      <w:r w:rsidRPr="004100CF">
        <w:rPr>
          <w:rFonts w:ascii="Times New Roman" w:hAnsi="Times New Roman" w:cs="Times New Roman"/>
          <w:szCs w:val="24"/>
          <w:vertAlign w:val="superscript"/>
        </w:rPr>
        <w:t>1</w:t>
      </w:r>
      <w:r w:rsidRPr="004100CF">
        <w:rPr>
          <w:rFonts w:ascii="Times New Roman" w:hAnsi="Times New Roman" w:cs="Times New Roman"/>
          <w:szCs w:val="24"/>
        </w:rPr>
        <w:t>, Robert W. Shafer</w:t>
      </w:r>
      <w:r w:rsidRPr="004100CF">
        <w:rPr>
          <w:rFonts w:ascii="Times New Roman" w:hAnsi="Times New Roman" w:cs="Times New Roman"/>
          <w:szCs w:val="24"/>
          <w:vertAlign w:val="superscript"/>
        </w:rPr>
        <w:t>1*</w:t>
      </w:r>
    </w:p>
    <w:p w14:paraId="629A3B5B" w14:textId="77777777" w:rsidR="003D726F" w:rsidRPr="004100CF" w:rsidRDefault="003D726F" w:rsidP="003D726F">
      <w:pPr>
        <w:rPr>
          <w:rFonts w:ascii="Times New Roman" w:hAnsi="Times New Roman" w:cs="Times New Roman"/>
          <w:szCs w:val="24"/>
        </w:rPr>
      </w:pPr>
      <w:r w:rsidRPr="004100CF">
        <w:rPr>
          <w:rFonts w:ascii="Times New Roman" w:hAnsi="Times New Roman" w:cs="Times New Roman"/>
          <w:szCs w:val="24"/>
          <w:vertAlign w:val="superscript"/>
        </w:rPr>
        <w:t>1</w:t>
      </w:r>
      <w:r w:rsidRPr="004100CF">
        <w:rPr>
          <w:rFonts w:ascii="Times New Roman" w:hAnsi="Times New Roman" w:cs="Times New Roman"/>
          <w:szCs w:val="24"/>
        </w:rPr>
        <w:t>Division of Infectious Diseases, School of Medicine, Stanford University, Stanford, CA, USA</w:t>
      </w:r>
    </w:p>
    <w:p w14:paraId="51E3F377" w14:textId="77777777" w:rsidR="003D726F" w:rsidRPr="004100CF" w:rsidRDefault="003D726F" w:rsidP="003D726F">
      <w:pPr>
        <w:rPr>
          <w:rFonts w:ascii="Times New Roman" w:hAnsi="Times New Roman" w:cs="Times New Roman"/>
          <w:szCs w:val="24"/>
        </w:rPr>
      </w:pPr>
      <w:r w:rsidRPr="004100CF">
        <w:rPr>
          <w:rFonts w:ascii="Times New Roman" w:hAnsi="Times New Roman" w:cs="Times New Roman"/>
          <w:szCs w:val="24"/>
        </w:rPr>
        <w:t>*Corresponding author (rshafer@stanford.edu)</w:t>
      </w:r>
    </w:p>
    <w:p w14:paraId="7AAC55A2" w14:textId="77777777" w:rsidR="003D726F" w:rsidRPr="004100CF" w:rsidRDefault="003D726F">
      <w:pPr>
        <w:rPr>
          <w:rFonts w:ascii="Times New Roman" w:hAnsi="Times New Roman" w:cs="Times New Roman"/>
          <w:b/>
          <w:bCs/>
          <w:sz w:val="28"/>
          <w:szCs w:val="22"/>
        </w:rPr>
      </w:pPr>
    </w:p>
    <w:p w14:paraId="55124C1C" w14:textId="26BBB282" w:rsidR="00106118" w:rsidRPr="004100CF" w:rsidRDefault="00831C83" w:rsidP="00E4582F">
      <w:pPr>
        <w:spacing w:after="240"/>
        <w:rPr>
          <w:rFonts w:ascii="Times New Roman" w:hAnsi="Times New Roman" w:cs="Times New Roman"/>
          <w:b/>
          <w:bCs/>
          <w:sz w:val="28"/>
          <w:szCs w:val="22"/>
        </w:rPr>
      </w:pPr>
      <w:r w:rsidRPr="004100CF">
        <w:rPr>
          <w:rFonts w:ascii="Times New Roman" w:hAnsi="Times New Roman" w:cs="Times New Roman"/>
          <w:b/>
          <w:bCs/>
          <w:sz w:val="28"/>
          <w:szCs w:val="22"/>
        </w:rPr>
        <w:t>Abstract</w:t>
      </w:r>
    </w:p>
    <w:p w14:paraId="5DABE38D" w14:textId="77777777" w:rsidR="00E4582F" w:rsidRDefault="003D726F" w:rsidP="004770A2">
      <w:pPr>
        <w:rPr>
          <w:rFonts w:ascii="Times New Roman" w:hAnsi="Times New Roman" w:cs="Times New Roman"/>
          <w:b/>
          <w:bCs/>
          <w:u w:val="single"/>
        </w:rPr>
      </w:pPr>
      <w:r w:rsidRPr="004100CF">
        <w:rPr>
          <w:rFonts w:ascii="Times New Roman" w:hAnsi="Times New Roman" w:cs="Times New Roman"/>
          <w:b/>
          <w:bCs/>
          <w:u w:val="single"/>
        </w:rPr>
        <w:t>Background</w:t>
      </w:r>
    </w:p>
    <w:p w14:paraId="3166E3C3" w14:textId="39FDEE4D" w:rsidR="003D726F" w:rsidRPr="004100CF" w:rsidRDefault="004770A2" w:rsidP="004770A2">
      <w:pPr>
        <w:rPr>
          <w:rFonts w:ascii="Times New Roman" w:hAnsi="Times New Roman" w:cs="Times New Roman"/>
        </w:rPr>
      </w:pPr>
      <w:r w:rsidRPr="004100CF">
        <w:rPr>
          <w:rFonts w:ascii="Times New Roman" w:hAnsi="Times New Roman" w:cs="Times New Roman"/>
        </w:rPr>
        <w:t xml:space="preserve">Doravirine (DOR) is a second-generation non-nucleoside reverse transcriptase inhibitor (NNRTI) that retains activity against several common NNRTI resistance mutations, but phenotypic susceptibility data remain limited for many DOR-associated genotypes. </w:t>
      </w:r>
    </w:p>
    <w:p w14:paraId="527DE0C6" w14:textId="77777777" w:rsidR="003D726F" w:rsidRPr="004100CF" w:rsidRDefault="003D726F" w:rsidP="004770A2">
      <w:pPr>
        <w:rPr>
          <w:rFonts w:ascii="Times New Roman" w:hAnsi="Times New Roman" w:cs="Times New Roman"/>
        </w:rPr>
      </w:pPr>
    </w:p>
    <w:p w14:paraId="3DF12F7B" w14:textId="77777777" w:rsidR="00E4582F" w:rsidRDefault="003D726F" w:rsidP="004770A2">
      <w:pPr>
        <w:rPr>
          <w:rFonts w:ascii="Times New Roman" w:hAnsi="Times New Roman" w:cs="Times New Roman"/>
          <w:b/>
          <w:bCs/>
          <w:u w:val="single"/>
        </w:rPr>
      </w:pPr>
      <w:r w:rsidRPr="004100CF">
        <w:rPr>
          <w:rFonts w:ascii="Times New Roman" w:hAnsi="Times New Roman" w:cs="Times New Roman"/>
          <w:b/>
          <w:bCs/>
          <w:u w:val="single"/>
        </w:rPr>
        <w:t>Methods</w:t>
      </w:r>
    </w:p>
    <w:p w14:paraId="6CF60641" w14:textId="5FE3B705" w:rsidR="003D726F" w:rsidRPr="004100CF" w:rsidRDefault="004770A2" w:rsidP="004770A2">
      <w:pPr>
        <w:rPr>
          <w:rFonts w:ascii="Times New Roman" w:hAnsi="Times New Roman" w:cs="Times New Roman"/>
        </w:rPr>
      </w:pPr>
      <w:r w:rsidRPr="004100CF">
        <w:rPr>
          <w:rFonts w:ascii="Times New Roman" w:hAnsi="Times New Roman" w:cs="Times New Roman"/>
        </w:rPr>
        <w:t xml:space="preserve">We investigated whether physics-based molecular simulations of HIV-1 reverse transcriptase (RT) could provide an </w:t>
      </w:r>
      <w:r w:rsidRPr="004100CF">
        <w:rPr>
          <w:rFonts w:ascii="Times New Roman" w:hAnsi="Times New Roman" w:cs="Times New Roman"/>
          <w:i/>
          <w:iCs/>
        </w:rPr>
        <w:t>in silico</w:t>
      </w:r>
      <w:r w:rsidRPr="004100CF">
        <w:rPr>
          <w:rFonts w:ascii="Times New Roman" w:hAnsi="Times New Roman" w:cs="Times New Roman"/>
        </w:rPr>
        <w:t xml:space="preserve"> framework for interpreting DOR resistance. We assembled a curated panel of 18 DOR-associated genotypes spanning susceptible, resistant, and uncertain phenotypes and performed all-atom, explicit-solvent molecular dynamics simulations of wild-type and mutant RT–DOR complexes. </w:t>
      </w:r>
      <w:r w:rsidR="003D726F" w:rsidRPr="004100CF">
        <w:rPr>
          <w:rFonts w:ascii="Times New Roman" w:hAnsi="Times New Roman" w:cs="Times New Roman"/>
        </w:rPr>
        <w:t xml:space="preserve">Mutation-induced changes in DOR binding were estimated using nonequilibrium alchemical free-energy perturbation (FEP; </w:t>
      </w:r>
      <w:proofErr w:type="spellStart"/>
      <w:r w:rsidR="003D726F" w:rsidRPr="004100CF">
        <w:rPr>
          <w:rFonts w:ascii="Times New Roman" w:hAnsi="Times New Roman" w:cs="Times New Roman"/>
        </w:rPr>
        <w:t>ΔΔG</w:t>
      </w:r>
      <w:r w:rsidR="003D726F" w:rsidRPr="004100CF">
        <w:rPr>
          <w:rFonts w:ascii="Times New Roman" w:hAnsi="Times New Roman" w:cs="Times New Roman"/>
          <w:vertAlign w:val="subscript"/>
        </w:rPr>
        <w:t>bind</w:t>
      </w:r>
      <w:proofErr w:type="spellEnd"/>
      <w:r w:rsidR="003D726F" w:rsidRPr="004100CF">
        <w:rPr>
          <w:rFonts w:ascii="Times New Roman" w:hAnsi="Times New Roman" w:cs="Times New Roman"/>
        </w:rPr>
        <w:t>) and wild-type-referenced MM/GBSA interaction energies (</w:t>
      </w:r>
      <w:proofErr w:type="spellStart"/>
      <w:r w:rsidR="003D726F" w:rsidRPr="004100CF">
        <w:rPr>
          <w:rFonts w:ascii="Times New Roman" w:hAnsi="Times New Roman" w:cs="Times New Roman"/>
        </w:rPr>
        <w:t>ΔΔE</w:t>
      </w:r>
      <w:r w:rsidR="003D726F" w:rsidRPr="004100CF">
        <w:rPr>
          <w:rFonts w:ascii="Times New Roman" w:hAnsi="Times New Roman" w:cs="Times New Roman"/>
          <w:vertAlign w:val="subscript"/>
        </w:rPr>
        <w:t>Total</w:t>
      </w:r>
      <w:proofErr w:type="spellEnd"/>
      <w:r w:rsidR="003D726F" w:rsidRPr="004100CF">
        <w:rPr>
          <w:rFonts w:ascii="Times New Roman" w:hAnsi="Times New Roman" w:cs="Times New Roman"/>
        </w:rPr>
        <w:t>), and compared with experimentally measured fold-changes in DOR susceptibility.</w:t>
      </w:r>
    </w:p>
    <w:p w14:paraId="7AC811AC" w14:textId="77777777" w:rsidR="003D726F" w:rsidRPr="004100CF" w:rsidRDefault="003D726F" w:rsidP="004770A2">
      <w:pPr>
        <w:rPr>
          <w:rFonts w:ascii="Times New Roman" w:hAnsi="Times New Roman" w:cs="Times New Roman"/>
        </w:rPr>
      </w:pPr>
    </w:p>
    <w:p w14:paraId="1F62F1F5" w14:textId="77777777" w:rsidR="00E4582F" w:rsidRDefault="003D726F" w:rsidP="004770A2">
      <w:pPr>
        <w:rPr>
          <w:rFonts w:ascii="Times New Roman" w:hAnsi="Times New Roman" w:cs="Times New Roman"/>
          <w:b/>
          <w:bCs/>
          <w:u w:val="single"/>
        </w:rPr>
      </w:pPr>
      <w:r w:rsidRPr="004100CF">
        <w:rPr>
          <w:rFonts w:ascii="Times New Roman" w:hAnsi="Times New Roman" w:cs="Times New Roman"/>
          <w:b/>
          <w:bCs/>
          <w:u w:val="single"/>
        </w:rPr>
        <w:t>Results</w:t>
      </w:r>
    </w:p>
    <w:p w14:paraId="28BB0749" w14:textId="67360B78" w:rsidR="003D726F" w:rsidRPr="004100CF" w:rsidRDefault="004770A2" w:rsidP="004770A2">
      <w:pPr>
        <w:rPr>
          <w:rFonts w:ascii="Times New Roman" w:hAnsi="Times New Roman" w:cs="Times New Roman"/>
        </w:rPr>
      </w:pPr>
      <w:r w:rsidRPr="004100CF">
        <w:rPr>
          <w:rFonts w:ascii="Times New Roman" w:hAnsi="Times New Roman" w:cs="Times New Roman"/>
        </w:rPr>
        <w:t xml:space="preserve">FEP predicted little effect on DOR binding for 3 of 4 susceptible mutations and reduced binding for 7 of 9 resistant genotypes. Across all 18 genotypes, however, </w:t>
      </w:r>
      <w:proofErr w:type="spellStart"/>
      <w:r w:rsidR="003D726F" w:rsidRPr="004100CF">
        <w:rPr>
          <w:rFonts w:ascii="Times New Roman" w:hAnsi="Times New Roman" w:cs="Times New Roman"/>
        </w:rPr>
        <w:t>ΔΔG</w:t>
      </w:r>
      <w:r w:rsidR="003D726F" w:rsidRPr="004100CF">
        <w:rPr>
          <w:rFonts w:ascii="Times New Roman" w:hAnsi="Times New Roman" w:cs="Times New Roman"/>
          <w:vertAlign w:val="subscript"/>
        </w:rPr>
        <w:t>bind</w:t>
      </w:r>
      <w:proofErr w:type="spellEnd"/>
      <w:r w:rsidR="003D726F" w:rsidRPr="004100CF">
        <w:rPr>
          <w:rFonts w:ascii="Times New Roman" w:hAnsi="Times New Roman" w:cs="Times New Roman"/>
        </w:rPr>
        <w:t xml:space="preserve"> </w:t>
      </w:r>
      <w:r w:rsidRPr="004100CF">
        <w:rPr>
          <w:rFonts w:ascii="Times New Roman" w:hAnsi="Times New Roman" w:cs="Times New Roman"/>
        </w:rPr>
        <w:t>did not significantly correlate with log</w:t>
      </w:r>
      <w:r w:rsidR="003D726F" w:rsidRPr="004100CF">
        <w:rPr>
          <w:rFonts w:ascii="Times New Roman" w:hAnsi="Times New Roman" w:cs="Times New Roman"/>
          <w:vertAlign w:val="subscript"/>
        </w:rPr>
        <w:t>10</w:t>
      </w:r>
      <w:r w:rsidRPr="004100CF">
        <w:rPr>
          <w:rFonts w:ascii="Times New Roman" w:hAnsi="Times New Roman" w:cs="Times New Roman"/>
        </w:rPr>
        <w:t xml:space="preserve">-transformed susceptibility fold-change (R² = 0.09, </w:t>
      </w:r>
      <w:r w:rsidRPr="004100CF">
        <w:rPr>
          <w:rFonts w:ascii="Times New Roman" w:hAnsi="Times New Roman" w:cs="Times New Roman"/>
          <w:i/>
          <w:iCs/>
        </w:rPr>
        <w:t>p</w:t>
      </w:r>
      <w:r w:rsidRPr="004100CF">
        <w:rPr>
          <w:rFonts w:ascii="Times New Roman" w:hAnsi="Times New Roman" w:cs="Times New Roman"/>
        </w:rPr>
        <w:t xml:space="preserve"> = 0.21). Among genotypes with established susceptible or resistant phenotypes, a weak association was observed (R² = 0.26, </w:t>
      </w:r>
      <w:r w:rsidRPr="004100CF">
        <w:rPr>
          <w:rFonts w:ascii="Times New Roman" w:hAnsi="Times New Roman" w:cs="Times New Roman"/>
          <w:i/>
          <w:iCs/>
        </w:rPr>
        <w:t>p</w:t>
      </w:r>
      <w:r w:rsidRPr="004100CF">
        <w:rPr>
          <w:rFonts w:ascii="Times New Roman" w:hAnsi="Times New Roman" w:cs="Times New Roman"/>
        </w:rPr>
        <w:t xml:space="preserve"> = 0.07). MM/GBSA identified unfavorable energetic changes for 8 of 9 resistant genotypes but only 1 of 4 susceptible mutations as low-impact and showed no correlation with experimental susceptibility (R² = 0.02, </w:t>
      </w:r>
      <w:r w:rsidRPr="004100CF">
        <w:rPr>
          <w:rFonts w:ascii="Times New Roman" w:hAnsi="Times New Roman" w:cs="Times New Roman"/>
          <w:i/>
          <w:iCs/>
        </w:rPr>
        <w:t>p</w:t>
      </w:r>
      <w:r w:rsidRPr="004100CF">
        <w:rPr>
          <w:rFonts w:ascii="Times New Roman" w:hAnsi="Times New Roman" w:cs="Times New Roman"/>
        </w:rPr>
        <w:t xml:space="preserve"> = 0.55). </w:t>
      </w:r>
      <w:proofErr w:type="spellStart"/>
      <w:r w:rsidR="003D726F" w:rsidRPr="004100CF">
        <w:rPr>
          <w:rFonts w:ascii="Times New Roman" w:hAnsi="Times New Roman" w:cs="Times New Roman"/>
        </w:rPr>
        <w:t>ΔΔG</w:t>
      </w:r>
      <w:r w:rsidR="003D726F" w:rsidRPr="004100CF">
        <w:rPr>
          <w:rFonts w:ascii="Times New Roman" w:hAnsi="Times New Roman" w:cs="Times New Roman"/>
          <w:vertAlign w:val="subscript"/>
        </w:rPr>
        <w:t>bind</w:t>
      </w:r>
      <w:proofErr w:type="spellEnd"/>
      <w:r w:rsidR="003D726F" w:rsidRPr="004100CF">
        <w:rPr>
          <w:rFonts w:ascii="Times New Roman" w:hAnsi="Times New Roman" w:cs="Times New Roman"/>
        </w:rPr>
        <w:t xml:space="preserve"> </w:t>
      </w:r>
      <w:r w:rsidRPr="004100CF">
        <w:rPr>
          <w:rFonts w:ascii="Times New Roman" w:hAnsi="Times New Roman" w:cs="Times New Roman"/>
        </w:rPr>
        <w:t xml:space="preserve">and </w:t>
      </w:r>
      <w:proofErr w:type="spellStart"/>
      <w:r w:rsidR="003D726F" w:rsidRPr="004100CF">
        <w:rPr>
          <w:rFonts w:ascii="Times New Roman" w:hAnsi="Times New Roman" w:cs="Times New Roman"/>
        </w:rPr>
        <w:t>ΔΔE</w:t>
      </w:r>
      <w:r w:rsidR="003D726F" w:rsidRPr="004100CF">
        <w:rPr>
          <w:rFonts w:ascii="Times New Roman" w:hAnsi="Times New Roman" w:cs="Times New Roman"/>
          <w:vertAlign w:val="subscript"/>
        </w:rPr>
        <w:t>Total</w:t>
      </w:r>
      <w:proofErr w:type="spellEnd"/>
      <w:r w:rsidR="003D726F" w:rsidRPr="004100CF">
        <w:rPr>
          <w:rFonts w:ascii="Times New Roman" w:hAnsi="Times New Roman" w:cs="Times New Roman"/>
        </w:rPr>
        <w:t xml:space="preserve"> </w:t>
      </w:r>
      <w:r w:rsidRPr="004100CF">
        <w:rPr>
          <w:rFonts w:ascii="Times New Roman" w:hAnsi="Times New Roman" w:cs="Times New Roman"/>
        </w:rPr>
        <w:t xml:space="preserve">were themselves modestly correlated (R² = 0.25, </w:t>
      </w:r>
      <w:r w:rsidRPr="004100CF">
        <w:rPr>
          <w:rFonts w:ascii="Times New Roman" w:hAnsi="Times New Roman" w:cs="Times New Roman"/>
          <w:i/>
          <w:iCs/>
        </w:rPr>
        <w:t>p</w:t>
      </w:r>
      <w:r w:rsidRPr="004100CF">
        <w:rPr>
          <w:rFonts w:ascii="Times New Roman" w:hAnsi="Times New Roman" w:cs="Times New Roman"/>
        </w:rPr>
        <w:t xml:space="preserve"> = 0.03), with van der Waals interactions frequently dominating MM/GBSA energetic shifts. </w:t>
      </w:r>
    </w:p>
    <w:p w14:paraId="3D7A58BF" w14:textId="77777777" w:rsidR="003D726F" w:rsidRPr="004100CF" w:rsidRDefault="003D726F" w:rsidP="004770A2">
      <w:pPr>
        <w:rPr>
          <w:rFonts w:ascii="Times New Roman" w:hAnsi="Times New Roman" w:cs="Times New Roman"/>
        </w:rPr>
      </w:pPr>
    </w:p>
    <w:p w14:paraId="6467DDB4" w14:textId="77777777" w:rsidR="00E4582F" w:rsidRDefault="003D726F" w:rsidP="004770A2">
      <w:pPr>
        <w:rPr>
          <w:rFonts w:ascii="Times New Roman" w:hAnsi="Times New Roman" w:cs="Times New Roman"/>
          <w:b/>
          <w:bCs/>
          <w:u w:val="single"/>
        </w:rPr>
      </w:pPr>
      <w:r w:rsidRPr="004100CF">
        <w:rPr>
          <w:rFonts w:ascii="Times New Roman" w:hAnsi="Times New Roman" w:cs="Times New Roman"/>
          <w:b/>
          <w:bCs/>
          <w:u w:val="single"/>
        </w:rPr>
        <w:t>Conclusion</w:t>
      </w:r>
    </w:p>
    <w:p w14:paraId="6304EFBA" w14:textId="080289A9" w:rsidR="004770A2" w:rsidRPr="004100CF" w:rsidRDefault="004770A2" w:rsidP="004770A2">
      <w:pPr>
        <w:rPr>
          <w:rFonts w:ascii="Times New Roman" w:hAnsi="Times New Roman" w:cs="Times New Roman"/>
        </w:rPr>
      </w:pPr>
      <w:r w:rsidRPr="004100CF">
        <w:rPr>
          <w:rFonts w:ascii="Times New Roman" w:hAnsi="Times New Roman" w:cs="Times New Roman"/>
        </w:rPr>
        <w:t>These findings demonstrate that relative binding free-energy calculations can recover broad resistance-associated energetic trends for many well-characterized DOR genotypes, but binding energetics alone are insufficient to quantitatively reproduce phenotypic drug susceptibility. More comprehensive computational models incorporating conformational dynamics, enzyme function, and viral fitness will likely be required for predictive interpretation of HIV-1 drug resistance.</w:t>
      </w:r>
    </w:p>
    <w:p w14:paraId="57464158" w14:textId="77777777" w:rsidR="00831C83" w:rsidRPr="004100CF" w:rsidRDefault="00831C83">
      <w:pPr>
        <w:rPr>
          <w:rFonts w:ascii="Times New Roman" w:hAnsi="Times New Roman" w:cs="Times New Roman"/>
        </w:rPr>
      </w:pPr>
    </w:p>
    <w:p w14:paraId="3711A5D4" w14:textId="77777777" w:rsidR="000E15E2" w:rsidRPr="004100CF" w:rsidRDefault="000E15E2">
      <w:pPr>
        <w:rPr>
          <w:rFonts w:ascii="Times New Roman" w:hAnsi="Times New Roman" w:cs="Times New Roman"/>
        </w:rPr>
      </w:pPr>
    </w:p>
    <w:p w14:paraId="768B8CDC" w14:textId="77777777" w:rsidR="000E15E2" w:rsidRPr="004100CF" w:rsidRDefault="000E15E2">
      <w:pPr>
        <w:rPr>
          <w:rFonts w:ascii="Times New Roman" w:hAnsi="Times New Roman" w:cs="Times New Roman"/>
        </w:rPr>
      </w:pPr>
    </w:p>
    <w:p w14:paraId="4AD91FCE" w14:textId="77777777" w:rsidR="003D726F" w:rsidRPr="004100CF" w:rsidRDefault="003D726F">
      <w:pPr>
        <w:rPr>
          <w:rFonts w:ascii="Times New Roman" w:hAnsi="Times New Roman" w:cs="Times New Roman"/>
        </w:rPr>
      </w:pPr>
    </w:p>
    <w:p w14:paraId="371CA258" w14:textId="3330C091" w:rsidR="00831C83" w:rsidRPr="004100CF" w:rsidRDefault="00831C83">
      <w:pPr>
        <w:rPr>
          <w:rFonts w:ascii="Times New Roman" w:hAnsi="Times New Roman" w:cs="Times New Roman"/>
          <w:b/>
          <w:bCs/>
          <w:sz w:val="28"/>
          <w:szCs w:val="22"/>
        </w:rPr>
      </w:pPr>
      <w:r w:rsidRPr="004100CF">
        <w:rPr>
          <w:rFonts w:ascii="Times New Roman" w:hAnsi="Times New Roman" w:cs="Times New Roman"/>
          <w:b/>
          <w:bCs/>
          <w:sz w:val="28"/>
          <w:szCs w:val="22"/>
        </w:rPr>
        <w:lastRenderedPageBreak/>
        <w:t>Introduction</w:t>
      </w:r>
    </w:p>
    <w:p w14:paraId="2CE2D61A" w14:textId="475B0498" w:rsidR="00C96A03" w:rsidRPr="004100CF" w:rsidRDefault="00C96A03" w:rsidP="00C96A03">
      <w:pPr>
        <w:spacing w:after="240"/>
        <w:rPr>
          <w:rFonts w:ascii="Times New Roman" w:hAnsi="Times New Roman" w:cs="Times New Roman"/>
          <w:szCs w:val="24"/>
        </w:rPr>
      </w:pPr>
      <w:r w:rsidRPr="004100CF">
        <w:rPr>
          <w:rFonts w:ascii="Times New Roman" w:hAnsi="Times New Roman" w:cs="Times New Roman"/>
          <w:szCs w:val="24"/>
        </w:rPr>
        <w:t>NNRTIs noncompetitively inhibit the HIV-1 Reverse Transcriptase (RT) enzyme by binding to the allosteric NNRTI binding pocket (NNIBP),</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{"citationID":"UvQEUgqP","properties":{"unsorted":false,"formattedCitation":"\\super 1,2\\nosupersub{}","plainCitation":"1,2","noteIndex":0},"citationItems":[{"id":184,"uris":["http://zotero.org/users/19404620/items/HVXGWQFU"],"itemData":{"id":184,"type":"article-journal","abstract":"A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1,2</w:t>
      </w:r>
      <w:r w:rsidRPr="004100CF">
        <w:rPr>
          <w:rFonts w:ascii="Times New Roman" w:hAnsi="Times New Roman" w:cs="Times New Roman"/>
          <w:szCs w:val="24"/>
        </w:rPr>
        <w:fldChar w:fldCharType="end"/>
      </w:r>
      <w:r w:rsidRPr="004100CF">
        <w:rPr>
          <w:rFonts w:ascii="Times New Roman" w:hAnsi="Times New Roman" w:cs="Times New Roman"/>
          <w:szCs w:val="24"/>
        </w:rPr>
        <w:t>. The NNIBP is ~10Å from the RT DNA polymerase active site and forms only upon NNRTI binding, via an induced conformational change in the RT p66 subunit.</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{"citationID":"vB520owO","properties":{"unsorted":false,"formattedCitation":"\\super 3,4\\nosupersub{}","plainCitation":"3,4","noteIndex":0},"citationItems":[{"id":188,"uris":["http://zotero.org/users/19404620/items/ZWDCU5HD"],"itemData":{"id":188,"type":"article-journal","abstract":"The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3,4</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Since the NNIBP can more readily accommodate mutations than the polymerase active site without a significant cost to enzyme fitness, emergence of NNRTI resistance occurs commonly if virological suppression is not complete in patients receiving an NNRTI.</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{"citationID":"8iPYHvpr","properties":{"unsorted":false,"formattedCitation":"\\super 5,6\\nosupersub{}","plainCitation":"5,6","noteIndex":0},"citationItems":[{"id":190,"uris":["http://zotero.org/users/19404620/items/8WXHTANG"],"itemData":{"id":190,"type":"article-journal","abstract":"The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5,6</w:t>
      </w:r>
      <w:r w:rsidRPr="004100CF">
        <w:rPr>
          <w:rFonts w:ascii="Times New Roman" w:hAnsi="Times New Roman" w:cs="Times New Roman"/>
          <w:szCs w:val="24"/>
        </w:rPr>
        <w:fldChar w:fldCharType="end"/>
      </w:r>
    </w:p>
    <w:p w14:paraId="153C7D5D" w14:textId="20A51D8C" w:rsidR="00C96A03" w:rsidRPr="004100CF" w:rsidRDefault="00C96A03" w:rsidP="00C96A03">
      <w:pPr>
        <w:spacing w:after="240"/>
        <w:rPr>
          <w:rFonts w:ascii="Times New Roman" w:hAnsi="Times New Roman" w:cs="Times New Roman"/>
          <w:szCs w:val="24"/>
        </w:rPr>
      </w:pPr>
      <w:r w:rsidRPr="004100CF">
        <w:rPr>
          <w:rFonts w:ascii="Times New Roman" w:hAnsi="Times New Roman" w:cs="Times New Roman"/>
          <w:szCs w:val="24"/>
        </w:rPr>
        <w:t xml:space="preserve">NNRTI resistance mutations </w:t>
      </w:r>
      <w:r w:rsidR="00574C6E" w:rsidRPr="004100CF">
        <w:rPr>
          <w:rFonts w:ascii="Times New Roman" w:hAnsi="Times New Roman" w:cs="Times New Roman"/>
          <w:szCs w:val="24"/>
        </w:rPr>
        <w:t>can</w:t>
      </w:r>
      <w:r w:rsidRPr="004100CF">
        <w:rPr>
          <w:rFonts w:ascii="Times New Roman" w:hAnsi="Times New Roman" w:cs="Times New Roman"/>
          <w:szCs w:val="24"/>
        </w:rPr>
        <w:t xml:space="preserve"> decrease HIV-1 susceptibility by affecting interactions between the inhibitor and the NNIBP.</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{"citationID":"l7qHgsYU","properties":{"unsorted":false,"formattedCitation":"\\super 7\\nosupersub{}","plainCitation":"7","noteIndex":0},"citationItems":[{"id":193,"uris":["http://zotero.org/users/19404620/items/HGGZVZL2"],"itemData":{"id":193,"type":"article-journal","abstract":"The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7</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K103N alters allosteric RT dynamics and permit a productive RT-template/primer-dNTP complex despite NNRTI binding</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{"citationID":"PYosE16Q","properties":{"unsorted":false,"formattedCitation":"\\super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8</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or stabilize the closed pocket form of RT, thus decreasing NNRTI binding affinity.</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{"citationID":"JTzsE6Jl","properties":{"unsorted":false,"formattedCitation":"\\super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9</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Y181C removes critical aromatic ring stacking interactions between NNRTIs and the NNIBP.</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{"citationID":"GcfR1wOu","properties":{"unsorted":false,"formattedCitation":"\\super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10,11</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G190A adds a bulge in a compact binding region, causing steric conflict with the NNRTI.</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{"citationID":"TNU6oekF","properties":{"unsorted":false,"formattedCitation":"\\super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6</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The second generation NNRTIs Etravirine (ETR) and Rilpivirine (RPV) counteract such common NNRTI resistance mutations by introducing positional and conformational flexibility.</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{"citationID":"xp7Ub5B9","properties":{"unsorted":false,"formattedCitation":"\\super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sidRPr="004100CF">
        <w:rPr>
          <w:rFonts w:ascii="Cambria Math" w:hAnsi="Cambria Math" w:cs="Cambria Math"/>
          <w:szCs w:val="24"/>
        </w:rPr>
        <w:instrText>∼</w:instrText>
      </w:r>
      <w:r w:rsidRPr="004100CF">
        <w:rPr>
          <w:rFonts w:ascii="Times New Roman" w:hAnsi="Times New Roman" w:cs="Times New Roman"/>
          <w:szCs w:val="24"/>
        </w:rPr>
        <w:instrText xml:space="preserve">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sidRPr="004100CF">
        <w:rPr>
          <w:rFonts w:ascii="Cambria Math" w:hAnsi="Cambria Math" w:cs="Cambria Math"/>
          <w:szCs w:val="24"/>
        </w:rPr>
        <w:instrText>∼</w:instrText>
      </w:r>
      <w:r w:rsidRPr="004100CF">
        <w:rPr>
          <w:rFonts w:ascii="Times New Roman" w:hAnsi="Times New Roman" w:cs="Times New Roman"/>
          <w:szCs w:val="24"/>
        </w:rPr>
        <w:instrText xml:space="preserve">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12,13</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The flexible structures of ETR and RPV allow them to rotate within the NNIBP, permitting multiple interactions with NNIBP residues even in the presence of NNRTI mutations and thereby allowing them to retain activity against certain mutant viruses.</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{"citationID":"7lH4tafa","properties":{"unsorted":false,"formattedCitation":"\\super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6</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w:t>
      </w:r>
    </w:p>
    <w:p w14:paraId="4CA20B10" w14:textId="77777777" w:rsidR="00C96A03" w:rsidRPr="004100CF" w:rsidRDefault="00C96A03" w:rsidP="00C96A03">
      <w:pPr>
        <w:spacing w:after="240"/>
        <w:rPr>
          <w:rFonts w:ascii="Times New Roman" w:hAnsi="Times New Roman" w:cs="Times New Roman"/>
          <w:szCs w:val="24"/>
        </w:rPr>
      </w:pPr>
      <w:r w:rsidRPr="004100CF">
        <w:rPr>
          <w:rFonts w:ascii="Times New Roman" w:hAnsi="Times New Roman" w:cs="Times New Roman"/>
          <w:szCs w:val="24"/>
        </w:rPr>
        <w:t xml:space="preserve">DOR was designed by introducing cyclic constraints in a novel class of </w:t>
      </w:r>
      <w:proofErr w:type="spellStart"/>
      <w:r w:rsidRPr="004100CF">
        <w:rPr>
          <w:rFonts w:ascii="Times New Roman" w:hAnsi="Times New Roman" w:cs="Times New Roman"/>
          <w:szCs w:val="24"/>
        </w:rPr>
        <w:t>diaryl</w:t>
      </w:r>
      <w:proofErr w:type="spellEnd"/>
      <w:r w:rsidRPr="004100CF">
        <w:rPr>
          <w:rFonts w:ascii="Times New Roman" w:hAnsi="Times New Roman" w:cs="Times New Roman"/>
          <w:szCs w:val="24"/>
        </w:rPr>
        <w:t xml:space="preserve"> ether NNRTIs.</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{"citationID":"69f3xLDY","properties":{"unsorted":false,"formattedCitation":"\\super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14</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DOR makes a unique H-bond with the backbone of Lys103, and the Tyr181 side chain is rotated by 90° away from Tyr188 when compared to apo, ETR, EFV, and RPV X-ray structures.</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{"citationID":"7rUOIutJ","properties":{"unsorted":false,"formattedCitation":"\\super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15</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As a result, binding of DOR is likely less dependent on Lys103 and Tyr181 and consequently has a superior profile against common resistance mutations at these sites. On the other hand, the central phenyl ring in DOR makes a hydrophobic bond with Val106, which is often mutated to alanine in viruses from patients with virological failure receiving DOR and which results in reduced DOR susceptibility</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{"citationID":"ibMX5gJQ","properties":{"unsorted":false,"formattedCitation":"\\super 16,17\\nosupersub{}","plainCitation":"16,17","noteIndex":0},"citationItems":[{"id":202,"uris":["http://zotero.org/users/19404620/items/4IJXPB4P"],"itemData":{"id":202,"type":"article-journal","abstract":"Nonnucleoside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16,17</w:t>
      </w:r>
      <w:r w:rsidRPr="004100CF">
        <w:rPr>
          <w:rFonts w:ascii="Times New Roman" w:hAnsi="Times New Roman" w:cs="Times New Roman"/>
          <w:szCs w:val="24"/>
        </w:rPr>
        <w:fldChar w:fldCharType="end"/>
      </w:r>
      <w:r w:rsidRPr="004100CF">
        <w:rPr>
          <w:rFonts w:ascii="Times New Roman" w:hAnsi="Times New Roman" w:cs="Times New Roman"/>
          <w:szCs w:val="24"/>
        </w:rPr>
        <w:t>. Similarly, combinations of V106A/I with F227C/L, L234I, and P225H cause &gt;100-fold reductions in susceptibility to DOR</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{"citationID":"BnzBg6iq","properties":{"unsorted":false,"formattedCitation":"\\super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18</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w:t>
      </w:r>
    </w:p>
    <w:p w14:paraId="4428E31C" w14:textId="77777777" w:rsidR="00423928" w:rsidRDefault="00C96A03" w:rsidP="00725DDC">
      <w:pPr>
        <w:spacing w:after="240"/>
        <w:rPr>
          <w:rFonts w:ascii="Times New Roman" w:hAnsi="Times New Roman" w:cs="Times New Roman"/>
        </w:rPr>
      </w:pPr>
      <w:r w:rsidRPr="004100CF">
        <w:rPr>
          <w:rFonts w:ascii="Times New Roman" w:hAnsi="Times New Roman" w:cs="Times New Roman"/>
          <w:szCs w:val="24"/>
        </w:rPr>
        <w:t>This unique resistance profile has allowed DOR to become an integral component of the standard of care in antiretroviral therapy (ART).</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{"citationID":"8rOQPvda","properties":{"unsorted":false,"formattedCitation":"\\super 19\\uc0\\u8211{}22\\nosupersub{}","plainCitation":"19–22","noteIndex":0},"citationItems":[{"id":169,"uris":["http://zotero.org/users/19404620/items/S7WWFBWH"],"itemData":{"id":169,"type":"article-journal","abstract":"BackgroundDoravirine is a non-nucleoside reverse transcriptase inhibitor (NNRTI) showing high efficacy and tolerability in both naïve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 mg, lamivudine 300 mg, and tenofovir disoproxil fumarate 300 mg.ResultsAs a whole, 62 suppressed patients (51 men, median age, 51.7 years; median CD4 T+ lymphocyte count, 577 cells/mm3) were enrolled. After 12 months, 58 (93.5%) patients showed HIV RNA &lt;20 copies/mL and reasons for treatment failure were virological failure in one case, missing data in one case, and adverse events in two cases. At month 12, a significant decrease in median serum level of triglycerides (median change −61.2 mg/dL; p = .009) and total cholesterol (median change −38.4 mg/dL; p = .021) was reported, while a not significant median weight increase was registered (+0.55 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life","volume":"12","author":[{"family":"Mejías-Trueba","given":"Marta"},{"family":"Gutierrez-Valencia","given":"Alicia"},{"family":"Llaves-Flores","given":"Silvia"},{"family":"Roca-Oporto","given":"Cristina"},{"family":"Herrero","given":"Marta"},{"family":"Sotomayor de la Piedra","given":"César"},{"family":"Lopez-Cortes","given":"Luis F."},{"family":"Espinosa","given":"Nuria"}],"issued":{"date-parts":[["2024",6,25]]}}},{"id":167,"uris":["http://zotero.org/users/19404620/items/TW4MGEKZ"],"itemData":{"id":167,"type":"article-journal","abstract":"Doravirine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treatment-naïve and treatment-experienced PWH. A total of 83 PWH were included from January 1, 2022, to December 31, 2023. The median age was 40 years (32–54). Twenty-seven patients (32.5%) were treatment-naïve PWH, and 56 patients (67.5%) were treatment-experienced PWH, the most common switch was from integrase inhibitors (37/56) to DOR, followed by efavirenz (18/56) and nevirapine (1/56). In treatment-naïve PWH, the median CD4+ T-cell count was 222.9 ± 144.2 cells/mL at baseline, which increased to 337.8 ± 189.6 cells/μL at week 24 (p &lt; 0.001) and to 431.6 ± 259.9 cells/μL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treatment-naïve and treatment-experienced patients with HIV","volume":"57","author":[{"family":"Yang","given":"Honghong"},{"family":"Li","given":"Mei"},{"family":"Liu","given":"Qian"},{"family":"Zeng","given":"Qin"},{"family":"Yuan","given":"Jing"}],"issued":{"date-parts":[["2025",10,11]]}}},{"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19–22</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Yet limited availability of DOR-resistance data has complicated its use in persons with pre-existing NNRTI resistance. To investigate </w:t>
      </w:r>
      <w:r w:rsidR="00D10CD4" w:rsidRPr="004100CF">
        <w:rPr>
          <w:rFonts w:ascii="Times New Roman" w:hAnsi="Times New Roman" w:cs="Times New Roman"/>
          <w:szCs w:val="24"/>
        </w:rPr>
        <w:t xml:space="preserve">a computational approach </w:t>
      </w:r>
      <w:r w:rsidRPr="004100CF">
        <w:rPr>
          <w:rFonts w:ascii="Times New Roman" w:hAnsi="Times New Roman" w:cs="Times New Roman"/>
          <w:szCs w:val="24"/>
        </w:rPr>
        <w:t>to fill</w:t>
      </w:r>
      <w:r w:rsidR="00D10CD4" w:rsidRPr="004100CF">
        <w:rPr>
          <w:rFonts w:ascii="Times New Roman" w:hAnsi="Times New Roman" w:cs="Times New Roman"/>
          <w:szCs w:val="24"/>
        </w:rPr>
        <w:t xml:space="preserve"> this</w:t>
      </w:r>
      <w:r w:rsidRPr="004100CF">
        <w:rPr>
          <w:rFonts w:ascii="Times New Roman" w:hAnsi="Times New Roman" w:cs="Times New Roman"/>
          <w:szCs w:val="24"/>
        </w:rPr>
        <w:t xml:space="preserve"> gap in DOR susceptibility data, we performed all-atom explicit solvent molecular dynamics (MD) simulations on 19 RT-DOR complexes, corresponding to wild-type (WT) RT and 18 DOR-associated genotypes.</w:t>
      </w:r>
      <w:r w:rsidR="00725DDC" w:rsidRPr="004100CF">
        <w:rPr>
          <w:rFonts w:ascii="Times New Roman" w:hAnsi="Times New Roman" w:cs="Times New Roman"/>
          <w:szCs w:val="24"/>
        </w:rPr>
        <w:t xml:space="preserve"> </w:t>
      </w:r>
      <w:r w:rsidR="00B97C82" w:rsidRPr="004100CF">
        <w:rPr>
          <w:rFonts w:ascii="Times New Roman" w:hAnsi="Times New Roman" w:cs="Times New Roman"/>
        </w:rPr>
        <w:t>Prior molecular simulation studies have successfully reproduced mutation-dependent changes in NNRTI binding affinity and elucidated the associated structural and conformational mechanisms of resistance</w:t>
      </w:r>
      <w:r w:rsidR="0047062D" w:rsidRPr="004100CF">
        <w:rPr>
          <w:rFonts w:ascii="Times New Roman" w:hAnsi="Times New Roman" w:cs="Times New Roman"/>
        </w:rPr>
        <w:t>.</w:t>
      </w:r>
      <w:r w:rsidR="00883619" w:rsidRPr="004100CF">
        <w:rPr>
          <w:rFonts w:ascii="Times New Roman" w:hAnsi="Times New Roman" w:cs="Times New Roman"/>
        </w:rPr>
        <w:fldChar w:fldCharType="begin"/>
      </w:r>
      <w:r w:rsidR="00E032F1" w:rsidRPr="004100CF">
        <w:rPr>
          <w:rFonts w:ascii="Times New Roman" w:hAnsi="Times New Roman" w:cs="Times New Roman"/>
        </w:rPr>
        <w:instrText xml:space="preserve"> ADDIN ZOTERO_ITEM CSL_CITATION {"citationID":"jcl052b4","properties":{"unsorted":true,"formattedCitation":"\\super 23\\uc0\\u8211{}29\\nosupersub{}","plainCitation":"23–29","noteIndex":0},"citationItems":[{"id":308,"uris":["http://zotero.org/users/19404620/items/PZTYH8TA"],"itemData":{"id":308,"type":"article-journal","container-title":"Journal of the American Chemical Society","DOI":"10.1021/ja003113r","ISSN":"0002-7863","issue":"51","journalAbbreviation":"Journal American Chemical Society","page":"12898-12900","source":"Silverchair","title":"Validation of a Model for the Complex of HIV-1 Reverse Transcriptase with Sustiva through Computation of Resistance Profiles","volume":"122","author":[{"family":"Rizzo","given":"Robert C."},{"family":"Wang","given":"De-Ping"},{"family":"Tirado-Rives","given":"Julian"},{"family":"Jorgensen","given":"William L."}],"issued":{"date-parts":[["2000",12,6]]}}},{"id":310,"uris":["http://zotero.org/users/19404620/items/6E68YQEL"],"itemData":{"id":310,"type":"article-journal","abstract":"Monte Carlo/free energy perturbation (MC/FEP) calculations were used to evaluate the binding free energy change for HIV-RT/inhibitor complexes upon L100I mutation. Inhibitor size and flexibility adjacent to hydrogen-bonding sites are evident as important considerations for antiviral drug design.","container-title":"Bioorganic &amp; Medicinal Chemistry Letters","DOI":"10.1016/S0960-894X(01)00510-8","ISSN":"0960-894X","issue":"21","journalAbbreviation":"Bioorganic &amp; Medicinal Chemistry Letters","page":"2799-2802","source":"ScienceDirect","title":"Antiviral drug design: computational analyses of the effects of the L100I mutation for HIV-RT on the binding of NNRTIs","title-short":"Antiviral drug design","volume":"11","author":[{"family":"Wang","given":"De-Ping"},{"family":"Rizzo","given":"Robert C"},{"family":"Tirado-Rives","given":"Julian"},{"family":"Jorgensen","given":"William L"}],"issued":{"date-parts":[["2001",11,5]]}}},{"id":316,"uris":["http://zotero.org/users/19404620/items/6Z9GW8D7"],"itemData":{"id":316,"type":"article-journal","abstract":"The structure for the complex of nonnucleoside inhibitor TMC125 and HIV-1 reverse transcriptase has been determined and validated through computation of resistance profiles using Monte Carlo/free-energy perturbation calculations. The good quantitative agreement between the computed and experimental anti-HIV activities for TMC125, nevirapine, and efavirenz with wild-type RT and four common mutants (L100I, K103N, Y181C, and Y188L) confirms the correctness of the predicted structure and provides insights into the improved potency of this novel NNRTI. The blue shading in the figure indicates basic residues.","container-title":"Journal of the American Chemical Society","DOI":"10.1021/ja034308c","ISSN":"0002-7863","issue":"20","journalAbbreviation":"Journal American Chemical Society","page":"6016-6017","source":"Silverchair","title":"Validation of a Model for the Complex of HIV-1 Reverse Transcriptase with Nonnucleoside Inhibitor TMC125","volume":"125","author":[{"family":"Udier-Blagović","given":"Marina"},{"family":"Tirado-Rives","given":"Julian"},{"family":"Jorgensen","given":"William L."}],"issued":{"date-parts":[["2003",4,25]]}}},{"id":318,"uris":["http://zotero.org/users/19404620/items/Z3JHCUEJ"],"itemData":{"id":318,"type":"article-journal","abstract":"The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Analogues","volume":"47","author":[{"family":"Udier-Blagović","given":"Marina"},{"family":"Tirado-Rives","given":"Julian"},{"family":"Jorgensen","given":"William L."}],"issued":{"date-parts":[["2004",3,20]]}}},{"id":296,"uris":["http://zotero.org/users/19404620/items/9NVH78TB"],"itemData":{"id":296,"type":"article-journal","abstract":"A series of targeted molecular dynamics simulations have been carried out in an attempt to\nassess the effect that the common Lys103Asn mutation in HIV-1 reverse transcriptase (RT) has on the\nbinding of three representative non-nucleoside RT inhibitors (NNRTI), nevirapine, efavirenz, and etravirine.\nWe have shown previously that, in the absence of an incoming inhibitor, creation of the NNRTI binding\npocket is hampered due to the existence of a hydrogen bond between the side chains of Asn103 and\nTyr188 for which no equivalent exists in the wild-type enzyme. As an extension of this work, we now apply\nthe same methodology to drive the enzyme's conformation from the unbound state to the drug-bound state\nin the presence of the NNRTI. The location of each drug outside the binding pocket was determined by an\nautomated docking program, and steering into the binding pocket followed a route that is likely to represent\nthe actual entrance pathway. The additional hurdle to inhibitor entry imposed by the extra Asn103−Tyr188\nhydrogen bond is seen to affect each NNRTI differently, with the ability to disrupt this interaction increasing\nin the order etravirine </w:instrText>
      </w:r>
      <w:r w:rsidR="00E032F1" w:rsidRPr="004100CF">
        <w:rPr>
          <w:rFonts w:ascii="Cambria Math" w:hAnsi="Cambria Math" w:cs="Cambria Math"/>
        </w:rPr>
        <w:instrText>≫</w:instrText>
      </w:r>
      <w:r w:rsidR="00E032F1" w:rsidRPr="004100CF">
        <w:rPr>
          <w:rFonts w:ascii="Times New Roman" w:hAnsi="Times New Roman" w:cs="Times New Roman"/>
        </w:rPr>
        <w:instrText xml:space="preserve"> efavirenz ≥ nevirapine, in good accord with the experimental findings. This coherent\npicture strongly suggests that attempts to overcome resistance through structure-based drug design may\nbe considerably more successful if dynamic structural aspects of the type studied here are considered,\nparticularly in cases where binding energy-based structure−activity relationship methods are unable to\nprovide the required information.","container-title":"Journal of the American Chemical Society","DOI":"10.1021/ja042289g","ISSN":"0002-7863","issue":"20","journalAbbreviation":"Journal American Chemical Society","page":"7570-7578","source":"Silverchair","title":"The Molecular Basis of Resilience to the Effect of the Lys103Asn Mutation in Non-Nucleoside HIV-1 Reverse Transcriptase Inhibitors Studied by Targeted Molecular Dynamics Simulations","volume":"127","author":[{"family":"Rodríguez-Barrios","given":"Fátima"},{"family":"Balzarini","given":"Jan"},{"family":"Gago","given":"Federico"}],"issued":{"date-parts":[["2005",4,30]]}}},{"id":"sGQf21Pk/w0ZqaEhU","uris":["http://zotero.org/users/19404620/items/8EEHV937"],"itemData":{"id":"sGQf21Pk/w0ZqaEhU","type":"article-journal","abstract":"HIV-1 reverse transcriptase (RT) is an important target for drugs used in the treatment of AIDS. Drugs known as non-nucleoside RT inhibitors (NNRTI) appear to alter the structural and dynamical properties of RT which in turn inhibit RT's ability to transcribe. Molecular dynamics (MD), principal component analysis (PCA), and binding free energy simulations are employed to explore the dynamics of RT and its interaction with the bound NNRTI nevirapine, for both wild-type and mutant (V106A, Y181C, Y188C) RT. These three mutations commonly arise in the presence of nevirapine and result in resistance to the drug. We show that a bound NNRTI hinders the motion of almost all RT amino acids. The mutations, located in the non-nucleoside RT inhibitor binding pocket, partially restore RT flexibility. The binding affinities calculated by molecular mechanics/Poisson−Boltzmann surface accessibility (MM-PBSA) show that nevirapine interacts stronger with wild-type RT than with mutant RT. The mutations cause a loss of van der Waals interactions between the drug and the binding pocket. The results from this study suggest that a good inhibitor should efficiently enter and maximally occupy the binding pocket, thereby interacting effectively with the amino acids around the binding pocket.","container-title":"Journal of the American Chemical Society","DOI":"10.1021/ja053973d","ISSN":"0002-7863","issue":"49","journalAbbreviation":"J. Am. Chem. Soc.","page":"17253-17260","publisher":"American Chemical Society","source":"ACS Publications","title":"Effect of a Bound Non-Nucleoside RT Inhibitor on the Dynamics of Wild-Type and Mutant HIV-1 Reverse Transcriptase","volume":"127","author":[{"family":"Zhou","given":"Zhigang"},{"family":"Madrid","given":"Marcela"},{"family":"Evanseck","given":"Jeffrey D."},{"family":"Madura","given":"Jeffry D."}],"issued":{"date-parts":[["2005",12,1]]}}},{"id":111,"uris":["http://zotero.org/users/19404620/items/9HN6LNRB"],"itemData":{"id":111,"type":"article-journal","abstract":"HIV-1 reverse transcriptase (RT) is a multifunctional enzyme that is targeted by nucleoside analogs (NRTIs) and non-nucleoside RT inhibitors (NNRTIs). NNRTIs are allosteric inhibitors of RT, and constitute an integral part of several highly active antiretroviral therapy regimens. Under selective pressure, HIV-1 acquires resistance against NNRTIs primarily by selecting mutations around the NNRTI pocket. Complete RT sequencing of clinical isolates revealed that spatially distal mutations arising in connection and the RNase H domain also confer NNRTI resistance and contribute to NRTI resistance. However, the precise structural mechanism by which the connection domain mutations confer NNRTI resistance is poorly understood. We performed 50-ns molecular dynamics (MD) simulations, followed by essential dynamics, free-energy landscape analyses, and network analyses of RT-DNA, RT-DNA-nevirapine (NVP), and N348I/T369I mutant RT-DNA-NVP complexes. MD simulation studies revealed altered global motions and restricted conformational landscape of RT upon NVP binding. Analysis of protein structure network parameters demonstrated a dissortative hub pattern in the RT-DNA complex and an assortative hub pattern in the RT-DNA-NVP complex suggesting enhanced rigidity of RT upon NVP binding. The connection subdomain mutations N348I/T369I did not induce any significant structural change; rather, these mutations modulate the conformational dynamics and alter the long-range allosteric communication network between the connection subdomain and NNRTI pocket. Insights from the present study provide a structural basis for the biochemical and clinical findings on drug resistance caused by the connection and RNase H mutations. Proteins 2014; 82:815–829. © 2013 Wiley Periodicals, Inc.","container-title":"Proteins: Structure, Function, and Bioinformatics","DOI":"10.1002/prot.24460","ISSN":"1097-0134","issue":"5","language":"en","note":"_eprint: https://onlinelibrary.wiley.com/doi/pdf/10.1002/prot.24460","page":"815-829","source":"Wiley Online Library","title":"Molecular dynamics study of HIV-1 RT-DNA-nevirapine complexes explains NNRTI inhibition and resistance by connection mutations","volume":"82","author":[{"family":"Vijayan","given":"R. S. K."},{"family":"Arnold","given":"Eddy"},{"family":"Das","given":"Kalyan"}],"issued":{"date-parts":[["2014"]]}}}],"schema":"https://github.com/citation-style-language/schema/raw/master/csl-citation.json"} </w:instrText>
      </w:r>
      <w:r w:rsidR="00883619" w:rsidRPr="004100CF">
        <w:rPr>
          <w:rFonts w:ascii="Times New Roman" w:hAnsi="Times New Roman" w:cs="Times New Roman"/>
        </w:rPr>
        <w:fldChar w:fldCharType="separate"/>
      </w:r>
      <w:r w:rsidR="00E032F1" w:rsidRPr="004100CF">
        <w:rPr>
          <w:rFonts w:ascii="Times New Roman" w:hAnsi="Times New Roman" w:cs="Times New Roman"/>
          <w:szCs w:val="24"/>
          <w:vertAlign w:val="superscript"/>
        </w:rPr>
        <w:t>23–29</w:t>
      </w:r>
      <w:r w:rsidR="00883619" w:rsidRPr="004100CF">
        <w:rPr>
          <w:rFonts w:ascii="Times New Roman" w:hAnsi="Times New Roman" w:cs="Times New Roman"/>
        </w:rPr>
        <w:fldChar w:fldCharType="end"/>
      </w:r>
      <w:r w:rsidR="0047062D" w:rsidRPr="004100CF">
        <w:rPr>
          <w:rFonts w:ascii="Times New Roman" w:hAnsi="Times New Roman" w:cs="Times New Roman"/>
        </w:rPr>
        <w:t xml:space="preserve"> However, direct comparison with phenotypic susceptibility data for clinically relevant drug resistant mutations is lacking.</w:t>
      </w:r>
    </w:p>
    <w:p w14:paraId="5A484F64" w14:textId="4F928C9B" w:rsidR="000E15E2" w:rsidRPr="004100CF" w:rsidRDefault="0047062D" w:rsidP="00725DDC">
      <w:pPr>
        <w:spacing w:after="240"/>
        <w:rPr>
          <w:rFonts w:ascii="Times New Roman" w:hAnsi="Times New Roman" w:cs="Times New Roman"/>
          <w:szCs w:val="24"/>
        </w:rPr>
      </w:pPr>
      <w:r w:rsidRPr="004100CF">
        <w:rPr>
          <w:rFonts w:ascii="Times New Roman" w:hAnsi="Times New Roman" w:cs="Times New Roman"/>
        </w:rPr>
        <w:t>In this work, we performed RT-DOR binding free energy analysis using a non-equilibrium alchemical free energy perturbation protocol</w:t>
      </w:r>
      <w:r w:rsidR="000062F9" w:rsidRPr="004100CF">
        <w:rPr>
          <w:rFonts w:ascii="Times New Roman" w:hAnsi="Times New Roman" w:cs="Times New Roman"/>
        </w:rPr>
        <w:fldChar w:fldCharType="begin"/>
      </w:r>
      <w:r w:rsidR="00E032F1" w:rsidRPr="004100CF">
        <w:rPr>
          <w:rFonts w:ascii="Times New Roman" w:hAnsi="Times New Roman" w:cs="Times New Roman"/>
        </w:rPr>
        <w:instrText xml:space="preserve"> ADDIN ZOTERO_ITEM CSL_CITATION {"citationID":"sFxC04vT","properties":{"unsorted":false,"formattedCitation":"\\super 30,31\\nosupersub{}","plainCitation":"30,31","noteIndex":0},"citationItems":[{"id":257,"uris":["http://zotero.org/users/19404620/items/3AGKTMV5"],"itemData":{"id":257,"type":"article-journal","abstract":"This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rsidR="000062F9" w:rsidRPr="004100CF">
        <w:rPr>
          <w:rFonts w:ascii="Times New Roman" w:hAnsi="Times New Roman" w:cs="Times New Roman"/>
        </w:rPr>
        <w:fldChar w:fldCharType="separate"/>
      </w:r>
      <w:r w:rsidR="00E032F1" w:rsidRPr="004100CF">
        <w:rPr>
          <w:rFonts w:ascii="Times New Roman" w:hAnsi="Times New Roman" w:cs="Times New Roman"/>
          <w:szCs w:val="24"/>
          <w:vertAlign w:val="superscript"/>
        </w:rPr>
        <w:t>30,31</w:t>
      </w:r>
      <w:r w:rsidR="000062F9" w:rsidRPr="004100CF">
        <w:rPr>
          <w:rFonts w:ascii="Times New Roman" w:hAnsi="Times New Roman" w:cs="Times New Roman"/>
        </w:rPr>
        <w:fldChar w:fldCharType="end"/>
      </w:r>
      <w:r w:rsidRPr="004100CF">
        <w:rPr>
          <w:rFonts w:ascii="Times New Roman" w:hAnsi="Times New Roman" w:cs="Times New Roman"/>
        </w:rPr>
        <w:t xml:space="preserve"> and absolute RT-DOR </w:t>
      </w:r>
      <w:r w:rsidR="001521FB" w:rsidRPr="004100CF">
        <w:rPr>
          <w:rFonts w:ascii="Times New Roman" w:hAnsi="Times New Roman" w:cs="Times New Roman"/>
        </w:rPr>
        <w:t>MM/GBSA</w:t>
      </w:r>
      <w:r w:rsidRPr="004100CF">
        <w:rPr>
          <w:rFonts w:ascii="Times New Roman" w:hAnsi="Times New Roman" w:cs="Times New Roman"/>
        </w:rPr>
        <w:t xml:space="preserve"> energy calculation</w:t>
      </w:r>
      <w:r w:rsidR="000062F9" w:rsidRPr="004100CF">
        <w:rPr>
          <w:rFonts w:ascii="Times New Roman" w:hAnsi="Times New Roman" w:cs="Times New Roman"/>
        </w:rPr>
        <w:t>s</w:t>
      </w:r>
      <w:r w:rsidRPr="004100CF">
        <w:rPr>
          <w:rFonts w:ascii="Times New Roman" w:hAnsi="Times New Roman" w:cs="Times New Roman"/>
        </w:rPr>
        <w:t xml:space="preserve"> using equilibrium MD simulations</w:t>
      </w:r>
      <w:r w:rsidR="00DB01C0" w:rsidRPr="004100CF">
        <w:rPr>
          <w:rFonts w:ascii="Times New Roman" w:hAnsi="Times New Roman" w:cs="Times New Roman"/>
        </w:rPr>
        <w:t xml:space="preserve"> on a curated genotype panel of DOR-associated mutations</w:t>
      </w:r>
      <w:r w:rsidRPr="004100CF">
        <w:rPr>
          <w:rFonts w:ascii="Times New Roman" w:hAnsi="Times New Roman" w:cs="Times New Roman"/>
        </w:rPr>
        <w:t xml:space="preserve">. Our results </w:t>
      </w:r>
      <w:r w:rsidR="00DB01C0" w:rsidRPr="004100CF">
        <w:rPr>
          <w:rFonts w:ascii="Times New Roman" w:hAnsi="Times New Roman" w:cs="Times New Roman"/>
        </w:rPr>
        <w:t>demonstrate</w:t>
      </w:r>
      <w:r w:rsidR="00714E97" w:rsidRPr="004100CF">
        <w:rPr>
          <w:rFonts w:ascii="Times New Roman" w:hAnsi="Times New Roman" w:cs="Times New Roman"/>
        </w:rPr>
        <w:t xml:space="preserve"> that </w:t>
      </w:r>
      <w:r w:rsidR="00DB01C0" w:rsidRPr="004100CF">
        <w:rPr>
          <w:rFonts w:ascii="Times New Roman" w:hAnsi="Times New Roman" w:cs="Times New Roman"/>
        </w:rPr>
        <w:t xml:space="preserve">even with a limited sample set, </w:t>
      </w:r>
      <w:r w:rsidR="00714E97" w:rsidRPr="004100CF">
        <w:rPr>
          <w:rFonts w:ascii="Times New Roman" w:hAnsi="Times New Roman" w:cs="Times New Roman"/>
        </w:rPr>
        <w:t xml:space="preserve">relative </w:t>
      </w:r>
      <w:r w:rsidR="00DB01C0" w:rsidRPr="004100CF">
        <w:rPr>
          <w:rFonts w:ascii="Times New Roman" w:hAnsi="Times New Roman" w:cs="Times New Roman"/>
        </w:rPr>
        <w:t xml:space="preserve">RT-DOR </w:t>
      </w:r>
      <w:r w:rsidR="00714E97" w:rsidRPr="004100CF">
        <w:rPr>
          <w:rFonts w:ascii="Times New Roman" w:hAnsi="Times New Roman" w:cs="Times New Roman"/>
        </w:rPr>
        <w:t xml:space="preserve">binding free energy can weakly correlate with </w:t>
      </w:r>
      <w:r w:rsidR="00DB01C0" w:rsidRPr="004100CF">
        <w:rPr>
          <w:rFonts w:ascii="Times New Roman" w:hAnsi="Times New Roman" w:cs="Times New Roman"/>
        </w:rPr>
        <w:t xml:space="preserve">experimentally observed </w:t>
      </w:r>
      <w:r w:rsidR="00E032F1" w:rsidRPr="004100CF">
        <w:rPr>
          <w:rFonts w:ascii="Times New Roman" w:hAnsi="Times New Roman" w:cs="Times New Roman"/>
        </w:rPr>
        <w:t xml:space="preserve">mutation-induced </w:t>
      </w:r>
      <w:r w:rsidR="00DB01C0" w:rsidRPr="004100CF">
        <w:rPr>
          <w:rFonts w:ascii="Times New Roman" w:hAnsi="Times New Roman" w:cs="Times New Roman"/>
        </w:rPr>
        <w:t>DOR fold-</w:t>
      </w:r>
      <w:r w:rsidR="00DB01C0" w:rsidRPr="004100CF">
        <w:rPr>
          <w:rFonts w:ascii="Times New Roman" w:hAnsi="Times New Roman" w:cs="Times New Roman"/>
        </w:rPr>
        <w:lastRenderedPageBreak/>
        <w:t xml:space="preserve">change in susceptibility. </w:t>
      </w:r>
      <w:r w:rsidR="003874B7" w:rsidRPr="004100CF">
        <w:rPr>
          <w:rFonts w:ascii="Times New Roman" w:hAnsi="Times New Roman" w:cs="Times New Roman"/>
        </w:rPr>
        <w:t xml:space="preserve">However, </w:t>
      </w:r>
      <w:r w:rsidR="001521FB" w:rsidRPr="004100CF">
        <w:rPr>
          <w:rFonts w:ascii="Times New Roman" w:hAnsi="Times New Roman" w:cs="Times New Roman"/>
        </w:rPr>
        <w:t xml:space="preserve">binding free energy or MM/GBSA do not generally demonstrate their utility as a reliably proxy for </w:t>
      </w:r>
      <w:r w:rsidR="001521FB" w:rsidRPr="004100CF">
        <w:rPr>
          <w:rFonts w:ascii="Times New Roman" w:hAnsi="Times New Roman" w:cs="Times New Roman"/>
          <w:i/>
          <w:iCs/>
        </w:rPr>
        <w:t xml:space="preserve">in vitro </w:t>
      </w:r>
      <w:r w:rsidR="000062F9" w:rsidRPr="004100CF">
        <w:rPr>
          <w:rFonts w:ascii="Times New Roman" w:hAnsi="Times New Roman" w:cs="Times New Roman"/>
        </w:rPr>
        <w:t>drug susceptibility experiments</w:t>
      </w:r>
      <w:r w:rsidR="001521FB" w:rsidRPr="004100CF">
        <w:rPr>
          <w:rFonts w:ascii="Times New Roman" w:hAnsi="Times New Roman" w:cs="Times New Roman"/>
        </w:rPr>
        <w:t>.</w:t>
      </w:r>
    </w:p>
    <w:p w14:paraId="2E58D795" w14:textId="6F9D89FA" w:rsidR="004260F0" w:rsidRPr="004100CF" w:rsidRDefault="0006771E" w:rsidP="00423928">
      <w:pPr>
        <w:spacing w:after="240"/>
        <w:rPr>
          <w:rFonts w:ascii="Times New Roman" w:hAnsi="Times New Roman" w:cs="Times New Roman"/>
          <w:b/>
          <w:bCs/>
          <w:sz w:val="28"/>
          <w:szCs w:val="22"/>
        </w:rPr>
      </w:pPr>
      <w:r w:rsidRPr="004100CF">
        <w:rPr>
          <w:rFonts w:ascii="Times New Roman" w:hAnsi="Times New Roman" w:cs="Times New Roman"/>
          <w:b/>
          <w:bCs/>
          <w:sz w:val="28"/>
          <w:szCs w:val="22"/>
        </w:rPr>
        <w:t>Methods</w:t>
      </w:r>
    </w:p>
    <w:p w14:paraId="6E1DB01F" w14:textId="50390BF8" w:rsidR="004260F0" w:rsidRPr="004100CF" w:rsidRDefault="007D7A4D" w:rsidP="004260F0">
      <w:pPr>
        <w:rPr>
          <w:rFonts w:ascii="Times New Roman" w:hAnsi="Times New Roman" w:cs="Times New Roman"/>
          <w:b/>
          <w:bCs/>
          <w:szCs w:val="24"/>
          <w:u w:val="single"/>
        </w:rPr>
      </w:pPr>
      <w:r w:rsidRPr="004100CF">
        <w:rPr>
          <w:rFonts w:ascii="Times New Roman" w:hAnsi="Times New Roman" w:cs="Times New Roman"/>
          <w:b/>
          <w:bCs/>
          <w:szCs w:val="24"/>
          <w:u w:val="single"/>
        </w:rPr>
        <w:t xml:space="preserve">3D </w:t>
      </w:r>
      <w:r w:rsidR="004260F0" w:rsidRPr="004100CF">
        <w:rPr>
          <w:rFonts w:ascii="Times New Roman" w:hAnsi="Times New Roman" w:cs="Times New Roman"/>
          <w:b/>
          <w:bCs/>
          <w:szCs w:val="24"/>
          <w:u w:val="single"/>
        </w:rPr>
        <w:t>Structure Preparation and mutation modeling</w:t>
      </w:r>
    </w:p>
    <w:p w14:paraId="03FA9518" w14:textId="5D9FBF94" w:rsidR="004260F0" w:rsidRPr="004100CF" w:rsidRDefault="004260F0" w:rsidP="004260F0">
      <w:pPr>
        <w:spacing w:after="240"/>
        <w:rPr>
          <w:rFonts w:ascii="Times New Roman" w:hAnsi="Times New Roman" w:cs="Times New Roman"/>
          <w:szCs w:val="24"/>
        </w:rPr>
      </w:pPr>
      <w:r w:rsidRPr="004100CF">
        <w:rPr>
          <w:rFonts w:ascii="Times New Roman" w:hAnsi="Times New Roman" w:cs="Times New Roman"/>
          <w:szCs w:val="24"/>
        </w:rPr>
        <w:t xml:space="preserve">The starting </w:t>
      </w:r>
      <w:proofErr w:type="spellStart"/>
      <w:r w:rsidRPr="004100CF">
        <w:rPr>
          <w:rFonts w:ascii="Times New Roman" w:hAnsi="Times New Roman" w:cs="Times New Roman"/>
          <w:i/>
          <w:iCs/>
          <w:szCs w:val="24"/>
        </w:rPr>
        <w:t>holo</w:t>
      </w:r>
      <w:proofErr w:type="spellEnd"/>
      <w:r w:rsidRPr="004100CF">
        <w:rPr>
          <w:rFonts w:ascii="Times New Roman" w:hAnsi="Times New Roman" w:cs="Times New Roman"/>
          <w:szCs w:val="24"/>
        </w:rPr>
        <w:t xml:space="preserve"> structure was the crystal structure of HIV-1 RT bound to doravirine (DOR; PDB ligand residue 2KW) from PDB 4NCG (</w:t>
      </w:r>
      <w:hyperlink r:id="rId5" w:history="1">
        <w:r w:rsidRPr="004100CF">
          <w:rPr>
            <w:rStyle w:val="Hyperlink"/>
            <w:rFonts w:ascii="Times New Roman" w:hAnsi="Times New Roman" w:cs="Times New Roman"/>
            <w:szCs w:val="24"/>
          </w:rPr>
          <w:t>https://www.rcsb.org/structure/4NCG</w:t>
        </w:r>
      </w:hyperlink>
      <w:r w:rsidRPr="004100CF">
        <w:rPr>
          <w:rFonts w:ascii="Times New Roman" w:hAnsi="Times New Roman" w:cs="Times New Roman"/>
          <w:szCs w:val="24"/>
        </w:rPr>
        <w:t>).</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{"citationID":"tevAKKbd","properties":{"unsorted":false,"formattedCitation":"\\super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14</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Mutant complexes were generated from the WT RT-DOR structure by introducing the selected p66 substitutions </w:t>
      </w:r>
      <w:r w:rsidRPr="004100CF">
        <w:rPr>
          <w:rFonts w:ascii="Times New Roman" w:hAnsi="Times New Roman" w:cs="Times New Roman"/>
          <w:i/>
          <w:iCs/>
          <w:szCs w:val="24"/>
        </w:rPr>
        <w:t>in silico</w:t>
      </w:r>
      <w:r w:rsidRPr="004100CF">
        <w:rPr>
          <w:rFonts w:ascii="Times New Roman" w:hAnsi="Times New Roman" w:cs="Times New Roman"/>
          <w:szCs w:val="24"/>
        </w:rPr>
        <w:t xml:space="preserve"> while preserving the crystallographic DOR pose. Missing heavy atoms were added, nonstandard residues were standardized, and hydrogens were rebuilt consistently across WT and mutant systems. DOR was rebuilt from an SDF template (</w:t>
      </w:r>
      <w:hyperlink r:id="rId6" w:history="1">
        <w:r w:rsidRPr="004100CF">
          <w:rPr>
            <w:rStyle w:val="Hyperlink"/>
            <w:rFonts w:ascii="Times New Roman" w:hAnsi="Times New Roman" w:cs="Times New Roman"/>
            <w:szCs w:val="24"/>
          </w:rPr>
          <w:t>https://pubchem.ncbi.nlm.nih.gov/compound/Doravirine</w:t>
        </w:r>
      </w:hyperlink>
      <w:r w:rsidRPr="004100CF">
        <w:rPr>
          <w:rFonts w:ascii="Times New Roman" w:hAnsi="Times New Roman" w:cs="Times New Roman"/>
          <w:szCs w:val="24"/>
        </w:rPr>
        <w:t xml:space="preserve">) and rigidly aligned to the crystallographic ligand heavy atoms by least-squares superposition using the </w:t>
      </w:r>
      <w:proofErr w:type="spellStart"/>
      <w:r w:rsidRPr="004100CF">
        <w:rPr>
          <w:rFonts w:ascii="Times New Roman" w:hAnsi="Times New Roman" w:cs="Times New Roman"/>
          <w:szCs w:val="24"/>
        </w:rPr>
        <w:t>Kabsch</w:t>
      </w:r>
      <w:proofErr w:type="spellEnd"/>
      <w:r w:rsidRPr="004100CF">
        <w:rPr>
          <w:rFonts w:ascii="Times New Roman" w:hAnsi="Times New Roman" w:cs="Times New Roman"/>
          <w:szCs w:val="24"/>
        </w:rPr>
        <w:t xml:space="preserve"> algorithm.</w:t>
      </w:r>
      <w:r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{"citationID":"7W9IyQRi","properties":{"unsorted":false,"formattedCitation":"\\super 32\\nosupersub{}","plainCitation":"32","noteIndex":0},"citationItems":[{"id":222,"uris":["http://zotero.org/users/19404620/items/WA8VTCHT"],"itemData":{"id":222,"type":"article-journal","container-title":"Acta Crystallographica Section A","DOI":"10.1107/S0567739476001873","ISSN":"1600-5724","issue":"5","language":"en","note":"_eprint: https://onlinelibrary.wiley.com/doi/pdf/10.1107/S0567739476001873","page":"922-923","source":"Wiley Online Library","title":"A solution for the best rotation to relate two sets of vectors","volume":"32","author":[{"family":"Kabsch","given":"W."}],"issued":{"date-parts":[["1976"]]}}}],"schema":"https://github.com/citation-style-language/schema/raw/master/csl-citation.json"} </w:instrText>
      </w:r>
      <w:r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32</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Replicate starting structures were generated by applying small coordinate jitter (0.1 Å) before local minimization. During the initial restrained minimization, heavy atoms more than 8 Å from DOR were harmonically restrained, allowing the binding-pocket region to relax while limiting global structural drift.</w:t>
      </w:r>
    </w:p>
    <w:p w14:paraId="3F36688D" w14:textId="77777777" w:rsidR="004260F0" w:rsidRPr="004100CF" w:rsidRDefault="004260F0" w:rsidP="004260F0">
      <w:pPr>
        <w:rPr>
          <w:rFonts w:ascii="Times New Roman" w:hAnsi="Times New Roman" w:cs="Times New Roman"/>
          <w:szCs w:val="24"/>
        </w:rPr>
      </w:pPr>
      <w:r w:rsidRPr="004100CF">
        <w:rPr>
          <w:rFonts w:ascii="Times New Roman" w:hAnsi="Times New Roman" w:cs="Times New Roman"/>
          <w:b/>
          <w:bCs/>
          <w:szCs w:val="24"/>
          <w:u w:val="single"/>
        </w:rPr>
        <w:t>Molecular dynamics simulations</w:t>
      </w:r>
    </w:p>
    <w:p w14:paraId="2555B0DB" w14:textId="1620B64D" w:rsidR="004260F0" w:rsidRPr="004100CF" w:rsidRDefault="0045260D" w:rsidP="004260F0">
      <w:pPr>
        <w:spacing w:after="240"/>
        <w:rPr>
          <w:rFonts w:ascii="Times New Roman" w:hAnsi="Times New Roman" w:cs="Times New Roman"/>
          <w:szCs w:val="24"/>
        </w:rPr>
      </w:pPr>
      <w:r w:rsidRPr="004100CF">
        <w:rPr>
          <w:rFonts w:ascii="Times New Roman" w:hAnsi="Times New Roman" w:cs="Times New Roman"/>
          <w:szCs w:val="24"/>
        </w:rPr>
        <w:t>Equilibrium</w:t>
      </w:r>
      <w:r w:rsidR="004260F0" w:rsidRPr="004100CF">
        <w:rPr>
          <w:rFonts w:ascii="Times New Roman" w:hAnsi="Times New Roman" w:cs="Times New Roman"/>
          <w:szCs w:val="24"/>
        </w:rPr>
        <w:t xml:space="preserve"> MD simulations were performed with OpenMM.</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{"citationID":"Z4dhb7v9","properties":{"unsorted":false,"formattedCitation":"\\super 33\\nosupersub{}","plainCitation":"33","noteIndex":0},"citationItems":[{"id":225,"uris":["http://zotero.org/users/19404620/items/VF4HPM48"],"itemData":{"id":225,"type":"article-journal","abstract":"OpenMM is a molecular dynamics simulation toolkit with a unique focus on extensibility. It allows users to easily add new features, including forces with novel functional forms, new integration algorithms, and new simulation protocols. Those features automatically work on all supported hardware types (including both CPUs and GPUs) and perform well on all of them. In many cases they require minimal coding, just a mathematical description of the desired function. They also require no modification to OpenMM itself and can be distributed independently of OpenMM. This makes it an ideal tool for researchers developing new simulation methods, and also allows those new methods to be immediately available to the larger community.","container-title":"PLOS Computational Biology","DOI":"10.1371/journal.pcbi.1005659","ISSN":"1553-7358","issue":"7","journalAbbreviation":"PLOS Computational Biology","language":"en","page":"e1005659","publisher":"Public Library of Science","source":"PLoS Journals","title":"OpenMM 7: Rapid development of high performance algorithms for molecular dynamics","title-short":"OpenMM 7","volume":"13","author":[{"family":"Eastman","given":"Peter"},{"family":"Swails","given":"Jason"},{"family":"Chodera","given":"John D."},{"family":"McGibbon","given":"Robert T."},{"family":"Zhao","given":"Yutong"},{"family":"Beauchamp","given":"Kyle A."},{"family":"Wang","given":"Lee-Ping"},{"family":"Simmonett","given":"Andrew C."},{"family":"Harrigan","given":"Matthew P."},{"family":"Stern","given":"Chaya D."},{"family":"Wiewiora","given":"Rafal P."},{"family":"Brooks","given":"Bernard R."},{"family":"Pande","given":"Vijay S."}],"issued":{"date-parts":[["2017",7,26]]}}}],"schema":"https://github.com/citation-style-language/schema/raw/master/csl-citation.json"}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33</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Protein and nucleic-acid parameters were assigned from the Amber14 </w:t>
      </w:r>
      <w:proofErr w:type="spellStart"/>
      <w:r w:rsidR="004260F0" w:rsidRPr="004100CF">
        <w:rPr>
          <w:rFonts w:ascii="Times New Roman" w:hAnsi="Times New Roman" w:cs="Times New Roman"/>
          <w:szCs w:val="24"/>
        </w:rPr>
        <w:t>OpenMM</w:t>
      </w:r>
      <w:proofErr w:type="spellEnd"/>
      <w:r w:rsidR="004260F0" w:rsidRPr="004100CF">
        <w:rPr>
          <w:rFonts w:ascii="Times New Roman" w:hAnsi="Times New Roman" w:cs="Times New Roman"/>
          <w:szCs w:val="24"/>
        </w:rPr>
        <w:t xml:space="preserve"> force-field files, using ff14SB for protein,</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{"citationID":"4nmpHmwv","properties":{"unsorted":false,"formattedCitation":"\\super 34\\nosupersub{}","plainCitation":"34","noteIndex":0},"citationItems":[{"id":227,"uris":["http://zotero.org/users/19404620/items/EYI2KZ5Y"],"itemData":{"id":227,"type":"article-journal","abstract":"Molecular mechanics is powerful for its speed in atomistic simulations, but an accurate force field is required. The Amber ff99SB force field improved protein secondary structure balance and dynamics from earlier force fields like ff99, but weaknesses in side chain rotamer and backbone secondary structure preferences have been identified. Here, we performed a complete refit of all amino acid side chain dihedral parameters, which had been carried over from ff94. The training set of conformations included multidimensional dihedral scans designed to improve transferability of the parameters. Improvement in all amino acids was obtained as compared to ff99SB. Parameters were also generated for alternate protonation states of ionizable side chains. Average errors in relative energies of pairs of conformations were under 1.0 kcal/mol as compared to QM, reduced 35% from ff99SB. We also took the opportunity to make empirical adjustments to the protein backbone dihedral parameters as compared to ff99SB. Multiple small adjustments of φ and ψ parameters were tested against NMR scalar coupling data and secondary structure content for short peptides. The best results were obtained from a physically motivated adjustment to the φ rotational profile that compensates for lack of ff99SB QM training data in the β-ppII transition region. Together, these backbone and side chain modifications (hereafter called ff14SB) not only better reproduced their benchmarks, but also improved secondary structure content in small peptides and reproduction of NMR χ1 scalar coupling measurements for proteins in solution. We also discuss the Amber ff12SB parameter set, a preliminary version of ff14SB that includes most of its improvements.","container-title":"Journal of Chemical Theory and Computation","DOI":"10.1021/acs.jctc.5b00255","ISSN":"1549-9618","issue":"8","journalAbbreviation":"J. Chem. Theory Comput.","page":"3696-3713","publisher":"American Chemical Society","source":"ACS Publications","title":"ff14SB: Improving the Accuracy of Protein Side Chain and Backbone Parameters from ff99SB","title-short":"ff14SB","volume":"11","author":[{"family":"Maier","given":"James A."},{"family":"Martinez","given":"Carmenza"},{"family":"Kasavajhala","given":"Koushik"},{"family":"Wickstrom","given":"Lauren"},{"family":"Hauser","given":"Kevin E."},{"family":"Simmerling","given":"Carlos"}],"issued":{"date-parts":[["2015",8,11]]}}}],"schema":"https://github.com/citation-style-language/schema/raw/master/csl-citation.json"}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34</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bsc1 for DNA,</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{"citationID":"2ulRPWUZ","properties":{"unsorted":false,"formattedCitation":"\\super 35\\nosupersub{}","plainCitation":"35","noteIndex":0},"citationItems":[{"id":229,"uris":["http://zotero.org/users/19404620/items/YTBAPMJV"],"itemData":{"id":229,"type":"article-journal","abstract":"Parmbsc1, a new force field for DNA simulations, was broadly tested on nearly 100 DNA systems and overcame simulation artifacts that affected previous force fields.","container-title":"Nature Methods","DOI":"10.1038/nmeth.3658","ISSN":"1548-7105","issue":"1","journalAbbreviation":"Nat Methods","language":"en","license":"2016 Springer Nature America, Inc.","page":"55-58","publisher":"Nature Publishing Group","source":"www-nature-com.stanford.idm.oclc.org","title":"Parmbsc1: a refined force field for DNA simulations","title-short":"Parmbsc1","volume":"13","author":[{"family":"Ivani","given":"Ivan"},{"family":"Dans","given":"Pablo D."},{"family":"Noy","given":"Agnes"},{"family":"Pérez","given":"Alberto"},{"family":"Faustino","given":"Ignacio"},{"family":"Hospital","given":"Adam"},{"family":"Walther","given":"Jürgen"},{"family":"Andrio","given":"Pau"},{"family":"Goñi","given":"Ramon"},{"family":"Balaceanu","given":"Alexandra"},{"family":"Portella","given":"Guillem"},{"family":"Battistini","given":"Federica"},{"family":"Gelpí","given":"Josep Lluis"},{"family":"González","given":"Carlos"},{"family":"Vendruscolo","given":"Michele"},{"family":"Laughton","given":"Charles A."},{"family":"Harris","given":"Sarah A."},{"family":"Case","given":"David A."},{"family":"Orozco","given":"Modesto"}],"issued":{"date-parts":[["2016",1]]}}}],"schema":"https://github.com/citation-style-language/schema/raw/master/csl-citation.json"}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35</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and TIP3P water.</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{"citationID":"boT0ZgCs","properties":{"unsorted":false,"formattedCitation":"\\super 36\\nosupersub{}","plainCitation":"36","noteIndex":0},"citationItems":[{"id":231,"uris":["http://zotero.org/users/19404620/items/6F4CWEFZ"],"itemData":{"id":231,"type":"article-journal","abstract":"Classical Monte Carlo simulations have been carried out for liquid water in the NPT ensemble at 25 °C and 1 atm using six of the simpler intermolecular potential functions for the water dimer: Bernal–Fowler (BF), SPC, ST2, TIPS2, TIP3P, and TIP4P. Comparisons are made with experimental thermodynamic and structural data including the recent neutron diffraction results of Thiessen and Narten. The computed densities and potential energies are in reasonable accord with experiment except for the original BF model, which yields an 18% overestimate of the density and poor structural results. The TIPS2 and TIP4P potentials yield oxygen–oxygen partial structure functions in good agreement with the neutron diffraction results. The accord with the experimental OH and HH partial structure functions is poorer; however, the computed results for these functions are similar for all the potential functions. Consequently, the discrepancy may be due to the correction terms needed in processing the neutron data or to an effect uniformly neglected in the computations. Comparisons are also made for self‐diffusion coefficients obtained from molecular dynamics simulations. Overall, the SPC, ST2, TIPS2, and TIP4P models give reasonable structural and thermodynamic descriptions of liquid water and they should be useful in simulations of aqueous solutions. The simplicity of the SPC, TIPS2, and TIP4P functions is also attractive from a computational standpoint.","container-title":"The Journal of Chemical Physics","DOI":"10.1063/1.445869","ISSN":"0021-9606","issue":"2","journalAbbreviation":"J. Chem. Phys.","page":"926-935","source":"Silverchair","title":"Comparison of simple potential functions for simulating liquid water","volume":"79","author":[{"family":"Jorgensen","given":"William L."},{"family":"Chandrasekhar","given":"Jayaraman"},{"family":"Madura","given":"Jeffry D."},{"family":"Impey","given":"Roger W."},{"family":"Klein","given":"Michael L."}],"issued":{"date-parts":[["1983",7,15]]}}}],"schema":"https://github.com/citation-style-language/schema/raw/master/csl-citation.json"}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36</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DOR parameters were generated through the </w:t>
      </w:r>
      <w:proofErr w:type="spellStart"/>
      <w:r w:rsidR="004260F0" w:rsidRPr="004100CF">
        <w:rPr>
          <w:rFonts w:ascii="Times New Roman" w:hAnsi="Times New Roman" w:cs="Times New Roman"/>
          <w:szCs w:val="24"/>
        </w:rPr>
        <w:t>OpenFF</w:t>
      </w:r>
      <w:proofErr w:type="spellEnd"/>
      <w:r w:rsidR="004260F0" w:rsidRPr="004100CF">
        <w:rPr>
          <w:rFonts w:ascii="Times New Roman" w:hAnsi="Times New Roman" w:cs="Times New Roman"/>
          <w:szCs w:val="24"/>
        </w:rPr>
        <w:t>/SMIRNOFF template generator using direct chemical perception,</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{"citationID":"UnebaBif","properties":{"unsorted":false,"formattedCitation":"\\super 37\\nosupersub{}","plainCitation":"37","noteIndex":0},"citationItems":[{"id":233,"uris":["http://zotero.org/users/19404620/items/E6BDSEJC"],"itemData":{"id":233,"type":"article-journal","abstract":"Traditional approaches to specifying a molecular mechanics force field encode all the information needed to assign force field parameters to a given molecule into a discrete set of atom types. This is equivalent to a representation consisting of a molecular graph comprising a set of vertices, which represent atoms labeled by atom type, and unlabeled edges, which represent chemical bonds. Bond stretch, angle bend, and dihedral parameters are then assigned by looking up bonded pairs, triplets, and quartets of atom types in parameter tables to assign valence terms and using the atom types themselves to assign nonbonded parameters. This approach, which we call indirect chemical perception because it operates on the intermediate graph of atom-typed nodes, creates a number of technical problems. For example, atom types must be sufficiently complex to encode all necessary information about the molecular environment, making it difficult to extend force fields encoded this way. Atom typing also results in a proliferation of redundant parameters applied to chemically equivalent classes of valence terms, needlessly increasing force field complexity. Here, we describe a new approach to assigning force field parameters via direct chemical perception. Rather than working through the intermediary of the atom-typed graph, direct chemical perception operates directly on the unmodified chemical graph of the molecule to assign parameters. In particular, parameters are assigned to each type of force field term (e.g., bond stretch, angle bend, torsion, and Lennard–Jones) based on standard chemical substructure queries implemented via the industry-standard SMARTS chemical perception language, using SMIRKS extensions that permit labeling of specific atoms within a chemical pattern. We use this to implement a new force field format, called the SMIRKS Native Open Force Field (SMIRNOFF) format. We demonstrate the power and generality of this approach using examples of specific molecules that pose problems for indirect chemical perception and construct and validate a minimalist yet very general force field, SMIRNOFF99Frosst. We find that a parameter definition file only </w:instrText>
      </w:r>
      <w:r w:rsidR="00E032F1" w:rsidRPr="004100CF">
        <w:rPr>
          <w:rFonts w:ascii="Cambria Math" w:hAnsi="Cambria Math" w:cs="Cambria Math"/>
          <w:szCs w:val="24"/>
        </w:rPr>
        <w:instrText>∼</w:instrText>
      </w:r>
      <w:r w:rsidR="00E032F1" w:rsidRPr="004100CF">
        <w:rPr>
          <w:rFonts w:ascii="Times New Roman" w:hAnsi="Times New Roman" w:cs="Times New Roman"/>
          <w:szCs w:val="24"/>
        </w:rPr>
        <w:instrText xml:space="preserve">300 lines long provides coverage of all but &lt;0.02% of a 5 million molecule drug-like test set. Despite its simplicity, the accuracy of SMIRNOFF99Frosst for small molecule hydration free energies and selected properties of pure organic liquids is similar to that of the General Amber Force Field, whose specification requires thousands of parameters. This force field provides a starting point for further optimization and refitting work to follow.","container-title":"Journal of Chemical Theory and Computation","DOI":"10.1021/acs.jctc.8b00640","ISSN":"1549-9618","issue":"11","journalAbbreviation":"J. Chem. Theory Comput.","page":"6076-6092","publisher":"American Chemical Society","source":"ACS Publications","title":"Escaping Atom Types in Force Fields Using Direct Chemical Perception","volume":"14","author":[{"family":"Mobley","given":"David L."},{"family":"Bannan","given":"Caitlin C."},{"family":"Rizzi","given":"Andrea"},{"family":"Bayly","given":"Christopher I."},{"family":"Chodera","given":"John D."},{"family":"Lim","given":"Victoria T."},{"family":"Lim","given":"Nathan M."},{"family":"Beauchamp","given":"Kyle A."},{"family":"Slochower","given":"David R."},{"family":"Shirts","given":"Michael R."},{"family":"Gilson","given":"Michael K."},{"family":"Eastman","given":"Peter K."}],"issued":{"date-parts":[["2018",11,13]]}}}],"schema":"https://github.com/citation-style-language/schema/raw/master/csl-citation.json"}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37</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with Gasteiger partial charges.</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{"citationID":"eGQafwOT","properties":{"unsorted":false,"formattedCitation":"\\super 38\\nosupersub{}","plainCitation":"38","noteIndex":0},"citationItems":[{"id":235,"uris":["http://zotero.org/users/19404620/items/TBIEN3LN"],"itemData":{"id":235,"type":"article-journal","abstract":"A method is presented for the rapid calculation of atomic charges in σ-bonded and nonconjugated π-systems. Atoms are characterized by their orbital electronegativities. In the calculation only the connectivities of the atoms are considered. Thus only the topology of a molecule is of importance. Through an iterative procedure partial equalization of orbital electronegativity is obtained. Excellent correlations of the atomic charges with core electron binding energies and with acidity constants are observed. This establishes their value in predicting experimental data.","container-title":"Tetrahedron","DOI":"10.1016/0040-4020(80)80168-2","ISSN":"0040-4020","issue":"22","journalAbbreviation":"Tetrahedron","page":"3219-3228","source":"ScienceDirect","title":"Iterative partial equalization of orbital electronegativity—a rapid access to atomic charges","volume":"36","author":[{"family":"Gasteiger","given":"Johann"},{"family":"Marsili","given":"Mario"}],"issued":{"date-parts":[["1980",1,1]]}}}],"schema":"https://github.com/citation-style-language/schema/raw/master/csl-citation.json"}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38</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Each complex was solvated in a TIP3P periodic box with 1.0 nm padding and neutralized at 0.15 M ionic strength. Nonbonded interactions used particle-mesh Ewald electrostatics</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{"citationID":"R2wUPQOt","properties":{"unsorted":false,"formattedCitation":"\\super 39\\nosupersub{}","plainCitation":"39","noteIndex":0},"citationItems":[{"id":237,"uris":["http://zotero.org/users/19404620/items/JJF3VIYX"],"itemData":{"id":237,"type":"article-journal","abstract":"An N</w:instrText>
      </w:r>
      <w:r w:rsidR="00E032F1" w:rsidRPr="004100CF">
        <w:rPr>
          <w:rFonts w:ascii="Cambria Math" w:hAnsi="Cambria Math" w:cs="Cambria Math"/>
          <w:szCs w:val="24"/>
        </w:rPr>
        <w:instrText>⋅</w:instrText>
      </w:r>
      <w:r w:rsidR="00E032F1" w:rsidRPr="004100CF">
        <w:rPr>
          <w:rFonts w:ascii="Times New Roman" w:hAnsi="Times New Roman" w:cs="Times New Roman"/>
          <w:szCs w:val="24"/>
        </w:rPr>
        <w:instrText>log(N) method for evaluating electrostatic energies and forces of large periodic systems is presented. The method is based on interpolation of the reciprocal space Ewald sums and evaluation of the resulting convolutions using fast Fourier transforms. Timings and accuracies are presented for three large crystalline ionic systems.","container-title":"The Journal of Chemical Physics","DOI":"10.1063/1.464397","ISSN":"0021-9606","issue":"12","journalAbbreviation":"J. Chem. Phys.","page":"10089-10092","source":"Silverchair","title":"Particle mesh Ewald: An N</w:instrText>
      </w:r>
      <w:r w:rsidR="00E032F1" w:rsidRPr="004100CF">
        <w:rPr>
          <w:rFonts w:ascii="Cambria Math" w:hAnsi="Cambria Math" w:cs="Cambria Math"/>
          <w:szCs w:val="24"/>
        </w:rPr>
        <w:instrText>⋅</w:instrText>
      </w:r>
      <w:r w:rsidR="00E032F1" w:rsidRPr="004100CF">
        <w:rPr>
          <w:rFonts w:ascii="Times New Roman" w:hAnsi="Times New Roman" w:cs="Times New Roman"/>
          <w:szCs w:val="24"/>
        </w:rPr>
        <w:instrText xml:space="preserve">log(N) method for Ewald sums in large systems","title-short":"Particle mesh Ewald","volume":"98","author":[{"family":"Darden","given":"Tom"},{"family":"York","given":"Darrin"},{"family":"Pedersen","given":"Lee"}],"issued":{"date-parts":[["1993",6,15]]}}}],"schema":"https://github.com/citation-style-language/schema/raw/master/csl-citation.json"}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39</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with a 1.0 nm cutoff, and bonds to hydrogen atoms were constrained.</w:t>
      </w:r>
    </w:p>
    <w:p w14:paraId="636E8DE9" w14:textId="77777777" w:rsidR="004260F0" w:rsidRPr="004100CF" w:rsidRDefault="004260F0" w:rsidP="004260F0">
      <w:pPr>
        <w:spacing w:after="240"/>
        <w:rPr>
          <w:rFonts w:ascii="Times New Roman" w:hAnsi="Times New Roman" w:cs="Times New Roman"/>
          <w:szCs w:val="24"/>
        </w:rPr>
      </w:pPr>
      <w:r w:rsidRPr="004100CF">
        <w:rPr>
          <w:rFonts w:ascii="Times New Roman" w:hAnsi="Times New Roman" w:cs="Times New Roman"/>
          <w:szCs w:val="24"/>
        </w:rPr>
        <w:t>Each WT or mutant complex was simulated in three independent 100 ns production replicates. Systems underwent a short pre-production minimization of the solvated system, followed by staged C</w:t>
      </w:r>
      <w:r w:rsidRPr="004100CF">
        <w:rPr>
          <w:rFonts w:ascii="Times New Roman" w:hAnsi="Times New Roman" w:cs="Times New Roman"/>
          <w:szCs w:val="24"/>
          <w:vertAlign w:val="subscript"/>
        </w:rPr>
        <w:t>α</w:t>
      </w:r>
      <w:r w:rsidRPr="004100CF">
        <w:rPr>
          <w:rFonts w:ascii="Times New Roman" w:hAnsi="Times New Roman" w:cs="Times New Roman"/>
          <w:szCs w:val="24"/>
        </w:rPr>
        <w:t>-restrained minimization (1,000 iterations at 50 kcal mol</w:t>
      </w:r>
      <w:r w:rsidRPr="004100CF">
        <w:rPr>
          <w:rFonts w:ascii="Times New Roman" w:hAnsi="Times New Roman" w:cs="Times New Roman"/>
          <w:szCs w:val="24"/>
          <w:vertAlign w:val="superscript"/>
        </w:rPr>
        <w:t>−1</w:t>
      </w:r>
      <w:r w:rsidRPr="004100CF">
        <w:rPr>
          <w:rFonts w:ascii="Times New Roman" w:hAnsi="Times New Roman" w:cs="Times New Roman"/>
          <w:szCs w:val="24"/>
        </w:rPr>
        <w:t xml:space="preserve"> Å</w:t>
      </w:r>
      <w:r w:rsidRPr="004100CF">
        <w:rPr>
          <w:rFonts w:ascii="Times New Roman" w:hAnsi="Times New Roman" w:cs="Times New Roman"/>
          <w:szCs w:val="24"/>
          <w:vertAlign w:val="superscript"/>
        </w:rPr>
        <w:t>−2</w:t>
      </w:r>
      <w:r w:rsidRPr="004100CF">
        <w:rPr>
          <w:rFonts w:ascii="Times New Roman" w:hAnsi="Times New Roman" w:cs="Times New Roman"/>
          <w:szCs w:val="24"/>
        </w:rPr>
        <w:t>, 1,000 iterations at 10 kcal mol</w:t>
      </w:r>
      <w:r w:rsidRPr="004100CF">
        <w:rPr>
          <w:rFonts w:ascii="Times New Roman" w:hAnsi="Times New Roman" w:cs="Times New Roman"/>
          <w:szCs w:val="24"/>
          <w:vertAlign w:val="superscript"/>
        </w:rPr>
        <w:t>−1</w:t>
      </w:r>
      <w:r w:rsidRPr="004100CF">
        <w:rPr>
          <w:rFonts w:ascii="Times New Roman" w:hAnsi="Times New Roman" w:cs="Times New Roman"/>
          <w:szCs w:val="24"/>
        </w:rPr>
        <w:t xml:space="preserve"> Å</w:t>
      </w:r>
      <w:r w:rsidRPr="004100CF">
        <w:rPr>
          <w:rFonts w:ascii="Times New Roman" w:hAnsi="Times New Roman" w:cs="Times New Roman"/>
          <w:szCs w:val="24"/>
          <w:vertAlign w:val="superscript"/>
        </w:rPr>
        <w:t>−2</w:t>
      </w:r>
      <w:r w:rsidRPr="004100CF">
        <w:rPr>
          <w:rFonts w:ascii="Times New Roman" w:hAnsi="Times New Roman" w:cs="Times New Roman"/>
          <w:szCs w:val="24"/>
        </w:rPr>
        <w:t xml:space="preserve">, and 5,000 unrestrained iterations). Systems were then heated from 10 K to 300 K over 25 </w:t>
      </w:r>
      <w:proofErr w:type="spellStart"/>
      <w:r w:rsidRPr="004100CF">
        <w:rPr>
          <w:rFonts w:ascii="Times New Roman" w:hAnsi="Times New Roman" w:cs="Times New Roman"/>
          <w:szCs w:val="24"/>
        </w:rPr>
        <w:t>ps</w:t>
      </w:r>
      <w:proofErr w:type="spellEnd"/>
      <w:r w:rsidRPr="004100CF">
        <w:rPr>
          <w:rFonts w:ascii="Times New Roman" w:hAnsi="Times New Roman" w:cs="Times New Roman"/>
          <w:szCs w:val="24"/>
        </w:rPr>
        <w:t xml:space="preserve"> under NVT conditions. Production simulations were run at 300 K and 1 bar using the Langevin middle integrator, a 2 fs timestep, 1 ps</w:t>
      </w:r>
      <w:r w:rsidRPr="004100CF">
        <w:rPr>
          <w:rFonts w:ascii="Times New Roman" w:hAnsi="Times New Roman" w:cs="Times New Roman"/>
          <w:szCs w:val="24"/>
          <w:vertAlign w:val="superscript"/>
        </w:rPr>
        <w:t>−1</w:t>
      </w:r>
      <w:r w:rsidRPr="004100CF">
        <w:rPr>
          <w:rFonts w:ascii="Times New Roman" w:hAnsi="Times New Roman" w:cs="Times New Roman"/>
          <w:szCs w:val="24"/>
        </w:rPr>
        <w:t xml:space="preserve"> friction coefficient, and a Monte Carlo </w:t>
      </w:r>
      <w:proofErr w:type="spellStart"/>
      <w:r w:rsidRPr="004100CF">
        <w:rPr>
          <w:rFonts w:ascii="Times New Roman" w:hAnsi="Times New Roman" w:cs="Times New Roman"/>
          <w:szCs w:val="24"/>
        </w:rPr>
        <w:t>barostat</w:t>
      </w:r>
      <w:proofErr w:type="spellEnd"/>
      <w:r w:rsidRPr="004100CF">
        <w:rPr>
          <w:rFonts w:ascii="Times New Roman" w:hAnsi="Times New Roman" w:cs="Times New Roman"/>
          <w:szCs w:val="24"/>
        </w:rPr>
        <w:t>. State information was written every 2,000 integration steps. For downstream analysis, stripped protein-plus-ligand DCD trajectories were saved at approximately 200 evenly spaced frames per 100 ns production simulation.</w:t>
      </w:r>
    </w:p>
    <w:p w14:paraId="23470102" w14:textId="77777777" w:rsidR="004260F0" w:rsidRPr="004100CF" w:rsidRDefault="004260F0" w:rsidP="004260F0">
      <w:pPr>
        <w:rPr>
          <w:rFonts w:ascii="Times New Roman" w:hAnsi="Times New Roman" w:cs="Times New Roman"/>
          <w:szCs w:val="24"/>
        </w:rPr>
      </w:pPr>
      <w:r w:rsidRPr="004100CF">
        <w:rPr>
          <w:rFonts w:ascii="Times New Roman" w:hAnsi="Times New Roman" w:cs="Times New Roman"/>
          <w:b/>
          <w:bCs/>
          <w:szCs w:val="24"/>
          <w:u w:val="single"/>
        </w:rPr>
        <w:t>Trajectory processing and structural features</w:t>
      </w:r>
    </w:p>
    <w:p w14:paraId="75FE69A3" w14:textId="02542C41" w:rsidR="004260F0" w:rsidRPr="004100CF" w:rsidRDefault="004260F0" w:rsidP="004260F0">
      <w:pPr>
        <w:spacing w:after="240"/>
        <w:rPr>
          <w:rFonts w:ascii="Times New Roman" w:hAnsi="Times New Roman" w:cs="Times New Roman"/>
          <w:szCs w:val="24"/>
        </w:rPr>
      </w:pPr>
      <w:r w:rsidRPr="004100CF">
        <w:rPr>
          <w:rFonts w:ascii="Times New Roman" w:hAnsi="Times New Roman" w:cs="Times New Roman"/>
          <w:szCs w:val="24"/>
        </w:rPr>
        <w:t>Trajectory analyses were performed with MDAnalysis</w:t>
      </w:r>
      <w:r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{"citationID":"dulF9I72","properties":{"unsorted":false,"formattedCitation":"\\super 40\\nosupersub{}","plainCitation":"40","noteIndex":0},"citationItems":[{"id":240,"uris":["http://zotero.org/users/19404620/items/RPEHK5MV"],"itemData":{"id":240,"type":"article-journal","abstract":"MDAnalysis is an object-oriented library for structural and temporal analysis of molecular dynamics (MD) simulation trajectories and individual protein structures. It is written in the Python language with some performance-critical code in C. It uses the powerful NumPy package to expose trajectory data as fast and efficient NumPy arrays. It has been tested on systems of millions of particles. Many common file formats of simulation packages including CHARMM, Gromacs, Amber, and NAMD and the Protein Data Bank format can be read and written. Atoms can be selected with a syntax similar to CHARMM's powerful selection commands. MDAnalysis enables both novice and experienced programmers to rapidly write their own analytical tools and access data stored in trajectories in an easily accessible manner that facilitates interactive explorative analysis. MDAnalysis has been tested on and works for most Unix-based platforms such as Linux and Mac OS X. It is freely available under the GNU General Public License from http://mdanalysis.googlecode.com. © 2011 Wiley Periodicals, Inc. J Comput Chem 2011","container-title":"Journal of Computational Chemistry","DOI":"10.1002/jcc.21787","ISSN":"1096-987X","issue":"10","language":"en","license":"Copyright © 2011 Wiley Periodicals, Inc.","note":"_eprint: https://onlinelibrary.wiley.com/doi/pdf/10.1002/jcc.21787","page":"2319-2327","source":"Wiley Online Library","title":"MDAnalysis: A toolkit for the analysis of molecular dynamics simulations","title-short":"MDAnalysis","volume":"32","author":[{"family":"Michaud-Agrawal","given":"Naveen"},{"family":"Denning","given":"Elizabeth J."},{"family":"Woolf","given":"Thomas B."},{"family":"Beckstein","given":"Oliver"}],"issued":{"date-parts":[["2011"]]}}}],"schema":"https://github.com/citation-style-language/schema/raw/master/csl-citation.json"} </w:instrText>
      </w:r>
      <w:r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40</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and MDTraj.</w:t>
      </w:r>
      <w:r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{"citationID":"MBYMA91P","properties":{"unsorted":false,"formattedCitation":"\\super 41\\nosupersub{}","plainCitation":"41","noteIndex":0},"citationItems":[{"id":243,"uris":["http://zotero.org/users/19404620/items/RFZX7FL3"],"itemData":{"id":243,"type":"article-journal","container-title":"Biophysical Journal","DOI":"10.1016/j.bpj.2015.08.015","ISSN":"0006-3495, 1542-0086","issue":"8","journalAbbreviation":"Biophysical Journal","language":"English","page":"1528-1532","PMID":"26488642","publisher":"Elsevier","source":"www.cell.com","title":"MDTraj: A Modern Open Library for the Analysis of Molecular Dynamics Trajectories","title-short":"MDTraj","volume":"109","author":[{"family":"McGibbon","given":"Robert T."},{"family":"Beauchamp","given":"Kyle A."},{"family":"Harrigan","given":"Matthew P."},{"family":"Klein","given":"Christoph"},{"family":"Swails","given":"Jason M."},{"family":"Hernández","given":"Carlos X."},{"family":"Schwantes","given":"Christian R."},{"family":"Wang","given":"Lee-Ping"},{"family":"Lane","given":"Thomas J."},{"family":"Pande","given":"Vijay S."}],"issued":{"date-parts":[["2015",10,20]]}}}],"schema":"https://github.com/citation-style-language/schema/raw/master/csl-citation.json"} </w:instrText>
      </w:r>
      <w:r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41</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Periodic-boundary artifacts were corrected by making protein chains whole and wrapping DOR to the nearest periodic image of the protein center of mass. For structural comparisons, trajectories were aligned to the </w:t>
      </w:r>
      <w:r w:rsidR="007D7A4D" w:rsidRPr="004100CF">
        <w:rPr>
          <w:rFonts w:ascii="Times New Roman" w:hAnsi="Times New Roman" w:cs="Times New Roman"/>
          <w:szCs w:val="24"/>
        </w:rPr>
        <w:t>crystal structure</w:t>
      </w:r>
      <w:r w:rsidRPr="004100CF">
        <w:rPr>
          <w:rFonts w:ascii="Times New Roman" w:hAnsi="Times New Roman" w:cs="Times New Roman"/>
          <w:szCs w:val="24"/>
        </w:rPr>
        <w:t xml:space="preserve"> reference using C</w:t>
      </w:r>
      <w:r w:rsidR="007D7A4D" w:rsidRPr="004100CF">
        <w:rPr>
          <w:rFonts w:ascii="Times New Roman" w:hAnsi="Times New Roman" w:cs="Times New Roman"/>
          <w:szCs w:val="24"/>
          <w:vertAlign w:val="subscript"/>
        </w:rPr>
        <w:t>α</w:t>
      </w:r>
      <w:r w:rsidRPr="004100CF">
        <w:rPr>
          <w:rFonts w:ascii="Times New Roman" w:hAnsi="Times New Roman" w:cs="Times New Roman"/>
          <w:szCs w:val="24"/>
        </w:rPr>
        <w:t xml:space="preserve"> atoms. DOR pose </w:t>
      </w:r>
      <w:r w:rsidR="0087658B" w:rsidRPr="004100CF">
        <w:rPr>
          <w:rFonts w:ascii="Times New Roman" w:hAnsi="Times New Roman" w:cs="Times New Roman"/>
          <w:szCs w:val="24"/>
        </w:rPr>
        <w:t>root mean squared deviation (</w:t>
      </w:r>
      <w:r w:rsidRPr="004100CF">
        <w:rPr>
          <w:rFonts w:ascii="Times New Roman" w:hAnsi="Times New Roman" w:cs="Times New Roman"/>
          <w:szCs w:val="24"/>
        </w:rPr>
        <w:t>RMSD</w:t>
      </w:r>
      <w:r w:rsidR="0087658B" w:rsidRPr="004100CF">
        <w:rPr>
          <w:rFonts w:ascii="Times New Roman" w:hAnsi="Times New Roman" w:cs="Times New Roman"/>
          <w:szCs w:val="24"/>
        </w:rPr>
        <w:t>)</w:t>
      </w:r>
      <w:r w:rsidRPr="004100CF">
        <w:rPr>
          <w:rFonts w:ascii="Times New Roman" w:hAnsi="Times New Roman" w:cs="Times New Roman"/>
          <w:szCs w:val="24"/>
        </w:rPr>
        <w:t xml:space="preserve"> was computed after protein-pocket alignment from DOR heavy atoms relative to the crystallographic pose. Residue-DOR proximity features were computed as the minimum heavy-atom distance between DOR and each specified RT residue in each analyzed frame. </w:t>
      </w:r>
    </w:p>
    <w:p w14:paraId="3C279018" w14:textId="3ACC783C" w:rsidR="004260F0" w:rsidRPr="004100CF" w:rsidRDefault="004260F0" w:rsidP="004260F0">
      <w:pPr>
        <w:rPr>
          <w:rFonts w:ascii="Times New Roman" w:hAnsi="Times New Roman" w:cs="Times New Roman"/>
          <w:b/>
          <w:bCs/>
          <w:szCs w:val="24"/>
          <w:u w:val="single"/>
        </w:rPr>
      </w:pPr>
      <w:r w:rsidRPr="004100CF">
        <w:rPr>
          <w:rFonts w:ascii="Times New Roman" w:hAnsi="Times New Roman" w:cs="Times New Roman"/>
          <w:b/>
          <w:bCs/>
          <w:szCs w:val="24"/>
          <w:u w:val="single"/>
        </w:rPr>
        <w:lastRenderedPageBreak/>
        <w:t>MM/GBSA Calculations</w:t>
      </w:r>
    </w:p>
    <w:p w14:paraId="273046E2" w14:textId="6D05369D" w:rsidR="009D3750" w:rsidRPr="004100CF" w:rsidRDefault="004260F0" w:rsidP="004260F0">
      <w:pPr>
        <w:spacing w:after="240"/>
        <w:rPr>
          <w:rFonts w:ascii="Times New Roman" w:hAnsi="Times New Roman" w:cs="Times New Roman"/>
          <w:szCs w:val="24"/>
        </w:rPr>
      </w:pPr>
      <w:r w:rsidRPr="004100CF">
        <w:rPr>
          <w:rFonts w:ascii="Times New Roman" w:hAnsi="Times New Roman" w:cs="Times New Roman"/>
          <w:szCs w:val="24"/>
        </w:rPr>
        <w:t>For each replicate trajectory, MM/GBSA-style binding-energy components were computed from solute-only snapshots of the explicit-solvent simulations.</w:t>
      </w:r>
      <w:r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{"citationID":"wtMETtvS","properties":{"unsorted":false,"formattedCitation":"\\super 42\\nosupersub{}","plainCitation":"42","noteIndex":0},"citationItems":[{"id":246,"uris":["http://zotero.org/users/19404620/items/PXXKNW8K"],"itemData":{"id":246,"type":"article-journal","abstract":"Significant progress has been achieved in computational methods to treat solvent effects in recent years. Among various techniques, the continuum solvent approach appears to be practically promising because it can be used to calculate reliable interaction and solvation energies in complex systems. A computational scanning mutagenesis method, one of such new approaches, has been recently developed. It combines the molecular mechanical and continuum solvent approaches and allows one to identify the `hotspots' in binding interfaces from a single trajectory of a wild type complex. Such techniques can be also used as a tool to optimize the interacting species for the binding, or as a ranking procedure in high throughput screening.","container-title":"Perspectives in Drug Discovery and Design","DOI":"10.1023/A:1008763014207","ISSN":"1573-9023","issue":"1","journalAbbreviation":"Perspectives in Drug Discovery and Design","language":"en","page":"113-135","source":"Springer Link","title":"Combined molecular mechanical and continuum solvent approach (MM-PBSA/GBSA) to predict ligand binding","volume":"18","author":[{"family":"Massova","given":"Irina"},{"family":"Kollman","given":"Peter A."}],"issued":{"date-parts":[["2000",6,1]]}}}],"schema":"https://github.com/citation-style-language/schema/raw/master/csl-citation.json"} </w:instrText>
      </w:r>
      <w:r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42</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The analysis used the same molecular-mechanics parameters as the production simulations. We evaluated complex, receptor, and ligand energies separately, and computed binding components as </w:t>
      </w:r>
    </w:p>
    <w:p w14:paraId="08A9D11D" w14:textId="75C7E96D" w:rsidR="009D3750" w:rsidRPr="004100CF" w:rsidRDefault="004260F0" w:rsidP="009D3750">
      <w:pPr>
        <w:spacing w:after="240"/>
        <w:jc w:val="center"/>
        <w:rPr>
          <w:rFonts w:ascii="Times New Roman" w:hAnsi="Times New Roman" w:cs="Times New Roman"/>
          <w:szCs w:val="24"/>
        </w:rPr>
      </w:pPr>
      <w:r w:rsidRPr="004100CF">
        <w:rPr>
          <w:rFonts w:ascii="Times New Roman" w:hAnsi="Times New Roman" w:cs="Times New Roman"/>
          <w:szCs w:val="24"/>
        </w:rPr>
        <w:t xml:space="preserve">∆E = </w:t>
      </w:r>
      <w:proofErr w:type="spellStart"/>
      <w:r w:rsidRPr="004100CF">
        <w:rPr>
          <w:rFonts w:ascii="Times New Roman" w:hAnsi="Times New Roman" w:cs="Times New Roman"/>
          <w:szCs w:val="24"/>
        </w:rPr>
        <w:t>E</w:t>
      </w:r>
      <w:r w:rsidRPr="004100CF">
        <w:rPr>
          <w:rFonts w:ascii="Times New Roman" w:hAnsi="Times New Roman" w:cs="Times New Roman"/>
          <w:szCs w:val="24"/>
          <w:vertAlign w:val="subscript"/>
        </w:rPr>
        <w:t>complex</w:t>
      </w:r>
      <w:proofErr w:type="spellEnd"/>
      <w:r w:rsidRPr="004100CF">
        <w:rPr>
          <w:rFonts w:ascii="Times New Roman" w:hAnsi="Times New Roman" w:cs="Times New Roman"/>
          <w:szCs w:val="24"/>
        </w:rPr>
        <w:t xml:space="preserve"> − </w:t>
      </w:r>
      <w:proofErr w:type="spellStart"/>
      <w:r w:rsidRPr="004100CF">
        <w:rPr>
          <w:rFonts w:ascii="Times New Roman" w:hAnsi="Times New Roman" w:cs="Times New Roman"/>
          <w:szCs w:val="24"/>
        </w:rPr>
        <w:t>E</w:t>
      </w:r>
      <w:r w:rsidRPr="004100CF">
        <w:rPr>
          <w:rFonts w:ascii="Times New Roman" w:hAnsi="Times New Roman" w:cs="Times New Roman"/>
          <w:szCs w:val="24"/>
          <w:vertAlign w:val="subscript"/>
        </w:rPr>
        <w:t>receptor</w:t>
      </w:r>
      <w:proofErr w:type="spellEnd"/>
      <w:r w:rsidRPr="004100CF">
        <w:rPr>
          <w:rFonts w:ascii="Times New Roman" w:hAnsi="Times New Roman" w:cs="Times New Roman"/>
          <w:szCs w:val="24"/>
        </w:rPr>
        <w:t xml:space="preserve"> − </w:t>
      </w:r>
      <w:proofErr w:type="spellStart"/>
      <w:r w:rsidRPr="004100CF">
        <w:rPr>
          <w:rFonts w:ascii="Times New Roman" w:hAnsi="Times New Roman" w:cs="Times New Roman"/>
          <w:szCs w:val="24"/>
        </w:rPr>
        <w:t>E</w:t>
      </w:r>
      <w:r w:rsidRPr="004100CF">
        <w:rPr>
          <w:rFonts w:ascii="Times New Roman" w:hAnsi="Times New Roman" w:cs="Times New Roman"/>
          <w:szCs w:val="24"/>
          <w:vertAlign w:val="subscript"/>
        </w:rPr>
        <w:t>ligand</w:t>
      </w:r>
      <w:proofErr w:type="spellEnd"/>
      <w:r w:rsidRPr="004100CF">
        <w:rPr>
          <w:rFonts w:ascii="Times New Roman" w:hAnsi="Times New Roman" w:cs="Times New Roman"/>
          <w:szCs w:val="24"/>
        </w:rPr>
        <w:t>.</w:t>
      </w:r>
    </w:p>
    <w:p w14:paraId="21719071" w14:textId="36AE1D6B" w:rsidR="00904E1B" w:rsidRPr="004100CF" w:rsidRDefault="004260F0" w:rsidP="004260F0">
      <w:pPr>
        <w:spacing w:after="240"/>
        <w:rPr>
          <w:rFonts w:ascii="Times New Roman" w:hAnsi="Times New Roman" w:cs="Times New Roman"/>
          <w:szCs w:val="24"/>
        </w:rPr>
      </w:pPr>
      <w:r w:rsidRPr="004100CF">
        <w:rPr>
          <w:rFonts w:ascii="Times New Roman" w:hAnsi="Times New Roman" w:cs="Times New Roman"/>
          <w:szCs w:val="24"/>
        </w:rPr>
        <w:t xml:space="preserve">Van der Waals and electrostatic molecular-mechanics terms were evaluated separately by selectively zeroing the complementary nonbonded parameters. Polar solvation was computed with the </w:t>
      </w:r>
      <w:proofErr w:type="spellStart"/>
      <w:r w:rsidRPr="004100CF">
        <w:rPr>
          <w:rFonts w:ascii="Times New Roman" w:hAnsi="Times New Roman" w:cs="Times New Roman"/>
          <w:szCs w:val="24"/>
        </w:rPr>
        <w:t>Onufriev</w:t>
      </w:r>
      <w:proofErr w:type="spellEnd"/>
      <w:r w:rsidRPr="004100CF">
        <w:rPr>
          <w:rFonts w:ascii="Times New Roman" w:hAnsi="Times New Roman" w:cs="Times New Roman"/>
          <w:szCs w:val="24"/>
        </w:rPr>
        <w:t>-Bashford-Case generalized Born model,</w:t>
      </w:r>
      <w:r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{"citationID":"zMKShQIN","properties":{"unsorted":false,"formattedCitation":"\\super 43\\nosupersub{}","plainCitation":"43","noteIndex":0},"citationItems":[{"id":248,"uris":["http://zotero.org/users/19404620/items/NR457Q7X"],"itemData":{"id":248,"type":"article-journal","abstract":"Implicit solvation models provide, for many applications, a reasonably accurate and computationally effective way to describe the electrostatics of aqueous solvation. Here, a popular analytical Generalized Born (GB) solvation model is modified to improve its accuracy in calculating the solvent polarization part of free energy changes in large-scale conformational transitions, such as protein folding. In contrast to an earlier GB model (implemented in the AMBER-6 program), the improved version does not overstabilize the native structures relative to the finite-difference Poisson–Boltzmann continuum treatment. In addition to improving the energy balance between folded and unfolded conformers, the algorithm (available in the AMBER-7 and NAB molecular modeling packages) is shown to perform well in more than 50 ns of native-state molecular dynamics (MD) simulations of thioredoxin, protein-A, and ubiquitin, as well as in a simulation of Barnase/Barstar complex formation. For thioredoxin, various combinations of input parameters have been explored, such as the underlying gas-phase force fields and the atomic radii. The best performance is achieved with a previously proposed modification to the torsional potential in the Amber ff99 force field, which yields stable native trajectories for all of the tested proteins, with backbone root-mean-square deviations from the native structures being </w:instrText>
      </w:r>
      <w:r w:rsidR="00E032F1" w:rsidRPr="004100CF">
        <w:rPr>
          <w:rFonts w:ascii="Cambria Math" w:hAnsi="Cambria Math" w:cs="Cambria Math"/>
          <w:szCs w:val="24"/>
        </w:rPr>
        <w:instrText>∼</w:instrText>
      </w:r>
      <w:r w:rsidR="00E032F1" w:rsidRPr="004100CF">
        <w:rPr>
          <w:rFonts w:ascii="Times New Roman" w:hAnsi="Times New Roman" w:cs="Times New Roman"/>
          <w:szCs w:val="24"/>
        </w:rPr>
        <w:instrText xml:space="preserve">1.5 Å after 6 ns of simulation time. The structure of Barnase/Barstar complex is regenerated, starting from an unbound state, to within 1.9 Å relative to the crystal structure of the complex. Proteins 2004;55:000–000. © 2004 Wiley-Liss, Inc.","container-title":"Proteins: Structure, Function, and Bioinformatics","DOI":"10.1002/prot.20033","ISSN":"1097-0134","issue":"2","language":"en","license":"Copyright © 2004 Wiley-Liss, Inc.","note":"_eprint: https://onlinelibrary.wiley.com/doi/pdf/10.1002/prot.20033","page":"383-394","source":"Wiley Online Library","title":"Exploring protein native states and large-scale conformational changes with a modified generalized born model","volume":"55","author":[{"family":"Onufriev","given":"Alexey"},{"family":"Bashford","given":"Donald"},{"family":"Case","given":"David A."}],"issued":{"date-parts":[["2004"]]}}}],"schema":"https://github.com/citation-style-language/schema/raw/master/csl-citation.json"} </w:instrText>
      </w:r>
      <w:r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43</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and the nonpolar surface-area term was computed from the GBSA surface-area contribution. </w:t>
      </w:r>
      <w:r w:rsidR="00BE1E8F" w:rsidRPr="004100CF">
        <w:rPr>
          <w:rFonts w:ascii="Times New Roman" w:hAnsi="Times New Roman" w:cs="Times New Roman"/>
          <w:szCs w:val="24"/>
        </w:rPr>
        <w:t xml:space="preserve">Each snapshot was energy-minimized for 100 iterations with all atoms free before energy evaluation, to relieve steric overlaps that would otherwise dominate the van der Waals term. Replicate means are reported from the final 20 saved frames of each trajectory, corresponding to approximately the final 10 ns. WT-referenced shifts were calculated as </w:t>
      </w:r>
    </w:p>
    <w:p w14:paraId="65F7A4DE" w14:textId="05DD1D48" w:rsidR="00904E1B" w:rsidRPr="004100CF" w:rsidRDefault="00BE1E8F" w:rsidP="00904E1B">
      <w:pPr>
        <w:spacing w:after="240"/>
        <w:jc w:val="center"/>
        <w:rPr>
          <w:rFonts w:ascii="Times New Roman" w:hAnsi="Times New Roman" w:cs="Times New Roman"/>
          <w:szCs w:val="24"/>
        </w:rPr>
      </w:pPr>
      <w:r w:rsidRPr="004100CF">
        <w:rPr>
          <w:rFonts w:ascii="Times New Roman" w:hAnsi="Times New Roman" w:cs="Times New Roman"/>
          <w:szCs w:val="24"/>
        </w:rPr>
        <w:t>∆∆E = ∆</w:t>
      </w:r>
      <w:proofErr w:type="spellStart"/>
      <w:r w:rsidRPr="004100CF">
        <w:rPr>
          <w:rFonts w:ascii="Times New Roman" w:hAnsi="Times New Roman" w:cs="Times New Roman"/>
          <w:szCs w:val="24"/>
        </w:rPr>
        <w:t>E</w:t>
      </w:r>
      <w:r w:rsidR="00904E1B" w:rsidRPr="004100CF">
        <w:rPr>
          <w:rFonts w:ascii="Times New Roman" w:hAnsi="Times New Roman" w:cs="Times New Roman"/>
          <w:szCs w:val="24"/>
          <w:vertAlign w:val="subscript"/>
        </w:rPr>
        <w:t>M</w:t>
      </w:r>
      <w:r w:rsidRPr="004100CF">
        <w:rPr>
          <w:rFonts w:ascii="Times New Roman" w:hAnsi="Times New Roman" w:cs="Times New Roman"/>
          <w:szCs w:val="24"/>
          <w:vertAlign w:val="subscript"/>
        </w:rPr>
        <w:t>ut</w:t>
      </w:r>
      <w:proofErr w:type="spellEnd"/>
      <w:r w:rsidRPr="004100CF">
        <w:rPr>
          <w:rFonts w:ascii="Times New Roman" w:hAnsi="Times New Roman" w:cs="Times New Roman"/>
          <w:szCs w:val="24"/>
        </w:rPr>
        <w:t xml:space="preserve"> − </w:t>
      </w:r>
      <w:r w:rsidRPr="004100CF">
        <w:rPr>
          <w:rFonts w:ascii="Cambria Math" w:hAnsi="Cambria Math" w:cs="Cambria Math"/>
          <w:szCs w:val="24"/>
        </w:rPr>
        <w:t>⟨</w:t>
      </w:r>
      <w:r w:rsidRPr="004100CF">
        <w:rPr>
          <w:rFonts w:ascii="Times New Roman" w:hAnsi="Times New Roman" w:cs="Times New Roman"/>
          <w:szCs w:val="24"/>
        </w:rPr>
        <w:t>∆E</w:t>
      </w:r>
      <w:r w:rsidRPr="004100CF">
        <w:rPr>
          <w:rFonts w:ascii="Times New Roman" w:hAnsi="Times New Roman" w:cs="Times New Roman"/>
          <w:szCs w:val="24"/>
          <w:vertAlign w:val="subscript"/>
        </w:rPr>
        <w:t>WT</w:t>
      </w:r>
      <w:r w:rsidRPr="004100CF">
        <w:rPr>
          <w:rFonts w:ascii="Cambria Math" w:hAnsi="Cambria Math" w:cs="Cambria Math"/>
          <w:szCs w:val="24"/>
        </w:rPr>
        <w:t>⟩</w:t>
      </w:r>
      <w:r w:rsidRPr="004100CF">
        <w:rPr>
          <w:rFonts w:ascii="Times New Roman" w:hAnsi="Times New Roman" w:cs="Times New Roman"/>
          <w:szCs w:val="24"/>
        </w:rPr>
        <w:t>,</w:t>
      </w:r>
    </w:p>
    <w:p w14:paraId="54CFC88D" w14:textId="1CBEFCDE" w:rsidR="004260F0" w:rsidRPr="004100CF" w:rsidRDefault="00BE1E8F" w:rsidP="004260F0">
      <w:pPr>
        <w:spacing w:after="240"/>
        <w:rPr>
          <w:rFonts w:ascii="Times New Roman" w:hAnsi="Times New Roman" w:cs="Times New Roman"/>
          <w:szCs w:val="24"/>
        </w:rPr>
      </w:pPr>
      <w:r w:rsidRPr="004100CF">
        <w:rPr>
          <w:rFonts w:ascii="Times New Roman" w:hAnsi="Times New Roman" w:cs="Times New Roman"/>
          <w:szCs w:val="24"/>
        </w:rPr>
        <w:t>referencing each mutant replicate to the mean of the three WT replicates, for total MM/GBSA energy and for van der Waals, electrostatic, GB polar-solvation, and nonpolar surface-area components</w:t>
      </w:r>
    </w:p>
    <w:p w14:paraId="524CF9F3" w14:textId="68543F18" w:rsidR="004260F0" w:rsidRPr="004100CF" w:rsidRDefault="00E50017" w:rsidP="0006771E">
      <w:pPr>
        <w:rPr>
          <w:rFonts w:ascii="Times New Roman" w:hAnsi="Times New Roman" w:cs="Times New Roman"/>
          <w:b/>
          <w:bCs/>
          <w:u w:val="single"/>
        </w:rPr>
      </w:pPr>
      <w:r w:rsidRPr="004100CF">
        <w:rPr>
          <w:rFonts w:ascii="Times New Roman" w:hAnsi="Times New Roman" w:cs="Times New Roman"/>
          <w:b/>
          <w:bCs/>
          <w:u w:val="single"/>
        </w:rPr>
        <w:t>Free Energy Perturbation Calculations</w:t>
      </w:r>
    </w:p>
    <w:p w14:paraId="35275A55" w14:textId="77777777" w:rsidR="009D3750" w:rsidRPr="004100CF" w:rsidRDefault="00E50017" w:rsidP="00E50017">
      <w:pPr>
        <w:pStyle w:val="NormalWeb"/>
        <w:spacing w:before="0" w:beforeAutospacing="0"/>
      </w:pPr>
      <w:r w:rsidRPr="004100CF">
        <w:t xml:space="preserve">For each genotype, the change in DOR binding free energy was computed from a thermodynamic cycle in which the p66 substitution was introduced alchemically in both the DOR-bound and the ligand-free enzyme, </w:t>
      </w:r>
    </w:p>
    <w:p w14:paraId="2DFE78CE" w14:textId="166D31BC" w:rsidR="009D3750" w:rsidRPr="004100CF" w:rsidRDefault="00E50017" w:rsidP="009D3750">
      <w:pPr>
        <w:pStyle w:val="NormalWeb"/>
        <w:spacing w:before="0" w:beforeAutospacing="0"/>
        <w:jc w:val="center"/>
      </w:pPr>
      <w:r w:rsidRPr="004100CF">
        <w:t>∆∆</w:t>
      </w:r>
      <w:proofErr w:type="spellStart"/>
      <w:r w:rsidRPr="004100CF">
        <w:t>G</w:t>
      </w:r>
      <w:r w:rsidR="00904E1B" w:rsidRPr="004100CF">
        <w:rPr>
          <w:vertAlign w:val="subscript"/>
        </w:rPr>
        <w:t>bind</w:t>
      </w:r>
      <w:proofErr w:type="spellEnd"/>
      <w:r w:rsidRPr="004100CF">
        <w:t xml:space="preserve"> = ∆</w:t>
      </w:r>
      <w:proofErr w:type="spellStart"/>
      <w:r w:rsidRPr="004100CF">
        <w:t>G</w:t>
      </w:r>
      <w:r w:rsidRPr="004100CF">
        <w:rPr>
          <w:vertAlign w:val="subscript"/>
        </w:rPr>
        <w:t>holo</w:t>
      </w:r>
      <w:proofErr w:type="spellEnd"/>
      <w:r w:rsidRPr="004100CF">
        <w:t xml:space="preserve"> − ∆</w:t>
      </w:r>
      <w:proofErr w:type="spellStart"/>
      <w:r w:rsidRPr="004100CF">
        <w:t>G</w:t>
      </w:r>
      <w:r w:rsidRPr="004100CF">
        <w:rPr>
          <w:vertAlign w:val="subscript"/>
        </w:rPr>
        <w:t>apo</w:t>
      </w:r>
      <w:proofErr w:type="spellEnd"/>
      <w:r w:rsidRPr="004100CF">
        <w:t>,</w:t>
      </w:r>
    </w:p>
    <w:p w14:paraId="229E5BC5" w14:textId="7BD02D1F" w:rsidR="00E50017" w:rsidRPr="004100CF" w:rsidRDefault="00E50017" w:rsidP="00E50017">
      <w:pPr>
        <w:pStyle w:val="NormalWeb"/>
        <w:spacing w:before="0" w:beforeAutospacing="0"/>
      </w:pPr>
      <w:r w:rsidRPr="004100CF">
        <w:t>so that positive values correspond to weaker DOR binding. Multipl</w:t>
      </w:r>
      <w:r w:rsidR="009D3750" w:rsidRPr="004100CF">
        <w:t>e</w:t>
      </w:r>
      <w:r w:rsidRPr="004100CF">
        <w:t xml:space="preserve"> substituted genotypes were decomposed into sequential single-residue legs (e.g. WT→K103N, then K103N→K103N+M230L), whose values were summed and standard errors combined in quadrature. Wild-type and mutant end states were connected by </w:t>
      </w:r>
      <w:proofErr w:type="spellStart"/>
      <w:r w:rsidRPr="004100CF">
        <w:t>pmx</w:t>
      </w:r>
      <w:proofErr w:type="spellEnd"/>
      <w:r w:rsidRPr="004100CF">
        <w:t xml:space="preserve"> hybrid residues,</w:t>
      </w:r>
      <w:r w:rsidR="007842CF" w:rsidRPr="004100CF">
        <w:fldChar w:fldCharType="begin"/>
      </w:r>
      <w:r w:rsidR="00E032F1" w:rsidRPr="004100CF">
        <w:instrText xml:space="preserve"> ADDIN ZOTERO_ITEM CSL_CITATION {"citationID":"38VucYMR","properties":{"unsorted":false,"formattedCitation":"\\super 44\\nosupersub{}","plainCitation":"44","noteIndex":0},"citationItems":[{"id":273,"uris":["http://zotero.org/users/19404620/items/P4QQPRMC"],"itemData":{"id":273,"type":"article-journal","abstract":"Computational protein design requires methods to accurately estimate free energy changes in protein stability or binding upon an amino acid mutation. From the different approaches available, molecular dynamics-based alchemical free energy calculations are unique in their accuracy and solid theoretical basis. The challenge in using these methods lies in the need to generate hybrid structures and topologies representing two physical states of a system. A custom made hybrid topology may prove useful for a particular mutation of interest, however, a high throughput mutation analysis calls for a more general approach. In this work, we present an automated procedure to generate hybrid structures and topologies for the amino acid mutations in all commonly used force fields. The described software is compatible with the Gromacs simulation package. The mutation libraries are readily supported for five force fields, namely Amber99SB, Amber99SB*-ILDN, OPLS-AA/L, Charmm22*, and Charmm36. © 2014 The Authors Journal of Computational Chemistry Published by Wiley Periodicals, Inc.","container-title":"Journal of Computational Chemistry","DOI":"10.1002/jcc.23804","ISSN":"1096-987X","issue":"5","language":"en","license":"© 2014 The Authors Journal of Computational Chemistry Published by Wiley Periodicals, Inc.","page":"348-354","source":"Wiley Online Library","title":"pmx: Automated protein structure and topology generation for alchemical perturbations","title-short":"pmx","volume":"36","author":[{"family":"Gapsys","given":"Vytautas"},{"family":"Michielssens","given":"Servaas"},{"family":"Seeliger","given":"Daniel"},{"family":"Groot","given":"Bert L.","non-dropping-particle":"de"}],"issued":{"date-parts":[["2015"]]}}}],"schema":"https://github.com/citation-style-language/schema/raw/master/csl-citation.json"} </w:instrText>
      </w:r>
      <w:r w:rsidR="007842CF" w:rsidRPr="004100CF">
        <w:fldChar w:fldCharType="separate"/>
      </w:r>
      <w:r w:rsidR="00E032F1" w:rsidRPr="004100CF">
        <w:rPr>
          <w:vertAlign w:val="superscript"/>
        </w:rPr>
        <w:t>44</w:t>
      </w:r>
      <w:r w:rsidR="007842CF" w:rsidRPr="004100CF">
        <w:fldChar w:fldCharType="end"/>
      </w:r>
      <w:r w:rsidRPr="004100CF">
        <w:t xml:space="preserve"> which share a common backbone and carry dummy atoms only where the two side chains differ, built with the amber14sbmut mutation force field to match the ff14SB parameters used for MD; DOR parameters were carried over from the same </w:t>
      </w:r>
      <w:proofErr w:type="spellStart"/>
      <w:r w:rsidRPr="004100CF">
        <w:t>OpenFF</w:t>
      </w:r>
      <w:proofErr w:type="spellEnd"/>
      <w:r w:rsidRPr="004100CF">
        <w:t xml:space="preserve"> 2.0.0 assignment and exported to GROMACS format through </w:t>
      </w:r>
      <w:proofErr w:type="spellStart"/>
      <w:r w:rsidRPr="004100CF">
        <w:t>OpenFF</w:t>
      </w:r>
      <w:proofErr w:type="spellEnd"/>
      <w:r w:rsidRPr="004100CF">
        <w:t xml:space="preserve"> Interchange. Hybrid systems were built in GROMACS 2023.1,</w:t>
      </w:r>
      <w:r w:rsidR="007842CF" w:rsidRPr="004100CF">
        <w:fldChar w:fldCharType="begin"/>
      </w:r>
      <w:r w:rsidR="00E032F1" w:rsidRPr="004100CF">
        <w:instrText xml:space="preserve"> ADDIN ZOTERO_ITEM CSL_CITATION {"citationID":"BLHWYYFl","properties":{"unsorted":false,"formattedCitation":"\\super 45\\nosupersub{}","plainCitation":"45","noteIndex":0},"citationItems":[{"id":276,"uris":["http://zotero.org/users/19404620/items/TBLRHTLF"],"itemData":{"id":276,"type":"article-journal","abstract":"GROMACS is one of the most widely used open-source and free software codes in chemistry, used primarily for dynamical simulations of biomolecules. It provides a rich set of calculation types, preparation and analysis tools. Several advanced techniques for free-energy calculations are supported. In version 5, it reaches new performance heights, through several new and enhanced parallelization algorithms. These work on every level; SIMD registers inside cores, multithreading, heterogeneous CPU–GPU acceleration, state-of-the-art 3D domain decomposition, and ensemble-level parallelization through built-in replica exchange and the separate Copernicus framework. The latest best-in-class compressed trajectory storage format is supported.","container-title":"SoftwareX","DOI":"10.1016/j.softx.2015.06.001","ISSN":"2352-7110","journalAbbreviation":"SoftwareX","page":"19-25","source":"ScienceDirect","title":"GROMACS: High performance molecular simulations through multi-level parallelism from laptops to supercomputers","title-short":"GROMACS","volume":"1-2","author":[{"family":"Abraham","given":"Mark James"},{"family":"Murtola","given":"Teemu"},{"family":"Schulz","given":"Roland"},{"family":"Páll","given":"Szilárd"},{"family":"Smith","given":"Jeremy C."},{"family":"Hess","given":"Berk"},{"family":"Lindahl","given":"Erik"}],"issued":{"date-parts":[["2015",9,1]]}}}],"schema":"https://github.com/citation-style-language/schema/raw/master/csl-citation.json"} </w:instrText>
      </w:r>
      <w:r w:rsidR="007842CF" w:rsidRPr="004100CF">
        <w:fldChar w:fldCharType="separate"/>
      </w:r>
      <w:r w:rsidR="00E032F1" w:rsidRPr="004100CF">
        <w:rPr>
          <w:vertAlign w:val="superscript"/>
        </w:rPr>
        <w:t>45</w:t>
      </w:r>
      <w:r w:rsidR="007842CF" w:rsidRPr="004100CF">
        <w:fldChar w:fldCharType="end"/>
      </w:r>
      <w:r w:rsidRPr="004100CF">
        <w:t xml:space="preserve"> solvated in a rhombic dodecahedral TIP3P box with 1.0 nm padding and neutralized at 0.15 M NaCl to match the MD prep, using particle-mesh Ewald electrostatics with 1.0 nm cutoffs, LINCS constraints on bonds to hydrogen, a 2 fs timestep, and linearized soft-core alchemical interactions.</w:t>
      </w:r>
      <w:r w:rsidR="00100DCA" w:rsidRPr="004100CF">
        <w:fldChar w:fldCharType="begin"/>
      </w:r>
      <w:r w:rsidR="00E032F1" w:rsidRPr="004100CF">
        <w:instrText xml:space="preserve"> ADDIN ZOTERO_ITEM CSL_CITATION {"citationID":"1FfJh2e5","properties":{"unsorted":false,"formattedCitation":"\\super 46\\nosupersub{}","plainCitation":"46","noteIndex":0},"citationItems":[{"id":278,"uris":["http://zotero.org/users/19404620/items/2KSP6TK6"],"itemData":{"id":278,"type":"article-journal","abstract":"The fields of rational drug design and protein engineering\nbenefit\nfrom accurate free energy calculations based on molecular dynamics simulations. A thermodynamic integration scheme is often used to calculate changes in the free energy of a system by integrating the change of the system’s Hamiltonian with respect to a coupling parameter.\nThese methods exploit nonphysical pathways over thermodynamic cycles involving particle introduction and annihilation. Such alchemical transitions require the modification of the classical nonbonded potential energy terms by applying soft-core potential functions to avoid singularity points. In this work, we propose a novel formulation for a soft-core potential to be applied in nonequilibrium free energy calculations that alleviates singularities, numerical instabilities, and additional minima in the potential energy for all combinations of nonbonded interactions at all intermediate alchemical states. The method was validated by application to (a) the free energy calculations of a closed thermodynamic cycle, (b) the mutation influence on protein thermostability, (c) calculations of small ligand solvation free energies, and (d) the estimation of binding free energies of trypsin inhibitors. The results show that the novel soft-core function provides a robust and accurate general purpose solution to alchemical free energy calculations.","container-title":"Journal of Chemical Theory and Computation","DOI":"10.1021/ct300220p","ISSN":"1549-9618","issue":"7","journalAbbreviation":"J. Chem. Theory Comput.","page":"2373-2382","source":"Silverchair","title":"New Soft-Core Potential Function for Molecular Dynamics Based Alchemical Free Energy Calculations","volume":"8","author":[{"family":"Gapsys","given":"Vytautas"},{"family":"Seeliger","given":"Daniel"},{"family":"Groot","given":"Bert L.","non-dropping-particle":"de"}],"issued":{"date-parts":[["2012",5,28]]}}}],"schema":"https://github.com/citation-style-language/schema/raw/master/csl-citation.json"} </w:instrText>
      </w:r>
      <w:r w:rsidR="00100DCA" w:rsidRPr="004100CF">
        <w:fldChar w:fldCharType="separate"/>
      </w:r>
      <w:r w:rsidR="00E032F1" w:rsidRPr="004100CF">
        <w:rPr>
          <w:vertAlign w:val="superscript"/>
        </w:rPr>
        <w:t>46</w:t>
      </w:r>
      <w:r w:rsidR="00100DCA" w:rsidRPr="004100CF">
        <w:fldChar w:fldCharType="end"/>
      </w:r>
      <w:r w:rsidRPr="004100CF">
        <w:t xml:space="preserve"> Each replicate was seeded from the corresponding equilibrated MD starting structure.</w:t>
      </w:r>
    </w:p>
    <w:p w14:paraId="154D9409" w14:textId="5DF32138" w:rsidR="0006771E" w:rsidRPr="004100CF" w:rsidRDefault="007E05DC">
      <w:pPr>
        <w:rPr>
          <w:rFonts w:ascii="Times New Roman" w:hAnsi="Times New Roman" w:cs="Times New Roman"/>
        </w:rPr>
      </w:pPr>
      <w:r w:rsidRPr="004100CF">
        <w:rPr>
          <w:rFonts w:ascii="Times New Roman" w:hAnsi="Times New Roman" w:cs="Times New Roman"/>
        </w:rPr>
        <w:t>Non-equilibrium switching</w:t>
      </w:r>
      <w:r w:rsidRPr="004100CF">
        <w:rPr>
          <w:rFonts w:ascii="Times New Roman" w:hAnsi="Times New Roman" w:cs="Times New Roman"/>
        </w:rPr>
        <w:fldChar w:fldCharType="begin"/>
      </w:r>
      <w:r w:rsidRPr="004100CF">
        <w:rPr>
          <w:rFonts w:ascii="Times New Roman" w:hAnsi="Times New Roman" w:cs="Times New Roman"/>
        </w:rPr>
        <w:instrText xml:space="preserve"> ADDIN ZOTERO_ITEM CSL_CITATION {"citationID":"sRqAcJeQ","properties":{"unsorted":false,"formattedCitation":"\\super 47,48\\nosupersub{}","plainCitation":"47,48","noteIndex":0},"citationItems":[{"id":280,"uris":["http://zotero.org/users/19404620/items/B29ZBTET"],"itemData":{"id":280,"type":"article-journal","abstract":"An expression is derived for the equilibrium free energy difference between two configurations of a system, in terms of an ensemble of finite-time measurements of the work performed in parametrically switching from one configuration to the other. Two well-known identities emerge as limiting cases of this result.","container-title":"Physical Review Letters","DOI":"10.1103/PhysRevLett.78.2690","issue":"14","journalAbbreviation":"Phys. Rev. Lett.","page":"2690-2693","publisher":"American Physical Society","source":"APS","title":"Nonequilibrium Equality for Free Energy Differences","volume":"78","author":[{"family":"Jarzynski","given":"C."}],"issued":{"date-parts":[["1997",4,7]]}}},{"id":283,"uris":["http://zotero.org/users/19404620/items/WZDHYTP8"],"itemData":{"id":283,"type":"article-journal","abstract":"There are only a very few known relations in statistical dynamics that are valid for systems driven arbitrarily far-from-equilibrium. One of these is the fluctuation theorem, which places conditions on the entropy production probability distribution of nonequilibrium systems. Another recently discovered far from equilibrium expression relates nonequilibrium measurements of the work done on a system to equilibrium free energy differences. In this paper, we derive a generalized version of the fluctuation theorem for stochastic, microscopically reversible dynamics. Invoking this generalized theorem provides a succinct proof of the nonequilibrium work relation.","container-title":"Physical Review E","DOI":"10.1103/PhysRevE.60.2721","issue":"3","journalAbbreviation":"Phys. Rev. E","page":"2721-2726","publisher":"American Physical Society","source":"APS","title":"Entropy production fluctuation theorem and the nonequilibrium work relation for free energy differences","volume":"60","author":[{"family":"Crooks","given":"Gavin E."}],"issued":{"date-parts":[["1999",9,1]]}}}],"schema":"https://github.com/citation-style-language/schema/raw/master/csl-citation.json"} </w:instrText>
      </w:r>
      <w:r w:rsidRPr="004100CF">
        <w:rPr>
          <w:rFonts w:ascii="Times New Roman" w:hAnsi="Times New Roman" w:cs="Times New Roman"/>
        </w:rPr>
        <w:fldChar w:fldCharType="separate"/>
      </w:r>
      <w:r w:rsidRPr="004100CF">
        <w:rPr>
          <w:rFonts w:ascii="Times New Roman" w:hAnsi="Times New Roman" w:cs="Times New Roman"/>
          <w:vertAlign w:val="superscript"/>
        </w:rPr>
        <w:t>47,48</w:t>
      </w:r>
      <w:r w:rsidRPr="004100CF">
        <w:rPr>
          <w:rFonts w:ascii="Times New Roman" w:hAnsi="Times New Roman" w:cs="Times New Roman"/>
        </w:rPr>
        <w:fldChar w:fldCharType="end"/>
      </w:r>
      <w:r w:rsidRPr="004100CF">
        <w:rPr>
          <w:rFonts w:ascii="Times New Roman" w:hAnsi="Times New Roman" w:cs="Times New Roman"/>
        </w:rPr>
        <w:t xml:space="preserve"> requires sampling only at the two physical end states. Each end state (λ = 0, wild type; λ = 1, mutant) was minimized with the free-energy Hamiltonian active at that λ so that dummy atoms relax, warmed for 500 </w:t>
      </w:r>
      <w:proofErr w:type="spellStart"/>
      <w:r w:rsidRPr="004100CF">
        <w:rPr>
          <w:rFonts w:ascii="Times New Roman" w:hAnsi="Times New Roman" w:cs="Times New Roman"/>
        </w:rPr>
        <w:t>ps</w:t>
      </w:r>
      <w:proofErr w:type="spellEnd"/>
      <w:r w:rsidRPr="004100CF">
        <w:rPr>
          <w:rFonts w:ascii="Times New Roman" w:hAnsi="Times New Roman" w:cs="Times New Roman"/>
        </w:rPr>
        <w:t xml:space="preserve"> under a C-rescale barostat,</w:t>
      </w:r>
      <w:r w:rsidRPr="004100CF">
        <w:rPr>
          <w:rFonts w:ascii="Times New Roman" w:hAnsi="Times New Roman" w:cs="Times New Roman"/>
        </w:rPr>
        <w:fldChar w:fldCharType="begin"/>
      </w:r>
      <w:r w:rsidRPr="004100CF">
        <w:rPr>
          <w:rFonts w:ascii="Times New Roman" w:hAnsi="Times New Roman" w:cs="Times New Roman"/>
        </w:rPr>
        <w:instrText xml:space="preserve"> ADDIN ZOTERO_ITEM CSL_CITATION {"citationID":"g1dxHzMV","properties":{"unsorted":false,"formattedCitation":"\\super 49\\nosupersub{}","plainCitation":"49","noteIndex":0},"citationItems":[{"id":286,"uris":["http://zotero.org/users/19404620/items/KHLJJE3I"],"itemData":{"id":286,"type":"article-journal","abstract":"Molecular dynamics simulations require barostats to be performed at a constant pressure. The usual recipe is to employ the Berendsen barostat first, which displays a first-order volume relaxation efficient in equilibration but results in incorrect volume fluctuations, followed by a second-order or a Monte Carlo barostat for production runs. In this paper, we introduce stochastic cell rescaling, a first-order barostat that samples the correct volume fluctuations by including a suitable noise term. The algorithm is shown to report volume fluctuations compatible with the isobaric ensemble and its anisotropic variant is tested on a membrane simulation. Stochastic cell rescaling can be straightforwardly implemented in the existing codes and can be used effectively in both equilibration and production phases.","container-title":"The Journal of Chemical Physics","DOI":"10.1063/5.0020514","ISSN":"0021-9606","issue":"11","journalAbbreviation":"J. Chem. Phys.","page":"114107","source":"Silverchair","title":"Pressure control using stochastic cell rescaling","volume":"153","author":[{"family":"Bernetti","given":"Mattia"},{"family":"Bussi","given":"Giovanni"}],"issued":{"date-parts":[["2020",9,16]]}}}],"schema":"https://github.com/citation-style-language/schema/raw/master/csl-citation.json"} </w:instrText>
      </w:r>
      <w:r w:rsidRPr="004100CF">
        <w:rPr>
          <w:rFonts w:ascii="Times New Roman" w:hAnsi="Times New Roman" w:cs="Times New Roman"/>
        </w:rPr>
        <w:fldChar w:fldCharType="separate"/>
      </w:r>
      <w:r w:rsidRPr="004100CF">
        <w:rPr>
          <w:rFonts w:ascii="Times New Roman" w:hAnsi="Times New Roman" w:cs="Times New Roman"/>
          <w:vertAlign w:val="superscript"/>
        </w:rPr>
        <w:t>49</w:t>
      </w:r>
      <w:r w:rsidRPr="004100CF">
        <w:rPr>
          <w:rFonts w:ascii="Times New Roman" w:hAnsi="Times New Roman" w:cs="Times New Roman"/>
        </w:rPr>
        <w:fldChar w:fldCharType="end"/>
      </w:r>
      <w:r w:rsidRPr="004100CF">
        <w:rPr>
          <w:rFonts w:ascii="Times New Roman" w:hAnsi="Times New Roman" w:cs="Times New Roman"/>
        </w:rPr>
        <w:t xml:space="preserve"> and then </w:t>
      </w:r>
      <w:r w:rsidRPr="004100CF">
        <w:rPr>
          <w:rFonts w:ascii="Times New Roman" w:hAnsi="Times New Roman" w:cs="Times New Roman"/>
        </w:rPr>
        <w:lastRenderedPageBreak/>
        <w:t xml:space="preserve">sampled for 5 ns at 300 K and 1 bar with velocity-rescaling temperature coupling and a Parrinello-Rahman </w:t>
      </w:r>
      <w:proofErr w:type="spellStart"/>
      <w:r w:rsidRPr="004100CF">
        <w:rPr>
          <w:rFonts w:ascii="Times New Roman" w:hAnsi="Times New Roman" w:cs="Times New Roman"/>
        </w:rPr>
        <w:t>barostat</w:t>
      </w:r>
      <w:proofErr w:type="spellEnd"/>
      <w:r w:rsidRPr="004100CF">
        <w:rPr>
          <w:rFonts w:ascii="Times New Roman" w:hAnsi="Times New Roman" w:cs="Times New Roman"/>
        </w:rPr>
        <w:t>.</w:t>
      </w:r>
    </w:p>
    <w:p w14:paraId="500F3A1F" w14:textId="26F30E17" w:rsidR="000E15E2" w:rsidRPr="004100CF" w:rsidRDefault="004917E3" w:rsidP="004917E3">
      <w:pPr>
        <w:spacing w:after="240"/>
        <w:rPr>
          <w:rFonts w:ascii="Times New Roman" w:hAnsi="Times New Roman" w:cs="Times New Roman"/>
          <w:sz w:val="22"/>
          <w:szCs w:val="22"/>
        </w:rPr>
      </w:pPr>
      <w:r w:rsidRPr="004100CF">
        <w:rPr>
          <w:rFonts w:ascii="Times New Roman" w:hAnsi="Times New Roman" w:cs="Times New Roman"/>
          <w:b/>
          <w:bCs/>
          <w:noProof/>
          <w:sz w:val="22"/>
          <w:szCs w:val="22"/>
        </w:rPr>
        <w:drawing>
          <wp:inline distT="0" distB="0" distL="0" distR="0" wp14:anchorId="1EAD4FF4" wp14:editId="0FADC0BD">
            <wp:extent cx="5943600" cy="6109335"/>
            <wp:effectExtent l="0" t="0" r="0" b="0"/>
            <wp:docPr id="13099792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79249" name="Picture 13099792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109335"/>
                    </a:xfrm>
                    <a:prstGeom prst="rect">
                      <a:avLst/>
                    </a:prstGeom>
                  </pic:spPr>
                </pic:pic>
              </a:graphicData>
            </a:graphic>
          </wp:inline>
        </w:drawing>
      </w:r>
      <w:r w:rsidRPr="004100CF">
        <w:rPr>
          <w:rFonts w:ascii="Times New Roman" w:hAnsi="Times New Roman" w:cs="Times New Roman"/>
          <w:b/>
          <w:bCs/>
          <w:sz w:val="22"/>
          <w:szCs w:val="22"/>
        </w:rPr>
        <w:t>Figure 1: Crystal structure of DOR bound to WT RT (PDB ID: 4NCG).</w:t>
      </w:r>
      <w:r w:rsidRPr="004100CF">
        <w:rPr>
          <w:rFonts w:ascii="Times New Roman" w:hAnsi="Times New Roman" w:cs="Times New Roman"/>
          <w:sz w:val="22"/>
          <w:szCs w:val="22"/>
        </w:rPr>
        <w:t xml:space="preserve"> </w:t>
      </w:r>
      <w:r w:rsidRPr="004100CF">
        <w:rPr>
          <w:rFonts w:ascii="Times New Roman" w:hAnsi="Times New Roman" w:cs="Times New Roman"/>
          <w:b/>
          <w:bCs/>
          <w:sz w:val="22"/>
          <w:szCs w:val="22"/>
        </w:rPr>
        <w:t>(A)</w:t>
      </w:r>
      <w:r w:rsidRPr="004100CF">
        <w:rPr>
          <w:rFonts w:ascii="Times New Roman" w:hAnsi="Times New Roman" w:cs="Times New Roman"/>
          <w:sz w:val="22"/>
          <w:szCs w:val="22"/>
        </w:rPr>
        <w:t xml:space="preserve"> Annotated structure of WT RT in complex with DOR simulated in this work. The NNIBP including DOR is highlighted in a light gray oval. </w:t>
      </w:r>
      <w:r w:rsidRPr="004100CF">
        <w:rPr>
          <w:rFonts w:ascii="Times New Roman" w:hAnsi="Times New Roman" w:cs="Times New Roman"/>
          <w:b/>
          <w:bCs/>
          <w:sz w:val="22"/>
          <w:szCs w:val="22"/>
        </w:rPr>
        <w:t xml:space="preserve">(B) </w:t>
      </w:r>
      <w:r w:rsidRPr="004100CF">
        <w:rPr>
          <w:rFonts w:ascii="Times New Roman" w:hAnsi="Times New Roman" w:cs="Times New Roman"/>
          <w:sz w:val="22"/>
          <w:szCs w:val="22"/>
        </w:rPr>
        <w:t xml:space="preserve">Visualization of DOR within the NNIBP, segmented into seven regions: β6 strand (blue), Pocket entrance (orange), 103-108 loop (yellow), Hydrophobic tunnel (green), β9-β10 hairpin (red), β12-β13 primer grip (purple), Distal pocket wall (teal). </w:t>
      </w:r>
      <w:r w:rsidRPr="004100CF">
        <w:rPr>
          <w:rFonts w:ascii="Times New Roman" w:hAnsi="Times New Roman" w:cs="Times New Roman"/>
          <w:b/>
          <w:bCs/>
          <w:sz w:val="22"/>
          <w:szCs w:val="22"/>
        </w:rPr>
        <w:t>(C)</w:t>
      </w:r>
      <w:r w:rsidRPr="004100CF">
        <w:rPr>
          <w:rFonts w:ascii="Times New Roman" w:hAnsi="Times New Roman" w:cs="Times New Roman"/>
          <w:i/>
          <w:iCs/>
          <w:sz w:val="22"/>
          <w:szCs w:val="22"/>
        </w:rPr>
        <w:t xml:space="preserve"> </w:t>
      </w:r>
      <w:r w:rsidRPr="004100CF">
        <w:rPr>
          <w:rFonts w:ascii="Times New Roman" w:hAnsi="Times New Roman" w:cs="Times New Roman"/>
          <w:sz w:val="22"/>
          <w:szCs w:val="22"/>
        </w:rPr>
        <w:t>Minimum heavy atom distances between DOR (yellow) and eight key NNIBP residues (pink).</w:t>
      </w:r>
    </w:p>
    <w:p w14:paraId="5AF0D3FE" w14:textId="5761C39A" w:rsidR="007E05DC" w:rsidRPr="004100CF" w:rsidRDefault="007E05DC" w:rsidP="007E05DC">
      <w:pPr>
        <w:pStyle w:val="NormalWeb"/>
      </w:pPr>
      <w:r w:rsidRPr="004100CF">
        <w:t xml:space="preserve">From each end-state trajectory, 100 evenly spaced frames were extracted after discarding the first 100 </w:t>
      </w:r>
      <w:proofErr w:type="spellStart"/>
      <w:r w:rsidRPr="004100CF">
        <w:t>ps</w:t>
      </w:r>
      <w:proofErr w:type="spellEnd"/>
      <w:r w:rsidRPr="004100CF">
        <w:t xml:space="preserve">; each seeded an independent simulation in which λ was driven linearly to the opposite end state, giving 100 forward and 100 reverse work values per phase per replicate. Switching times </w:t>
      </w:r>
      <w:r w:rsidRPr="004100CF">
        <w:lastRenderedPageBreak/>
        <w:t xml:space="preserve">were 100 </w:t>
      </w:r>
      <w:proofErr w:type="spellStart"/>
      <w:r w:rsidRPr="004100CF">
        <w:t>ps</w:t>
      </w:r>
      <w:proofErr w:type="spellEnd"/>
      <w:r w:rsidRPr="004100CF">
        <w:t xml:space="preserve">, or 500 </w:t>
      </w:r>
      <w:proofErr w:type="spellStart"/>
      <w:r w:rsidRPr="004100CF">
        <w:t>ps</w:t>
      </w:r>
      <w:proofErr w:type="spellEnd"/>
      <w:r w:rsidRPr="004100CF">
        <w:t xml:space="preserve"> for legs with widely separated forward and reverse work distributions (e.g. charge-changing WT→K103N leg inherited by the K103N-containing genotypes); control runs on neutral legs gave ∆G values invariant to switching time. Free energies were estimated with the Bennett acceptance ratio</w:t>
      </w:r>
      <w:r w:rsidRPr="004100CF">
        <w:fldChar w:fldCharType="begin"/>
      </w:r>
      <w:r w:rsidRPr="004100CF">
        <w:instrText xml:space="preserve"> ADDIN ZOTERO_ITEM CSL_CITATION {"citationID":"xyDqDfup","properties":{"unsorted":false,"formattedCitation":"\\super 50\\nosupersub{}","plainCitation":"50","noteIndex":0},"citationItems":[{"id":289,"uris":["http://zotero.org/users/19404620/items/DLL2VZVI"],"itemData":{"id":289,"type":"article-journal","abstract":"Near-optimal strategies are developed for estimating the free energy difference between two canonical ensembles, given a Metropolis-type Monte Carlo program for sampling each one. The estimation strategy depends on the extent of overlap between the two ensembles, on the smoothness of the density-of-states as a function of the difference potential, and on the relative Monte Carlo sampling costs, per statistically independent data point. The best estimate of the free energy difference is usually obtained by dividing the available computer time approximately equally between the two ensembles; its efficiency (variance x computer time)-1 is never less, and may be several orders of magnitude greater, than that obtained by sampling only one ensemble, as is done in perturbation theory.","container-title":"Journal of Computational Physics","DOI":"10.1016/0021-9991(76)90078-4","ISSN":"0021-9991","issue":"2","journalAbbreviation":"Journal of Computational Physics","page":"245-268","source":"ScienceDirect","title":"Efficient estimation of free energy differences from Monte Carlo data","volume":"22","author":[{"family":"Bennett","given":"Charles H"}],"issued":{"date-parts":[["1976",10,1]]}}}],"schema":"https://github.com/citation-style-language/schema/raw/master/csl-citation.json"} </w:instrText>
      </w:r>
      <w:r w:rsidRPr="004100CF">
        <w:fldChar w:fldCharType="separate"/>
      </w:r>
      <w:r w:rsidRPr="004100CF">
        <w:rPr>
          <w:vertAlign w:val="superscript"/>
        </w:rPr>
        <w:t>50</w:t>
      </w:r>
      <w:r w:rsidRPr="004100CF">
        <w:fldChar w:fldCharType="end"/>
      </w:r>
      <w:r w:rsidRPr="004100CF">
        <w:t xml:space="preserve"> as implemented in </w:t>
      </w:r>
      <w:proofErr w:type="spellStart"/>
      <w:r w:rsidRPr="004100CF">
        <w:t>pmx</w:t>
      </w:r>
      <w:proofErr w:type="spellEnd"/>
      <w:r w:rsidRPr="004100CF">
        <w:t xml:space="preserve"> (100 bootstrap resamples, 300 K), with the Crooks Gaussian intersection and Jarzynski estimators computed as consistency checks alongside the forward/reverse work overlap and hysteresis. Three independent replicates were run per leg and phase, and the reported uncertainty is the standard error across replicates. For the two legs that change protein net charge (WT→K103N, WT→G190E), we employed an analytical finite-size periodicity correction post hoc;</w:t>
      </w:r>
      <w:r w:rsidRPr="004100CF">
        <w:fldChar w:fldCharType="begin"/>
      </w:r>
      <w:r w:rsidRPr="004100CF">
        <w:instrText xml:space="preserve"> ADDIN ZOTERO_ITEM CSL_CITATION {"citationID":"32E8oipi","properties":{"unsorted":false,"formattedCitation":"\\super 51\\nosupersub{}","plainCitation":"51","noteIndex":0},"citationItems":[{"id":291,"uris":["http://zotero.org/users/19404620/items/AM8GLI8P"],"itemData":{"id":291,"type":"article-journal","abstract":"The calculation of a protein-ligand binding free energy based on molecular dynamics (MD) simulations generally relies on a thermodynamic cycle in which the ligand is alchemically inserted into the system, both in the solvated protein and free in solution. The corresponding ligand-insertion free energies are typically calculated in nanoscale computational boxes simulated under periodic boundary conditions and considering electrostatic interactions defined by a periodic lattice-sum. This is distinct from the ideal bulk situation of a system of macroscopic size simulated under non-periodic boundary conditions with Coulombic electrostatic interactions. This discrepancy results in finite-size effects, which affect primarily the charging component of the insertion free energy, are dependent on the box size, and can be large when the ligand bears a net charge, especially if the protein is charged as well. This article investigates finite-size effects on calculated charging free energies using as a test case the binding of the ligand 2-amino-5-methylthiazole (net charge +1 e) to a mutant form of yeast cytochrome c peroxidase in water. Considering different charge isoforms of the protein (net charges −5, 0, +3, or +9 e), either in the absence or the presence of neutralizing counter-ions, and sizes of the cubic computational box (edges ranging from 7.42 to 11.02 nm), the potentially large magnitude of finite-size effects on the raw charging free energies (up to 17.1 kJ mol−1) is demonstrated. Two correction schemes are then proposed to eliminate these effects, a numerical and an analytical one. Both schemes are based on a continuum-electrostatics analysis and require performing Poisson-Boltzmann (PB) calculations on the protein-ligand system. While the numerical scheme requires PB calculations under both non-periodic and periodic boundary conditions, the latter at the box size considered in the MD simulations, the analytical scheme only requires three non-periodic PB calculations for a given system, its dependence on the box size being analytical. The latter scheme also provides insight into the physical origin of the finite-size effects. These two schemes also encompass a correction for discrete solvent effects that persists even in the limit of infinite box sizes. Application of either scheme essentially eliminates the size dependence of the corrected charging free energies (maximal deviation of 1.5 kJ mol−1). Because it is simple to apply, the analytical correction scheme offers a general solution to the problem of finite-size effects in free-energy calculations involving charged solutes, as encountered in calculations concerning, e.g., protein-ligand binding, biomolecular association, residue mutation, pKa and redox potential estimation, substrate transformation, solvation, and solvent-solvent partitioning.","container-title":"The Journal of Chemical Physics","DOI":"10.1063/1.4826261","ISSN":"0021-9606","issue":"18","journalAbbreviation":"J. Chem. Phys.","page":"184103","source":"Silverchair","title":"Calculating the binding free energies of charged species based on explicit-solvent simulations employing lattice-sum methods: An accurate correction scheme for electrostatic finite-size effects","title-short":"Calculating the binding free energies of charged species based on explicit-solvent simulations employing lattice-sum methods","volume":"139","author":[{"family":"Rocklin","given":"Gabriel J."},{"family":"Mobley","given":"David L."},{"family":"Dill","given":"Ken A."},{"family":"Hünenberger","given":"Philippe H."}],"issued":{"date-parts":[["2013",11,8]]}}}],"schema":"https://github.com/citation-style-language/schema/raw/master/csl-citation.json"} </w:instrText>
      </w:r>
      <w:r w:rsidRPr="004100CF">
        <w:fldChar w:fldCharType="separate"/>
      </w:r>
      <w:r w:rsidRPr="004100CF">
        <w:rPr>
          <w:vertAlign w:val="superscript"/>
        </w:rPr>
        <w:t>51</w:t>
      </w:r>
      <w:r w:rsidRPr="004100CF">
        <w:fldChar w:fldCharType="end"/>
      </w:r>
      <w:r w:rsidRPr="004100CF">
        <w:t xml:space="preserve"> because </w:t>
      </w:r>
      <w:proofErr w:type="spellStart"/>
      <w:r w:rsidRPr="004100CF">
        <w:rPr>
          <w:i/>
          <w:iCs/>
        </w:rPr>
        <w:t>holo</w:t>
      </w:r>
      <w:proofErr w:type="spellEnd"/>
      <w:r w:rsidRPr="004100CF">
        <w:t xml:space="preserve"> and </w:t>
      </w:r>
      <w:r w:rsidRPr="004100CF">
        <w:rPr>
          <w:i/>
          <w:iCs/>
        </w:rPr>
        <w:t>apo</w:t>
      </w:r>
      <w:r w:rsidRPr="004100CF">
        <w:t xml:space="preserve"> box volumes differ by less than 1%, this correction cancels to below 10⁻³ kcal/mol in ∆∆G.</w:t>
      </w:r>
    </w:p>
    <w:p w14:paraId="211F3316" w14:textId="7874A88E" w:rsidR="00831C83" w:rsidRPr="004100CF" w:rsidRDefault="00831C83">
      <w:pPr>
        <w:rPr>
          <w:rFonts w:ascii="Times New Roman" w:hAnsi="Times New Roman" w:cs="Times New Roman"/>
          <w:b/>
          <w:bCs/>
          <w:sz w:val="28"/>
          <w:szCs w:val="22"/>
        </w:rPr>
      </w:pPr>
      <w:r w:rsidRPr="004100CF">
        <w:rPr>
          <w:rFonts w:ascii="Times New Roman" w:hAnsi="Times New Roman" w:cs="Times New Roman"/>
          <w:b/>
          <w:bCs/>
          <w:sz w:val="28"/>
          <w:szCs w:val="22"/>
        </w:rPr>
        <w:t>Results</w:t>
      </w:r>
    </w:p>
    <w:p w14:paraId="6CB859D3" w14:textId="77777777" w:rsidR="000E15E2" w:rsidRPr="004100CF" w:rsidRDefault="000E15E2">
      <w:pPr>
        <w:rPr>
          <w:rFonts w:ascii="Times New Roman" w:hAnsi="Times New Roman" w:cs="Times New Roman"/>
        </w:rPr>
      </w:pPr>
    </w:p>
    <w:p w14:paraId="3BCD8929" w14:textId="083A566B" w:rsidR="00BA0839" w:rsidRPr="004100CF" w:rsidRDefault="00BA0839" w:rsidP="00BA0839">
      <w:pPr>
        <w:rPr>
          <w:rFonts w:ascii="Times New Roman" w:hAnsi="Times New Roman" w:cs="Times New Roman"/>
          <w:b/>
          <w:bCs/>
          <w:szCs w:val="24"/>
          <w:u w:val="single"/>
        </w:rPr>
      </w:pPr>
      <w:r w:rsidRPr="004100CF">
        <w:rPr>
          <w:rFonts w:ascii="Times New Roman" w:hAnsi="Times New Roman" w:cs="Times New Roman"/>
          <w:b/>
          <w:bCs/>
          <w:szCs w:val="24"/>
          <w:u w:val="single"/>
        </w:rPr>
        <w:t xml:space="preserve">DOR </w:t>
      </w:r>
      <w:r w:rsidR="008D0E12" w:rsidRPr="004100CF">
        <w:rPr>
          <w:rFonts w:ascii="Times New Roman" w:hAnsi="Times New Roman" w:cs="Times New Roman"/>
          <w:b/>
          <w:bCs/>
          <w:szCs w:val="24"/>
          <w:u w:val="single"/>
        </w:rPr>
        <w:t>p</w:t>
      </w:r>
      <w:r w:rsidRPr="004100CF">
        <w:rPr>
          <w:rFonts w:ascii="Times New Roman" w:hAnsi="Times New Roman" w:cs="Times New Roman"/>
          <w:b/>
          <w:bCs/>
          <w:szCs w:val="24"/>
          <w:u w:val="single"/>
        </w:rPr>
        <w:t>henotypic susceptibility landscape</w:t>
      </w:r>
    </w:p>
    <w:p w14:paraId="5713CBC0" w14:textId="77777777" w:rsidR="00BA0839" w:rsidRPr="004100CF" w:rsidRDefault="00BA0839" w:rsidP="00BA0839">
      <w:pPr>
        <w:spacing w:after="240"/>
        <w:rPr>
          <w:rFonts w:ascii="Times New Roman" w:hAnsi="Times New Roman" w:cs="Times New Roman"/>
          <w:szCs w:val="24"/>
        </w:rPr>
      </w:pPr>
      <w:r w:rsidRPr="004100CF">
        <w:rPr>
          <w:rFonts w:ascii="Times New Roman" w:hAnsi="Times New Roman" w:cs="Times New Roman"/>
          <w:szCs w:val="24"/>
        </w:rPr>
        <w:t xml:space="preserve">We assembled a panel of 18 DOR-associated genotypes for simulation together with WT RT. These genotypes were selected to cover three distinct categories: </w:t>
      </w:r>
    </w:p>
    <w:p w14:paraId="2D7C6722" w14:textId="77777777" w:rsidR="00BA0839" w:rsidRPr="004100CF" w:rsidRDefault="00BA0839" w:rsidP="00BA0839">
      <w:pPr>
        <w:pStyle w:val="ListParagraph"/>
        <w:numPr>
          <w:ilvl w:val="0"/>
          <w:numId w:val="2"/>
        </w:numPr>
        <w:spacing w:before="240" w:after="240"/>
        <w:rPr>
          <w:rFonts w:ascii="Times New Roman" w:hAnsi="Times New Roman" w:cs="Times New Roman"/>
          <w:szCs w:val="24"/>
        </w:rPr>
      </w:pPr>
      <w:r w:rsidRPr="004100CF">
        <w:rPr>
          <w:rFonts w:ascii="Times New Roman" w:hAnsi="Times New Roman" w:cs="Times New Roman"/>
          <w:i/>
          <w:iCs/>
          <w:szCs w:val="24"/>
        </w:rPr>
        <w:t>Susceptible phenotype</w:t>
      </w:r>
      <w:r w:rsidRPr="004100CF">
        <w:rPr>
          <w:rFonts w:ascii="Times New Roman" w:hAnsi="Times New Roman" w:cs="Times New Roman"/>
          <w:szCs w:val="24"/>
        </w:rPr>
        <w:t xml:space="preserve">: well-established low-impact control mutations associated with little, if any, reduction in DOR susceptibility. These include K103N, V106I, Y181C, and G190A. </w:t>
      </w:r>
    </w:p>
    <w:p w14:paraId="188D49C9" w14:textId="77777777" w:rsidR="00BA0839" w:rsidRPr="004100CF" w:rsidRDefault="00BA0839" w:rsidP="00BA0839">
      <w:pPr>
        <w:pStyle w:val="ListParagraph"/>
        <w:numPr>
          <w:ilvl w:val="0"/>
          <w:numId w:val="2"/>
        </w:numPr>
        <w:spacing w:before="240" w:after="240"/>
        <w:rPr>
          <w:rFonts w:ascii="Times New Roman" w:hAnsi="Times New Roman" w:cs="Times New Roman"/>
          <w:szCs w:val="24"/>
        </w:rPr>
      </w:pPr>
      <w:r w:rsidRPr="004100CF">
        <w:rPr>
          <w:rFonts w:ascii="Times New Roman" w:hAnsi="Times New Roman" w:cs="Times New Roman"/>
          <w:i/>
          <w:iCs/>
          <w:szCs w:val="24"/>
        </w:rPr>
        <w:t>Resistant phenotype</w:t>
      </w:r>
      <w:r w:rsidRPr="004100CF">
        <w:rPr>
          <w:rFonts w:ascii="Times New Roman" w:hAnsi="Times New Roman" w:cs="Times New Roman"/>
          <w:szCs w:val="24"/>
        </w:rPr>
        <w:t>: canonical DOR-associated resistance mutations and mutation patterns, consistently associated with reduced susceptibility. These were chosen to be K103N+M230L, V106A, Y188L, Y318F, A98G+F227C, V106A+F227L, V106A+L234I, V106A+P225H, and V106I+F227C.</w:t>
      </w:r>
    </w:p>
    <w:p w14:paraId="7F5473F7" w14:textId="77777777" w:rsidR="00BA0839" w:rsidRPr="004100CF" w:rsidRDefault="00BA0839" w:rsidP="00BA0839">
      <w:pPr>
        <w:pStyle w:val="ListParagraph"/>
        <w:numPr>
          <w:ilvl w:val="0"/>
          <w:numId w:val="2"/>
        </w:numPr>
        <w:spacing w:before="240" w:after="240"/>
        <w:rPr>
          <w:rFonts w:ascii="Times New Roman" w:hAnsi="Times New Roman" w:cs="Times New Roman"/>
          <w:szCs w:val="24"/>
        </w:rPr>
      </w:pPr>
      <w:r w:rsidRPr="004100CF">
        <w:rPr>
          <w:rFonts w:ascii="Times New Roman" w:hAnsi="Times New Roman" w:cs="Times New Roman"/>
          <w:i/>
          <w:iCs/>
          <w:szCs w:val="24"/>
        </w:rPr>
        <w:t>Uncertain phenotype</w:t>
      </w:r>
      <w:r w:rsidRPr="004100CF">
        <w:rPr>
          <w:rFonts w:ascii="Times New Roman" w:hAnsi="Times New Roman" w:cs="Times New Roman"/>
          <w:szCs w:val="24"/>
        </w:rPr>
        <w:t xml:space="preserve">: mutations and mutation patterns associated with limited or inconsistent reductions in susceptibility. These were K103N+L100I, K103N+P225H, V106M, G190E, and G190S. </w:t>
      </w:r>
    </w:p>
    <w:p w14:paraId="65F1C3AA" w14:textId="77777777" w:rsidR="00BA0839" w:rsidRPr="004100CF" w:rsidRDefault="00BA0839" w:rsidP="00BA0839">
      <w:pPr>
        <w:spacing w:before="240" w:after="240"/>
        <w:rPr>
          <w:rFonts w:ascii="Times New Roman" w:hAnsi="Times New Roman" w:cs="Times New Roman"/>
          <w:szCs w:val="24"/>
        </w:rPr>
      </w:pPr>
      <w:r w:rsidRPr="004100CF">
        <w:rPr>
          <w:rFonts w:ascii="Times New Roman" w:hAnsi="Times New Roman" w:cs="Times New Roman"/>
          <w:szCs w:val="24"/>
        </w:rPr>
        <w:t>Table 1 summarizes the median fold-change in DOR susceptibility used to define the panel and Supplementary Table 1 traces the isolate-level data indexed in the Stanford HIVDB (</w:t>
      </w:r>
      <w:hyperlink r:id="rId8" w:history="1">
        <w:r w:rsidRPr="004100CF">
          <w:rPr>
            <w:rStyle w:val="Hyperlink"/>
            <w:rFonts w:ascii="Times New Roman" w:hAnsi="Times New Roman" w:cs="Times New Roman"/>
            <w:szCs w:val="24"/>
          </w:rPr>
          <w:t>https://hivdb.stanford.edu/</w:t>
        </w:r>
      </w:hyperlink>
      <w:r w:rsidRPr="004100CF">
        <w:rPr>
          <w:rFonts w:ascii="Times New Roman" w:hAnsi="Times New Roman" w:cs="Times New Roman"/>
          <w:szCs w:val="24"/>
        </w:rPr>
        <w:t xml:space="preserve">). These susceptibility data were derived from assays performed using the Monogram </w:t>
      </w:r>
      <w:proofErr w:type="spellStart"/>
      <w:r w:rsidRPr="004100CF">
        <w:rPr>
          <w:rFonts w:ascii="Times New Roman" w:hAnsi="Times New Roman" w:cs="Times New Roman"/>
          <w:szCs w:val="24"/>
        </w:rPr>
        <w:t>PhenoSense</w:t>
      </w:r>
      <w:proofErr w:type="spellEnd"/>
      <w:r w:rsidRPr="004100CF">
        <w:rPr>
          <w:rFonts w:ascii="Times New Roman" w:hAnsi="Times New Roman" w:cs="Times New Roman"/>
          <w:szCs w:val="24"/>
        </w:rPr>
        <w:t xml:space="preserve"> assay and the relatively similar Merck reporter-gene assay. Isolates undergoing testing were either site-directed mutants or clinical isolates for which known NNRTI-resistance mutations were specified. </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1648"/>
        <w:gridCol w:w="1502"/>
        <w:gridCol w:w="999"/>
        <w:gridCol w:w="2118"/>
        <w:gridCol w:w="2011"/>
      </w:tblGrid>
      <w:tr w:rsidR="00BA0839" w:rsidRPr="004100CF" w14:paraId="2E223622" w14:textId="77777777" w:rsidTr="005A06D4">
        <w:trPr>
          <w:trHeight w:val="260"/>
        </w:trPr>
        <w:tc>
          <w:tcPr>
            <w:tcW w:w="9558" w:type="dxa"/>
            <w:gridSpan w:val="6"/>
            <w:tcBorders>
              <w:bottom w:val="single" w:sz="4" w:space="0" w:color="auto"/>
            </w:tcBorders>
          </w:tcPr>
          <w:p w14:paraId="06EC310B" w14:textId="77777777" w:rsidR="00BA0839" w:rsidRPr="004100CF" w:rsidRDefault="00BA0839" w:rsidP="005A06D4">
            <w:pPr>
              <w:rPr>
                <w:rFonts w:ascii="Times New Roman" w:hAnsi="Times New Roman" w:cs="Times New Roman"/>
                <w:b/>
                <w:bCs/>
                <w:color w:val="000000"/>
                <w:szCs w:val="24"/>
              </w:rPr>
            </w:pPr>
            <w:r w:rsidRPr="004100CF">
              <w:rPr>
                <w:rFonts w:ascii="Times New Roman" w:hAnsi="Times New Roman" w:cs="Times New Roman"/>
                <w:b/>
                <w:bCs/>
                <w:color w:val="000000"/>
                <w:szCs w:val="24"/>
              </w:rPr>
              <w:t>Table 1. Fold-change in DOR susceptibility associated with selected genotypes</w:t>
            </w:r>
          </w:p>
        </w:tc>
      </w:tr>
      <w:tr w:rsidR="00BA0839" w:rsidRPr="004100CF" w14:paraId="11E8D943" w14:textId="77777777" w:rsidTr="005A06D4">
        <w:trPr>
          <w:trHeight w:val="539"/>
        </w:trPr>
        <w:tc>
          <w:tcPr>
            <w:tcW w:w="1206" w:type="dxa"/>
            <w:tcBorders>
              <w:top w:val="single" w:sz="4" w:space="0" w:color="auto"/>
              <w:bottom w:val="single" w:sz="4" w:space="0" w:color="auto"/>
            </w:tcBorders>
            <w:hideMark/>
          </w:tcPr>
          <w:p w14:paraId="71838699"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Mutation category</w:t>
            </w:r>
          </w:p>
        </w:tc>
        <w:tc>
          <w:tcPr>
            <w:tcW w:w="1648" w:type="dxa"/>
            <w:tcBorders>
              <w:top w:val="single" w:sz="4" w:space="0" w:color="auto"/>
              <w:bottom w:val="single" w:sz="4" w:space="0" w:color="auto"/>
            </w:tcBorders>
            <w:hideMark/>
          </w:tcPr>
          <w:p w14:paraId="5DCF8A06" w14:textId="77777777" w:rsidR="00BA0839" w:rsidRPr="004100CF" w:rsidRDefault="00BA0839" w:rsidP="005A06D4">
            <w:pPr>
              <w:spacing w:line="480" w:lineRule="auto"/>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Mutation</w:t>
            </w:r>
          </w:p>
        </w:tc>
        <w:tc>
          <w:tcPr>
            <w:tcW w:w="1504" w:type="dxa"/>
            <w:tcBorders>
              <w:top w:val="single" w:sz="4" w:space="0" w:color="auto"/>
              <w:bottom w:val="single" w:sz="4" w:space="0" w:color="auto"/>
            </w:tcBorders>
            <w:hideMark/>
          </w:tcPr>
          <w:p w14:paraId="7DEEFE57"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54A03A9A"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Number of isolates</w:t>
            </w:r>
          </w:p>
        </w:tc>
        <w:tc>
          <w:tcPr>
            <w:tcW w:w="2151" w:type="dxa"/>
            <w:tcBorders>
              <w:top w:val="single" w:sz="4" w:space="0" w:color="auto"/>
              <w:bottom w:val="single" w:sz="4" w:space="0" w:color="auto"/>
            </w:tcBorders>
            <w:hideMark/>
          </w:tcPr>
          <w:p w14:paraId="21F50E79"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Raw fold-change values</w:t>
            </w:r>
          </w:p>
        </w:tc>
        <w:tc>
          <w:tcPr>
            <w:tcW w:w="2050" w:type="dxa"/>
            <w:tcBorders>
              <w:top w:val="single" w:sz="4" w:space="0" w:color="auto"/>
              <w:bottom w:val="single" w:sz="4" w:space="0" w:color="auto"/>
            </w:tcBorders>
            <w:hideMark/>
          </w:tcPr>
          <w:p w14:paraId="5138FA58"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Primary source studies</w:t>
            </w:r>
          </w:p>
        </w:tc>
      </w:tr>
      <w:tr w:rsidR="00BA0839" w:rsidRPr="004100CF" w14:paraId="444A1F00" w14:textId="77777777" w:rsidTr="005A06D4">
        <w:trPr>
          <w:trHeight w:val="340"/>
        </w:trPr>
        <w:tc>
          <w:tcPr>
            <w:tcW w:w="1206" w:type="dxa"/>
            <w:vMerge w:val="restart"/>
            <w:tcBorders>
              <w:top w:val="single" w:sz="4" w:space="0" w:color="auto"/>
            </w:tcBorders>
            <w:vAlign w:val="center"/>
            <w:hideMark/>
          </w:tcPr>
          <w:p w14:paraId="2CE3AA45"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Susceptible</w:t>
            </w:r>
          </w:p>
        </w:tc>
        <w:tc>
          <w:tcPr>
            <w:tcW w:w="1648" w:type="dxa"/>
            <w:tcBorders>
              <w:top w:val="single" w:sz="4" w:space="0" w:color="auto"/>
            </w:tcBorders>
            <w:hideMark/>
          </w:tcPr>
          <w:p w14:paraId="3507E51F"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V106I</w:t>
            </w:r>
          </w:p>
        </w:tc>
        <w:tc>
          <w:tcPr>
            <w:tcW w:w="1504" w:type="dxa"/>
            <w:tcBorders>
              <w:top w:val="single" w:sz="4" w:space="0" w:color="auto"/>
            </w:tcBorders>
            <w:hideMark/>
          </w:tcPr>
          <w:p w14:paraId="0AED97C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1.1</w:t>
            </w:r>
          </w:p>
        </w:tc>
        <w:tc>
          <w:tcPr>
            <w:tcW w:w="999" w:type="dxa"/>
            <w:tcBorders>
              <w:top w:val="single" w:sz="4" w:space="0" w:color="auto"/>
            </w:tcBorders>
            <w:hideMark/>
          </w:tcPr>
          <w:p w14:paraId="57E3712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2</w:t>
            </w:r>
          </w:p>
        </w:tc>
        <w:tc>
          <w:tcPr>
            <w:tcW w:w="2151" w:type="dxa"/>
            <w:tcBorders>
              <w:top w:val="single" w:sz="4" w:space="0" w:color="auto"/>
            </w:tcBorders>
            <w:hideMark/>
          </w:tcPr>
          <w:p w14:paraId="4B7894D2"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[0.8, 1.4]</w:t>
            </w:r>
          </w:p>
        </w:tc>
        <w:tc>
          <w:tcPr>
            <w:tcW w:w="2050" w:type="dxa"/>
            <w:tcBorders>
              <w:top w:val="single" w:sz="4" w:space="0" w:color="auto"/>
            </w:tcBorders>
            <w:hideMark/>
          </w:tcPr>
          <w:p w14:paraId="6BF22A35"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{"citationID":"fElh6OGk","properties":{"unsorted":false,"formattedCitation":"\\super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Orkin et al (2026)</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{"citationID":"ASLIIhEz","properties":{"unsorted":false,"formattedCitation":"\\super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22</w:t>
            </w:r>
            <w:r w:rsidRPr="004100CF">
              <w:rPr>
                <w:rFonts w:ascii="Times New Roman" w:hAnsi="Times New Roman" w:cs="Times New Roman"/>
                <w:color w:val="000000"/>
                <w:sz w:val="22"/>
                <w:szCs w:val="22"/>
              </w:rPr>
              <w:fldChar w:fldCharType="end"/>
            </w:r>
          </w:p>
        </w:tc>
      </w:tr>
      <w:tr w:rsidR="00BA0839" w:rsidRPr="004100CF" w14:paraId="45B018FF" w14:textId="77777777" w:rsidTr="005A06D4">
        <w:trPr>
          <w:trHeight w:val="340"/>
        </w:trPr>
        <w:tc>
          <w:tcPr>
            <w:tcW w:w="1206" w:type="dxa"/>
            <w:vMerge/>
            <w:hideMark/>
          </w:tcPr>
          <w:p w14:paraId="6A94247B"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5048689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K103N</w:t>
            </w:r>
          </w:p>
        </w:tc>
        <w:tc>
          <w:tcPr>
            <w:tcW w:w="1504" w:type="dxa"/>
            <w:hideMark/>
          </w:tcPr>
          <w:p w14:paraId="04E11D89"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1.2</w:t>
            </w:r>
          </w:p>
        </w:tc>
        <w:tc>
          <w:tcPr>
            <w:tcW w:w="999" w:type="dxa"/>
            <w:hideMark/>
          </w:tcPr>
          <w:p w14:paraId="4B36B87B"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6</w:t>
            </w:r>
          </w:p>
        </w:tc>
        <w:tc>
          <w:tcPr>
            <w:tcW w:w="2151" w:type="dxa"/>
            <w:hideMark/>
          </w:tcPr>
          <w:p w14:paraId="0D502ADE"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[0.6, 1.2, 1.2, 1.3, 2.8, 3.0]</w:t>
            </w:r>
          </w:p>
        </w:tc>
        <w:tc>
          <w:tcPr>
            <w:tcW w:w="2050" w:type="dxa"/>
            <w:hideMark/>
          </w:tcPr>
          <w:p w14:paraId="5789348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{"citationID":"OQAQvJEJ","properties":{"unsorted":false,"formattedCitation":"\\super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364BFFB7" w14:textId="77777777" w:rsidTr="005A06D4">
        <w:trPr>
          <w:trHeight w:val="340"/>
        </w:trPr>
        <w:tc>
          <w:tcPr>
            <w:tcW w:w="1206" w:type="dxa"/>
            <w:vMerge/>
            <w:hideMark/>
          </w:tcPr>
          <w:p w14:paraId="0FBBCA34"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3248DF05"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Y181C</w:t>
            </w:r>
          </w:p>
        </w:tc>
        <w:tc>
          <w:tcPr>
            <w:tcW w:w="1504" w:type="dxa"/>
            <w:hideMark/>
          </w:tcPr>
          <w:p w14:paraId="30A08A2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1.4</w:t>
            </w:r>
          </w:p>
        </w:tc>
        <w:tc>
          <w:tcPr>
            <w:tcW w:w="999" w:type="dxa"/>
            <w:hideMark/>
          </w:tcPr>
          <w:p w14:paraId="19E0AAA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4</w:t>
            </w:r>
          </w:p>
        </w:tc>
        <w:tc>
          <w:tcPr>
            <w:tcW w:w="2151" w:type="dxa"/>
            <w:hideMark/>
          </w:tcPr>
          <w:p w14:paraId="5AFF69C9"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[1.2, 1.3, 1.5, 6.0]</w:t>
            </w:r>
          </w:p>
        </w:tc>
        <w:tc>
          <w:tcPr>
            <w:tcW w:w="2050" w:type="dxa"/>
            <w:hideMark/>
          </w:tcPr>
          <w:p w14:paraId="138A28C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{"citationID":"TUXQIXQi","properties":{"unsorted":false,"formattedCitation":"\\super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2EDC8A79" w14:textId="77777777" w:rsidTr="005A06D4">
        <w:trPr>
          <w:trHeight w:val="359"/>
        </w:trPr>
        <w:tc>
          <w:tcPr>
            <w:tcW w:w="1206" w:type="dxa"/>
            <w:vMerge/>
            <w:tcBorders>
              <w:bottom w:val="single" w:sz="4" w:space="0" w:color="auto"/>
            </w:tcBorders>
            <w:hideMark/>
          </w:tcPr>
          <w:p w14:paraId="1C9DCEA6" w14:textId="77777777" w:rsidR="00BA0839" w:rsidRPr="004100CF" w:rsidRDefault="00BA0839" w:rsidP="005A06D4">
            <w:pPr>
              <w:rPr>
                <w:rFonts w:ascii="Times New Roman" w:hAnsi="Times New Roman" w:cs="Times New Roman"/>
                <w:color w:val="000000"/>
                <w:sz w:val="22"/>
                <w:szCs w:val="22"/>
              </w:rPr>
            </w:pPr>
          </w:p>
        </w:tc>
        <w:tc>
          <w:tcPr>
            <w:tcW w:w="1648" w:type="dxa"/>
            <w:tcBorders>
              <w:bottom w:val="single" w:sz="4" w:space="0" w:color="auto"/>
            </w:tcBorders>
            <w:hideMark/>
          </w:tcPr>
          <w:p w14:paraId="6D0D6E8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G190A</w:t>
            </w:r>
          </w:p>
        </w:tc>
        <w:tc>
          <w:tcPr>
            <w:tcW w:w="1504" w:type="dxa"/>
            <w:tcBorders>
              <w:bottom w:val="single" w:sz="4" w:space="0" w:color="auto"/>
            </w:tcBorders>
            <w:hideMark/>
          </w:tcPr>
          <w:p w14:paraId="3755072E"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2.7</w:t>
            </w:r>
          </w:p>
        </w:tc>
        <w:tc>
          <w:tcPr>
            <w:tcW w:w="999" w:type="dxa"/>
            <w:tcBorders>
              <w:bottom w:val="single" w:sz="4" w:space="0" w:color="auto"/>
            </w:tcBorders>
            <w:hideMark/>
          </w:tcPr>
          <w:p w14:paraId="5401521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w:t>
            </w:r>
          </w:p>
        </w:tc>
        <w:tc>
          <w:tcPr>
            <w:tcW w:w="2151" w:type="dxa"/>
            <w:tcBorders>
              <w:bottom w:val="single" w:sz="4" w:space="0" w:color="auto"/>
            </w:tcBorders>
            <w:hideMark/>
          </w:tcPr>
          <w:p w14:paraId="51B7292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[1.8, 3.6]</w:t>
            </w:r>
          </w:p>
        </w:tc>
        <w:tc>
          <w:tcPr>
            <w:tcW w:w="2050" w:type="dxa"/>
            <w:tcBorders>
              <w:bottom w:val="single" w:sz="4" w:space="0" w:color="auto"/>
            </w:tcBorders>
            <w:hideMark/>
          </w:tcPr>
          <w:p w14:paraId="7AB28D1D" w14:textId="77777777" w:rsidR="00BA0839" w:rsidRPr="004100CF" w:rsidRDefault="00BA0839" w:rsidP="005A06D4">
            <w:pPr>
              <w:jc w:val="center"/>
              <w:rPr>
                <w:rFonts w:ascii="Times New Roman" w:hAnsi="Times New Roman" w:cs="Times New Roman"/>
                <w:color w:val="000000"/>
                <w:sz w:val="22"/>
                <w:szCs w:val="22"/>
              </w:rPr>
            </w:pPr>
            <w:bookmarkStart w:id="0" w:name="_Hlk230520854"/>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{"citationID":"qNCfGXhs","properties":{"unsorted":false,"formattedCitation":"\\super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bookmarkEnd w:id="0"/>
          </w:p>
        </w:tc>
      </w:tr>
      <w:tr w:rsidR="00BA0839" w:rsidRPr="004100CF" w14:paraId="7593CF3D" w14:textId="77777777" w:rsidTr="005A06D4">
        <w:trPr>
          <w:trHeight w:val="340"/>
        </w:trPr>
        <w:tc>
          <w:tcPr>
            <w:tcW w:w="1206" w:type="dxa"/>
            <w:vMerge w:val="restart"/>
            <w:tcBorders>
              <w:top w:val="single" w:sz="4" w:space="0" w:color="auto"/>
            </w:tcBorders>
            <w:vAlign w:val="center"/>
            <w:hideMark/>
          </w:tcPr>
          <w:p w14:paraId="5DB8FDE0"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lastRenderedPageBreak/>
              <w:t>Resistant</w:t>
            </w:r>
          </w:p>
        </w:tc>
        <w:tc>
          <w:tcPr>
            <w:tcW w:w="1648" w:type="dxa"/>
            <w:tcBorders>
              <w:top w:val="single" w:sz="4" w:space="0" w:color="auto"/>
            </w:tcBorders>
            <w:hideMark/>
          </w:tcPr>
          <w:p w14:paraId="1CF063E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Y318F</w:t>
            </w:r>
          </w:p>
        </w:tc>
        <w:tc>
          <w:tcPr>
            <w:tcW w:w="1504" w:type="dxa"/>
            <w:tcBorders>
              <w:top w:val="single" w:sz="4" w:space="0" w:color="auto"/>
            </w:tcBorders>
            <w:hideMark/>
          </w:tcPr>
          <w:p w14:paraId="4D34589F"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11</w:t>
            </w:r>
          </w:p>
        </w:tc>
        <w:tc>
          <w:tcPr>
            <w:tcW w:w="999" w:type="dxa"/>
            <w:tcBorders>
              <w:top w:val="single" w:sz="4" w:space="0" w:color="auto"/>
            </w:tcBorders>
            <w:hideMark/>
          </w:tcPr>
          <w:p w14:paraId="6C38BA34"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3</w:t>
            </w:r>
          </w:p>
        </w:tc>
        <w:tc>
          <w:tcPr>
            <w:tcW w:w="2151" w:type="dxa"/>
            <w:tcBorders>
              <w:top w:val="single" w:sz="4" w:space="0" w:color="auto"/>
            </w:tcBorders>
            <w:hideMark/>
          </w:tcPr>
          <w:p w14:paraId="574C530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Unavailable (see Table 2 in source study)</w:t>
            </w:r>
          </w:p>
        </w:tc>
        <w:tc>
          <w:tcPr>
            <w:tcW w:w="2050" w:type="dxa"/>
            <w:tcBorders>
              <w:top w:val="single" w:sz="4" w:space="0" w:color="auto"/>
            </w:tcBorders>
            <w:hideMark/>
          </w:tcPr>
          <w:p w14:paraId="261B04CC" w14:textId="209EE689"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Asante-Appiah et al (2021)</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{"citationID":"EX1gvYm7","properties":{"unsorted":false,"formattedCitation":"\\super 52\\nosupersub{}","plainCitation":"52","noteIndex":0},"citationItems":[{"id":131,"uris":["http://zotero.org/users/19404620/items/B8KKE9VH"],"itemData":{"id":131,"type":"article-journal","abstract":"Clinical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(92.5–96.7%) than to etravirine (91.5%), rilpivirine (89.5%), efavirenz (81.5%), or nevirapine (77.5%). Based on a 3-fold cutoff, doravirine susceptibility was retained in 44.7–65.8%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52</w:t>
            </w:r>
            <w:r w:rsidRPr="004100CF">
              <w:rPr>
                <w:rFonts w:ascii="Times New Roman" w:hAnsi="Times New Roman" w:cs="Times New Roman"/>
                <w:color w:val="000000"/>
                <w:sz w:val="22"/>
                <w:szCs w:val="22"/>
              </w:rPr>
              <w:fldChar w:fldCharType="end"/>
            </w:r>
          </w:p>
        </w:tc>
      </w:tr>
      <w:tr w:rsidR="00BA0839" w:rsidRPr="004100CF" w14:paraId="6B6C2A64" w14:textId="77777777" w:rsidTr="005A06D4">
        <w:trPr>
          <w:trHeight w:val="340"/>
        </w:trPr>
        <w:tc>
          <w:tcPr>
            <w:tcW w:w="1206" w:type="dxa"/>
            <w:vMerge/>
            <w:hideMark/>
          </w:tcPr>
          <w:p w14:paraId="42823BCA"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193C8C2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V106A</w:t>
            </w:r>
          </w:p>
        </w:tc>
        <w:tc>
          <w:tcPr>
            <w:tcW w:w="1504" w:type="dxa"/>
            <w:hideMark/>
          </w:tcPr>
          <w:p w14:paraId="42D8760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9.6</w:t>
            </w:r>
          </w:p>
        </w:tc>
        <w:tc>
          <w:tcPr>
            <w:tcW w:w="999" w:type="dxa"/>
            <w:hideMark/>
          </w:tcPr>
          <w:p w14:paraId="0533B7B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w:t>
            </w:r>
          </w:p>
        </w:tc>
        <w:tc>
          <w:tcPr>
            <w:tcW w:w="2151" w:type="dxa"/>
            <w:hideMark/>
          </w:tcPr>
          <w:p w14:paraId="2C1AC50A"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[7.1, 9.6, 28]</w:t>
            </w:r>
          </w:p>
        </w:tc>
        <w:tc>
          <w:tcPr>
            <w:tcW w:w="2050" w:type="dxa"/>
            <w:hideMark/>
          </w:tcPr>
          <w:p w14:paraId="1A05CBE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{"citationID":"PF84jPK8","properties":{"unsorted":false,"formattedCitation":"\\super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Feng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{"citationID":"Yngmo9Y2","properties":{"unsorted":false,"formattedCitation":"\\super 17\\nosupersub{}","plainCitation":"17","noteIndex":0},"citationItems":[{"id":200,"uris":["http://zotero.org/users/19404620/items/3N7LAJL2"],"itemData":{"id":200,"type":"article-journal","abstract":"Doravirine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17</w:t>
            </w:r>
            <w:r w:rsidRPr="004100CF">
              <w:rPr>
                <w:rFonts w:ascii="Times New Roman" w:hAnsi="Times New Roman" w:cs="Times New Roman"/>
                <w:color w:val="000000"/>
                <w:sz w:val="22"/>
                <w:szCs w:val="22"/>
              </w:rPr>
              <w:fldChar w:fldCharType="end"/>
            </w:r>
          </w:p>
        </w:tc>
      </w:tr>
      <w:tr w:rsidR="00BA0839" w:rsidRPr="004100CF" w14:paraId="690257E9" w14:textId="77777777" w:rsidTr="005A06D4">
        <w:trPr>
          <w:trHeight w:val="340"/>
        </w:trPr>
        <w:tc>
          <w:tcPr>
            <w:tcW w:w="1206" w:type="dxa"/>
            <w:vMerge/>
            <w:hideMark/>
          </w:tcPr>
          <w:p w14:paraId="2FA3377D"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2394855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A98G+F227C</w:t>
            </w:r>
          </w:p>
        </w:tc>
        <w:tc>
          <w:tcPr>
            <w:tcW w:w="1504" w:type="dxa"/>
            <w:hideMark/>
          </w:tcPr>
          <w:p w14:paraId="13CB0BCE"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93</w:t>
            </w:r>
          </w:p>
        </w:tc>
        <w:tc>
          <w:tcPr>
            <w:tcW w:w="999" w:type="dxa"/>
            <w:hideMark/>
          </w:tcPr>
          <w:p w14:paraId="6F90AB1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w:t>
            </w:r>
          </w:p>
        </w:tc>
        <w:tc>
          <w:tcPr>
            <w:tcW w:w="2151" w:type="dxa"/>
            <w:hideMark/>
          </w:tcPr>
          <w:p w14:paraId="1C004F4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[93]</w:t>
            </w:r>
          </w:p>
        </w:tc>
        <w:tc>
          <w:tcPr>
            <w:tcW w:w="2050" w:type="dxa"/>
            <w:hideMark/>
          </w:tcPr>
          <w:p w14:paraId="52ECFF13" w14:textId="7A3DE354"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{"citationID":"A8Oinhsw","properties":{"unsorted":false,"formattedCitation":"\\super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p>
        </w:tc>
      </w:tr>
      <w:tr w:rsidR="00BA0839" w:rsidRPr="004100CF" w14:paraId="7D604EA1" w14:textId="77777777" w:rsidTr="005A06D4">
        <w:trPr>
          <w:trHeight w:val="340"/>
        </w:trPr>
        <w:tc>
          <w:tcPr>
            <w:tcW w:w="1206" w:type="dxa"/>
            <w:vMerge/>
            <w:hideMark/>
          </w:tcPr>
          <w:p w14:paraId="19F387F3"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2EB323E2"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V106I+F227C</w:t>
            </w:r>
          </w:p>
        </w:tc>
        <w:tc>
          <w:tcPr>
            <w:tcW w:w="1504" w:type="dxa"/>
            <w:hideMark/>
          </w:tcPr>
          <w:p w14:paraId="29746E3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105</w:t>
            </w:r>
          </w:p>
        </w:tc>
        <w:tc>
          <w:tcPr>
            <w:tcW w:w="999" w:type="dxa"/>
            <w:hideMark/>
          </w:tcPr>
          <w:p w14:paraId="72B42683"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w:t>
            </w:r>
          </w:p>
        </w:tc>
        <w:tc>
          <w:tcPr>
            <w:tcW w:w="2151" w:type="dxa"/>
            <w:hideMark/>
          </w:tcPr>
          <w:p w14:paraId="04367232"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[105]</w:t>
            </w:r>
          </w:p>
        </w:tc>
        <w:tc>
          <w:tcPr>
            <w:tcW w:w="2050" w:type="dxa"/>
            <w:hideMark/>
          </w:tcPr>
          <w:p w14:paraId="37C78C5B" w14:textId="0548187B"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{"citationID":"lcT7Ijjb","properties":{"unsorted":false,"formattedCitation":"\\super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p>
        </w:tc>
      </w:tr>
      <w:tr w:rsidR="00BA0839" w:rsidRPr="004100CF" w14:paraId="4AEA0215" w14:textId="77777777" w:rsidTr="005A06D4">
        <w:trPr>
          <w:trHeight w:val="340"/>
        </w:trPr>
        <w:tc>
          <w:tcPr>
            <w:tcW w:w="1206" w:type="dxa"/>
            <w:vMerge/>
            <w:hideMark/>
          </w:tcPr>
          <w:p w14:paraId="72B572F1"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36077C84"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V106A+F227L</w:t>
            </w:r>
          </w:p>
        </w:tc>
        <w:tc>
          <w:tcPr>
            <w:tcW w:w="1504" w:type="dxa"/>
            <w:hideMark/>
          </w:tcPr>
          <w:p w14:paraId="58409C42"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106</w:t>
            </w:r>
          </w:p>
        </w:tc>
        <w:tc>
          <w:tcPr>
            <w:tcW w:w="999" w:type="dxa"/>
            <w:hideMark/>
          </w:tcPr>
          <w:p w14:paraId="41B774AE"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w:t>
            </w:r>
          </w:p>
        </w:tc>
        <w:tc>
          <w:tcPr>
            <w:tcW w:w="2151" w:type="dxa"/>
            <w:hideMark/>
          </w:tcPr>
          <w:p w14:paraId="360415D9"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[106]</w:t>
            </w:r>
          </w:p>
        </w:tc>
        <w:tc>
          <w:tcPr>
            <w:tcW w:w="2050" w:type="dxa"/>
            <w:hideMark/>
          </w:tcPr>
          <w:p w14:paraId="55C6E91E"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Orkin et al (2026)</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{"citationID":"YYCFVkJs","properties":{"unsorted":false,"formattedCitation":"\\super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22</w:t>
            </w:r>
            <w:r w:rsidRPr="004100CF">
              <w:rPr>
                <w:rFonts w:ascii="Times New Roman" w:hAnsi="Times New Roman" w:cs="Times New Roman"/>
                <w:color w:val="000000"/>
                <w:sz w:val="22"/>
                <w:szCs w:val="22"/>
              </w:rPr>
              <w:fldChar w:fldCharType="end"/>
            </w:r>
          </w:p>
        </w:tc>
      </w:tr>
      <w:tr w:rsidR="00BA0839" w:rsidRPr="004100CF" w14:paraId="597C7E73" w14:textId="77777777" w:rsidTr="005A06D4">
        <w:trPr>
          <w:trHeight w:val="340"/>
        </w:trPr>
        <w:tc>
          <w:tcPr>
            <w:tcW w:w="1206" w:type="dxa"/>
            <w:vMerge/>
            <w:hideMark/>
          </w:tcPr>
          <w:p w14:paraId="0E5EC5D6"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64D84CE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Y188L</w:t>
            </w:r>
          </w:p>
        </w:tc>
        <w:tc>
          <w:tcPr>
            <w:tcW w:w="1504" w:type="dxa"/>
            <w:hideMark/>
          </w:tcPr>
          <w:p w14:paraId="590C040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149</w:t>
            </w:r>
          </w:p>
        </w:tc>
        <w:tc>
          <w:tcPr>
            <w:tcW w:w="999" w:type="dxa"/>
            <w:hideMark/>
          </w:tcPr>
          <w:p w14:paraId="3D044C6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6</w:t>
            </w:r>
          </w:p>
        </w:tc>
        <w:tc>
          <w:tcPr>
            <w:tcW w:w="2151" w:type="dxa"/>
            <w:hideMark/>
          </w:tcPr>
          <w:p w14:paraId="68F3D18C"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[95, 116, 116, 181, 181, 182]</w:t>
            </w:r>
          </w:p>
        </w:tc>
        <w:tc>
          <w:tcPr>
            <w:tcW w:w="2050" w:type="dxa"/>
            <w:hideMark/>
          </w:tcPr>
          <w:p w14:paraId="6CBAE8A9" w14:textId="5FF2716F"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{"citationID":"SNOn14BB","properties":{"unsorted":false,"formattedCitation":"\\super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Hazuda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{"citationID":"iEuvspek","properties":{"unsorted":false,"formattedCitation":"\\super 54\\nosupersub{}","plainCitation":"54","noteIndex":0},"citationItems":[{"id":210,"uris":["http://zotero.org/users/19404620/items/JW4TMFXK"],"itemData":{"id":210,"type":"webpage","publisher":"22nd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54</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{"citationID":"r5HkVSPs","properties":{"unsorted":false,"formattedCitation":"\\super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Orkin et al (2026)</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{"citationID":"n5dxJkYd","properties":{"unsorted":false,"formattedCitation":"\\super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22</w:t>
            </w:r>
            <w:r w:rsidRPr="004100CF">
              <w:rPr>
                <w:rFonts w:ascii="Times New Roman" w:hAnsi="Times New Roman" w:cs="Times New Roman"/>
                <w:color w:val="000000"/>
                <w:sz w:val="22"/>
                <w:szCs w:val="22"/>
              </w:rPr>
              <w:fldChar w:fldCharType="end"/>
            </w:r>
          </w:p>
        </w:tc>
      </w:tr>
      <w:tr w:rsidR="00BA0839" w:rsidRPr="004100CF" w14:paraId="63DB64DE" w14:textId="77777777" w:rsidTr="005A06D4">
        <w:trPr>
          <w:trHeight w:val="340"/>
        </w:trPr>
        <w:tc>
          <w:tcPr>
            <w:tcW w:w="1206" w:type="dxa"/>
            <w:vMerge/>
            <w:hideMark/>
          </w:tcPr>
          <w:p w14:paraId="180BE090"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1AB2C58A"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V106A+P225H</w:t>
            </w:r>
          </w:p>
        </w:tc>
        <w:tc>
          <w:tcPr>
            <w:tcW w:w="1504" w:type="dxa"/>
            <w:hideMark/>
          </w:tcPr>
          <w:p w14:paraId="5750EEB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153</w:t>
            </w:r>
          </w:p>
        </w:tc>
        <w:tc>
          <w:tcPr>
            <w:tcW w:w="999" w:type="dxa"/>
            <w:hideMark/>
          </w:tcPr>
          <w:p w14:paraId="56E2A31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w:t>
            </w:r>
          </w:p>
        </w:tc>
        <w:tc>
          <w:tcPr>
            <w:tcW w:w="2151" w:type="dxa"/>
            <w:hideMark/>
          </w:tcPr>
          <w:p w14:paraId="4F96B30B"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[95, 210]</w:t>
            </w:r>
          </w:p>
        </w:tc>
        <w:tc>
          <w:tcPr>
            <w:tcW w:w="2050" w:type="dxa"/>
            <w:hideMark/>
          </w:tcPr>
          <w:p w14:paraId="635F8E1A" w14:textId="48251994"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{"citationID":"y9MGbkL3","properties":{"unsorted":false,"formattedCitation":"\\super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Orkin et al (2026)</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{"citationID":"iPAKsr51","properties":{"unsorted":false,"formattedCitation":"\\super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22</w:t>
            </w:r>
            <w:r w:rsidRPr="004100CF">
              <w:rPr>
                <w:rFonts w:ascii="Times New Roman" w:hAnsi="Times New Roman" w:cs="Times New Roman"/>
                <w:color w:val="000000"/>
                <w:sz w:val="22"/>
                <w:szCs w:val="22"/>
              </w:rPr>
              <w:fldChar w:fldCharType="end"/>
            </w:r>
          </w:p>
        </w:tc>
      </w:tr>
      <w:tr w:rsidR="00BA0839" w:rsidRPr="004100CF" w14:paraId="131FEAA4" w14:textId="77777777" w:rsidTr="005A06D4">
        <w:trPr>
          <w:trHeight w:val="386"/>
        </w:trPr>
        <w:tc>
          <w:tcPr>
            <w:tcW w:w="1206" w:type="dxa"/>
            <w:vMerge/>
            <w:hideMark/>
          </w:tcPr>
          <w:p w14:paraId="72B9884A"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52AE7173"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V106A+L234I</w:t>
            </w:r>
          </w:p>
        </w:tc>
        <w:tc>
          <w:tcPr>
            <w:tcW w:w="1504" w:type="dxa"/>
            <w:hideMark/>
          </w:tcPr>
          <w:p w14:paraId="09431848"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161</w:t>
            </w:r>
          </w:p>
        </w:tc>
        <w:tc>
          <w:tcPr>
            <w:tcW w:w="999" w:type="dxa"/>
            <w:hideMark/>
          </w:tcPr>
          <w:p w14:paraId="6E072AEA"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w:t>
            </w:r>
          </w:p>
        </w:tc>
        <w:tc>
          <w:tcPr>
            <w:tcW w:w="2151" w:type="dxa"/>
            <w:hideMark/>
          </w:tcPr>
          <w:p w14:paraId="24064C05"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[150, 173]</w:t>
            </w:r>
          </w:p>
        </w:tc>
        <w:tc>
          <w:tcPr>
            <w:tcW w:w="2050" w:type="dxa"/>
            <w:hideMark/>
          </w:tcPr>
          <w:p w14:paraId="209F1CC8" w14:textId="33CEC51C"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Feng et al (2014)</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{"citationID":"DnX8jZfI","properties":{"unsorted":false,"formattedCitation":"\\super 55\\nosupersub{}","plainCitation":"55","noteIndex":0},"citationItems":[{"id":212,"uris":["http://zotero.org/users/19404620/items/HLTMG9NM"],"itemData":{"id":212,"type":"article-journal","abstract":"Background: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55</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Smith et al (2016)</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{"citationID":"jt8k6vke","properties":{"unsorted":false,"formattedCitation":"\\super 55\\nosupersub{}","plainCitation":"55","noteIndex":0},"citationItems":[{"id":212,"uris":["http://zotero.org/users/19404620/items/HLTMG9NM"],"itemData":{"id":212,"type":"article-journal","abstract":"Background: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55</w:t>
            </w:r>
            <w:r w:rsidRPr="004100CF">
              <w:rPr>
                <w:rFonts w:ascii="Times New Roman" w:hAnsi="Times New Roman" w:cs="Times New Roman"/>
                <w:color w:val="000000"/>
                <w:sz w:val="22"/>
                <w:szCs w:val="22"/>
              </w:rPr>
              <w:fldChar w:fldCharType="end"/>
            </w:r>
          </w:p>
        </w:tc>
      </w:tr>
      <w:tr w:rsidR="00BA0839" w:rsidRPr="004100CF" w14:paraId="30170A6A" w14:textId="77777777" w:rsidTr="005A06D4">
        <w:trPr>
          <w:trHeight w:val="386"/>
        </w:trPr>
        <w:tc>
          <w:tcPr>
            <w:tcW w:w="1206" w:type="dxa"/>
            <w:tcBorders>
              <w:bottom w:val="single" w:sz="4" w:space="0" w:color="auto"/>
            </w:tcBorders>
          </w:tcPr>
          <w:p w14:paraId="4A796214" w14:textId="77777777" w:rsidR="00BA0839" w:rsidRPr="004100CF" w:rsidRDefault="00BA0839" w:rsidP="005A06D4">
            <w:pPr>
              <w:rPr>
                <w:rFonts w:ascii="Times New Roman" w:hAnsi="Times New Roman" w:cs="Times New Roman"/>
                <w:color w:val="000000"/>
                <w:sz w:val="22"/>
                <w:szCs w:val="22"/>
              </w:rPr>
            </w:pPr>
          </w:p>
        </w:tc>
        <w:tc>
          <w:tcPr>
            <w:tcW w:w="1648" w:type="dxa"/>
            <w:tcBorders>
              <w:bottom w:val="single" w:sz="4" w:space="0" w:color="auto"/>
            </w:tcBorders>
          </w:tcPr>
          <w:p w14:paraId="2DB48490"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K103N+M230L</w:t>
            </w:r>
          </w:p>
        </w:tc>
        <w:tc>
          <w:tcPr>
            <w:tcW w:w="1504" w:type="dxa"/>
            <w:tcBorders>
              <w:bottom w:val="single" w:sz="4" w:space="0" w:color="auto"/>
            </w:tcBorders>
          </w:tcPr>
          <w:p w14:paraId="014E665A"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36</w:t>
            </w:r>
          </w:p>
        </w:tc>
        <w:tc>
          <w:tcPr>
            <w:tcW w:w="999" w:type="dxa"/>
            <w:tcBorders>
              <w:bottom w:val="single" w:sz="4" w:space="0" w:color="auto"/>
            </w:tcBorders>
          </w:tcPr>
          <w:p w14:paraId="37B93C99"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1</w:t>
            </w:r>
          </w:p>
        </w:tc>
        <w:tc>
          <w:tcPr>
            <w:tcW w:w="2151" w:type="dxa"/>
            <w:tcBorders>
              <w:bottom w:val="single" w:sz="4" w:space="0" w:color="auto"/>
            </w:tcBorders>
          </w:tcPr>
          <w:p w14:paraId="5856925F"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[36]</w:t>
            </w:r>
          </w:p>
        </w:tc>
        <w:tc>
          <w:tcPr>
            <w:tcW w:w="2050" w:type="dxa"/>
            <w:tcBorders>
              <w:bottom w:val="single" w:sz="4" w:space="0" w:color="auto"/>
            </w:tcBorders>
          </w:tcPr>
          <w:p w14:paraId="0C3A352F" w14:textId="6BAC7D10"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{"citationID":"0N5BrjjB","properties":{"unsorted":false,"formattedCitation":"\\super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p>
        </w:tc>
      </w:tr>
      <w:tr w:rsidR="00BA0839" w:rsidRPr="004100CF" w14:paraId="475CE906" w14:textId="77777777" w:rsidTr="005A06D4">
        <w:trPr>
          <w:trHeight w:val="340"/>
        </w:trPr>
        <w:tc>
          <w:tcPr>
            <w:tcW w:w="1206" w:type="dxa"/>
            <w:vMerge w:val="restart"/>
            <w:tcBorders>
              <w:top w:val="single" w:sz="4" w:space="0" w:color="auto"/>
            </w:tcBorders>
            <w:vAlign w:val="center"/>
            <w:hideMark/>
          </w:tcPr>
          <w:p w14:paraId="7EF76324"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 xml:space="preserve">Uncertain </w:t>
            </w:r>
          </w:p>
        </w:tc>
        <w:tc>
          <w:tcPr>
            <w:tcW w:w="1648" w:type="dxa"/>
            <w:tcBorders>
              <w:top w:val="single" w:sz="4" w:space="0" w:color="auto"/>
            </w:tcBorders>
            <w:hideMark/>
          </w:tcPr>
          <w:p w14:paraId="73A345B9"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V106M</w:t>
            </w:r>
          </w:p>
        </w:tc>
        <w:tc>
          <w:tcPr>
            <w:tcW w:w="1504" w:type="dxa"/>
            <w:tcBorders>
              <w:top w:val="single" w:sz="4" w:space="0" w:color="auto"/>
            </w:tcBorders>
            <w:hideMark/>
          </w:tcPr>
          <w:p w14:paraId="59B6CEC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3.4</w:t>
            </w:r>
          </w:p>
        </w:tc>
        <w:tc>
          <w:tcPr>
            <w:tcW w:w="999" w:type="dxa"/>
            <w:tcBorders>
              <w:top w:val="single" w:sz="4" w:space="0" w:color="auto"/>
            </w:tcBorders>
            <w:hideMark/>
          </w:tcPr>
          <w:p w14:paraId="5526A864"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w:t>
            </w:r>
          </w:p>
        </w:tc>
        <w:tc>
          <w:tcPr>
            <w:tcW w:w="2151" w:type="dxa"/>
            <w:tcBorders>
              <w:top w:val="single" w:sz="4" w:space="0" w:color="auto"/>
            </w:tcBorders>
            <w:hideMark/>
          </w:tcPr>
          <w:p w14:paraId="4716DBD8"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[3.4]</w:t>
            </w:r>
          </w:p>
        </w:tc>
        <w:tc>
          <w:tcPr>
            <w:tcW w:w="2050" w:type="dxa"/>
            <w:tcBorders>
              <w:top w:val="single" w:sz="4" w:space="0" w:color="auto"/>
            </w:tcBorders>
            <w:hideMark/>
          </w:tcPr>
          <w:p w14:paraId="52FCCD4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{"citationID":"5ImOAsH1","properties":{"unsorted":false,"formattedCitation":"\\super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62F9E523" w14:textId="77777777" w:rsidTr="005A06D4">
        <w:trPr>
          <w:trHeight w:val="467"/>
        </w:trPr>
        <w:tc>
          <w:tcPr>
            <w:tcW w:w="1206" w:type="dxa"/>
            <w:vMerge/>
            <w:hideMark/>
          </w:tcPr>
          <w:p w14:paraId="52647427" w14:textId="77777777" w:rsidR="00BA0839" w:rsidRPr="004100CF" w:rsidRDefault="00BA0839" w:rsidP="005A06D4">
            <w:pPr>
              <w:spacing w:line="480" w:lineRule="auto"/>
              <w:rPr>
                <w:rFonts w:ascii="Times New Roman" w:hAnsi="Times New Roman" w:cs="Times New Roman"/>
                <w:color w:val="000000"/>
                <w:sz w:val="22"/>
                <w:szCs w:val="22"/>
              </w:rPr>
            </w:pPr>
          </w:p>
        </w:tc>
        <w:tc>
          <w:tcPr>
            <w:tcW w:w="1648" w:type="dxa"/>
            <w:hideMark/>
          </w:tcPr>
          <w:p w14:paraId="72C8E85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G190S</w:t>
            </w:r>
          </w:p>
        </w:tc>
        <w:tc>
          <w:tcPr>
            <w:tcW w:w="1504" w:type="dxa"/>
            <w:hideMark/>
          </w:tcPr>
          <w:p w14:paraId="20871CB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5.2</w:t>
            </w:r>
          </w:p>
        </w:tc>
        <w:tc>
          <w:tcPr>
            <w:tcW w:w="999" w:type="dxa"/>
            <w:hideMark/>
          </w:tcPr>
          <w:p w14:paraId="7A6565BA"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4</w:t>
            </w:r>
          </w:p>
        </w:tc>
        <w:tc>
          <w:tcPr>
            <w:tcW w:w="2151" w:type="dxa"/>
            <w:hideMark/>
          </w:tcPr>
          <w:p w14:paraId="1EFC9B3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[1.5, 4.5, 5.9, 11]</w:t>
            </w:r>
          </w:p>
        </w:tc>
        <w:tc>
          <w:tcPr>
            <w:tcW w:w="2050" w:type="dxa"/>
            <w:hideMark/>
          </w:tcPr>
          <w:p w14:paraId="5BDA5BA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{"citationID":"KFT3tPG6","properties":{"unsorted":false,"formattedCitation":"\\super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20C09B71" w14:textId="77777777" w:rsidTr="005A06D4">
        <w:trPr>
          <w:trHeight w:val="521"/>
        </w:trPr>
        <w:tc>
          <w:tcPr>
            <w:tcW w:w="1206" w:type="dxa"/>
            <w:vMerge/>
            <w:hideMark/>
          </w:tcPr>
          <w:p w14:paraId="27D84BA7" w14:textId="77777777" w:rsidR="00BA0839" w:rsidRPr="004100CF" w:rsidRDefault="00BA0839" w:rsidP="005A06D4">
            <w:pPr>
              <w:spacing w:line="480" w:lineRule="auto"/>
              <w:rPr>
                <w:rFonts w:ascii="Times New Roman" w:hAnsi="Times New Roman" w:cs="Times New Roman"/>
                <w:color w:val="000000"/>
                <w:sz w:val="22"/>
                <w:szCs w:val="22"/>
              </w:rPr>
            </w:pPr>
          </w:p>
        </w:tc>
        <w:tc>
          <w:tcPr>
            <w:tcW w:w="1648" w:type="dxa"/>
            <w:hideMark/>
          </w:tcPr>
          <w:p w14:paraId="2FDB1AA3"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K103N+L100I</w:t>
            </w:r>
          </w:p>
        </w:tc>
        <w:tc>
          <w:tcPr>
            <w:tcW w:w="1504" w:type="dxa"/>
            <w:hideMark/>
          </w:tcPr>
          <w:p w14:paraId="0399B84F"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6.8</w:t>
            </w:r>
          </w:p>
        </w:tc>
        <w:tc>
          <w:tcPr>
            <w:tcW w:w="999" w:type="dxa"/>
            <w:hideMark/>
          </w:tcPr>
          <w:p w14:paraId="3B40610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8</w:t>
            </w:r>
          </w:p>
        </w:tc>
        <w:tc>
          <w:tcPr>
            <w:tcW w:w="2151" w:type="dxa"/>
            <w:hideMark/>
          </w:tcPr>
          <w:p w14:paraId="2FD80BF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[2.7, 4.5, 4.6, 5.1, 8.4, 10, 11, 19]</w:t>
            </w:r>
          </w:p>
        </w:tc>
        <w:tc>
          <w:tcPr>
            <w:tcW w:w="2050" w:type="dxa"/>
            <w:hideMark/>
          </w:tcPr>
          <w:p w14:paraId="0E4FA6D9"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{"citationID":"pekGNnut","properties":{"unsorted":false,"formattedCitation":"\\super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5F3B58F6" w14:textId="77777777" w:rsidTr="005A06D4">
        <w:trPr>
          <w:trHeight w:val="350"/>
        </w:trPr>
        <w:tc>
          <w:tcPr>
            <w:tcW w:w="1206" w:type="dxa"/>
            <w:vMerge/>
            <w:hideMark/>
          </w:tcPr>
          <w:p w14:paraId="1817F1E7" w14:textId="77777777" w:rsidR="00BA0839" w:rsidRPr="004100CF" w:rsidRDefault="00BA0839" w:rsidP="005A06D4">
            <w:pPr>
              <w:spacing w:line="480" w:lineRule="auto"/>
              <w:rPr>
                <w:rFonts w:ascii="Times New Roman" w:hAnsi="Times New Roman" w:cs="Times New Roman"/>
                <w:color w:val="000000"/>
                <w:sz w:val="22"/>
                <w:szCs w:val="22"/>
              </w:rPr>
            </w:pPr>
          </w:p>
        </w:tc>
        <w:tc>
          <w:tcPr>
            <w:tcW w:w="1648" w:type="dxa"/>
            <w:hideMark/>
          </w:tcPr>
          <w:p w14:paraId="69A7F911" w14:textId="46F2ED54"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K103N+P225H</w:t>
            </w:r>
          </w:p>
        </w:tc>
        <w:tc>
          <w:tcPr>
            <w:tcW w:w="1504" w:type="dxa"/>
            <w:hideMark/>
          </w:tcPr>
          <w:p w14:paraId="6C0AEC52" w14:textId="707C96C9"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7.8</w:t>
            </w:r>
          </w:p>
        </w:tc>
        <w:tc>
          <w:tcPr>
            <w:tcW w:w="999" w:type="dxa"/>
            <w:hideMark/>
          </w:tcPr>
          <w:p w14:paraId="7A18FC3F"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w:t>
            </w:r>
          </w:p>
        </w:tc>
        <w:tc>
          <w:tcPr>
            <w:tcW w:w="2151" w:type="dxa"/>
            <w:hideMark/>
          </w:tcPr>
          <w:p w14:paraId="2B9203D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[5.7, 10]</w:t>
            </w:r>
          </w:p>
        </w:tc>
        <w:tc>
          <w:tcPr>
            <w:tcW w:w="2050" w:type="dxa"/>
            <w:hideMark/>
          </w:tcPr>
          <w:p w14:paraId="1BA9E17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{"citationID":"dk8ipzQr","properties":{"unsorted":false,"formattedCitation":"\\super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1B1087BE" w14:textId="77777777" w:rsidTr="005A06D4">
        <w:trPr>
          <w:trHeight w:val="350"/>
        </w:trPr>
        <w:tc>
          <w:tcPr>
            <w:tcW w:w="1206" w:type="dxa"/>
            <w:vMerge/>
            <w:tcBorders>
              <w:bottom w:val="single" w:sz="4" w:space="0" w:color="auto"/>
            </w:tcBorders>
          </w:tcPr>
          <w:p w14:paraId="02D0C131" w14:textId="77777777" w:rsidR="00BA0839" w:rsidRPr="004100CF" w:rsidRDefault="00BA0839" w:rsidP="005A06D4">
            <w:pPr>
              <w:spacing w:line="480" w:lineRule="auto"/>
              <w:rPr>
                <w:rFonts w:ascii="Times New Roman" w:hAnsi="Times New Roman" w:cs="Times New Roman"/>
                <w:color w:val="000000"/>
                <w:sz w:val="22"/>
                <w:szCs w:val="22"/>
              </w:rPr>
            </w:pPr>
          </w:p>
        </w:tc>
        <w:tc>
          <w:tcPr>
            <w:tcW w:w="1648" w:type="dxa"/>
            <w:tcBorders>
              <w:bottom w:val="single" w:sz="4" w:space="0" w:color="auto"/>
            </w:tcBorders>
          </w:tcPr>
          <w:p w14:paraId="1D9036E4"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G190E</w:t>
            </w:r>
          </w:p>
        </w:tc>
        <w:tc>
          <w:tcPr>
            <w:tcW w:w="1504" w:type="dxa"/>
            <w:tcBorders>
              <w:bottom w:val="single" w:sz="4" w:space="0" w:color="auto"/>
            </w:tcBorders>
          </w:tcPr>
          <w:p w14:paraId="40968440" w14:textId="57C740A5"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18</w:t>
            </w:r>
          </w:p>
        </w:tc>
        <w:tc>
          <w:tcPr>
            <w:tcW w:w="999" w:type="dxa"/>
            <w:tcBorders>
              <w:bottom w:val="single" w:sz="4" w:space="0" w:color="auto"/>
            </w:tcBorders>
          </w:tcPr>
          <w:p w14:paraId="695C574D" w14:textId="560FDF62"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1</w:t>
            </w:r>
          </w:p>
        </w:tc>
        <w:tc>
          <w:tcPr>
            <w:tcW w:w="2151" w:type="dxa"/>
            <w:tcBorders>
              <w:bottom w:val="single" w:sz="4" w:space="0" w:color="auto"/>
            </w:tcBorders>
          </w:tcPr>
          <w:p w14:paraId="168E0CD3"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[18]</w:t>
            </w:r>
          </w:p>
        </w:tc>
        <w:tc>
          <w:tcPr>
            <w:tcW w:w="2050" w:type="dxa"/>
            <w:tcBorders>
              <w:bottom w:val="single" w:sz="4" w:space="0" w:color="auto"/>
            </w:tcBorders>
          </w:tcPr>
          <w:p w14:paraId="628ECB0C" w14:textId="258593C6"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{"citationID":"clMt889n","properties":{"unsorted":false,"formattedCitation":"\\super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p>
        </w:tc>
      </w:tr>
    </w:tbl>
    <w:p w14:paraId="59BCE44D" w14:textId="61C0F769" w:rsidR="00BA0839" w:rsidRPr="004100CF" w:rsidRDefault="00BA0839" w:rsidP="00BA0839">
      <w:pPr>
        <w:rPr>
          <w:rFonts w:ascii="Times New Roman" w:hAnsi="Times New Roman" w:cs="Times New Roman"/>
        </w:rPr>
      </w:pPr>
    </w:p>
    <w:p w14:paraId="217B8E6F" w14:textId="086CF801" w:rsidR="000E15E2" w:rsidRPr="004100CF" w:rsidRDefault="000E15E2" w:rsidP="000E15E2">
      <w:pPr>
        <w:rPr>
          <w:rFonts w:ascii="Times New Roman" w:hAnsi="Times New Roman" w:cs="Times New Roman"/>
        </w:rPr>
      </w:pPr>
    </w:p>
    <w:p w14:paraId="44C5F9DA" w14:textId="31DD1574" w:rsidR="009D30A5" w:rsidRPr="004100CF" w:rsidRDefault="009D30A5" w:rsidP="009D30A5">
      <w:pPr>
        <w:rPr>
          <w:rFonts w:ascii="Times New Roman" w:hAnsi="Times New Roman" w:cs="Times New Roman"/>
          <w:b/>
          <w:bCs/>
          <w:szCs w:val="24"/>
          <w:u w:val="single"/>
        </w:rPr>
      </w:pPr>
      <w:r w:rsidRPr="004100CF">
        <w:rPr>
          <w:rFonts w:ascii="Times New Roman" w:hAnsi="Times New Roman" w:cs="Times New Roman"/>
          <w:b/>
          <w:bCs/>
          <w:szCs w:val="24"/>
          <w:u w:val="single"/>
        </w:rPr>
        <w:t>RT-DOR binding free energy analyses</w:t>
      </w:r>
    </w:p>
    <w:p w14:paraId="62CC092D" w14:textId="4729D6D8" w:rsidR="00703302" w:rsidRPr="004100CF" w:rsidRDefault="003E5220" w:rsidP="000E15E2">
      <w:pPr>
        <w:rPr>
          <w:rFonts w:ascii="Times New Roman" w:hAnsi="Times New Roman" w:cs="Times New Roman"/>
          <w:szCs w:val="24"/>
        </w:rPr>
      </w:pPr>
      <w:r w:rsidRPr="004100CF">
        <w:rPr>
          <w:rFonts w:ascii="Times New Roman" w:hAnsi="Times New Roman" w:cs="Times New Roman"/>
          <w:szCs w:val="24"/>
        </w:rPr>
        <w:t xml:space="preserve">Starting from the published X-ray crystal structure of WT RT bound to DOR (Figure 1), we introduced each mutation </w:t>
      </w:r>
      <w:r w:rsidRPr="004100CF">
        <w:rPr>
          <w:rFonts w:ascii="Times New Roman" w:hAnsi="Times New Roman" w:cs="Times New Roman"/>
          <w:i/>
          <w:iCs/>
          <w:szCs w:val="24"/>
        </w:rPr>
        <w:t>in silico</w:t>
      </w:r>
      <w:r w:rsidRPr="004100CF">
        <w:rPr>
          <w:rFonts w:ascii="Times New Roman" w:hAnsi="Times New Roman" w:cs="Times New Roman"/>
          <w:szCs w:val="24"/>
        </w:rPr>
        <w:t xml:space="preserve"> and applied restrained followed by unrestrained energy minimization to generate 18 mutant RT-DOR complex structures corresponding to the curated genotype panel described above. The RT variant sequences simulated in this study are provided in Supplementary Table 2.</w:t>
      </w:r>
    </w:p>
    <w:p w14:paraId="47AE142F" w14:textId="58DEB6DD" w:rsidR="00703302" w:rsidRPr="004100CF" w:rsidRDefault="00703302" w:rsidP="008D0E12">
      <w:pPr>
        <w:spacing w:before="240" w:after="240"/>
        <w:rPr>
          <w:rFonts w:ascii="Times New Roman" w:hAnsi="Times New Roman" w:cs="Times New Roman"/>
          <w:szCs w:val="24"/>
        </w:rPr>
      </w:pPr>
      <w:r w:rsidRPr="004100CF">
        <w:rPr>
          <w:rFonts w:ascii="Times New Roman" w:hAnsi="Times New Roman" w:cs="Times New Roman"/>
          <w:szCs w:val="24"/>
        </w:rPr>
        <w:t xml:space="preserve">For each system, we ran three independent 100ns all-atom, explicit-solvent production simulations. Since RT undergoes </w:t>
      </w:r>
      <w:r w:rsidR="00851C44" w:rsidRPr="004100CF">
        <w:rPr>
          <w:rFonts w:ascii="Times New Roman" w:hAnsi="Times New Roman" w:cs="Times New Roman"/>
          <w:szCs w:val="24"/>
        </w:rPr>
        <w:t>domain</w:t>
      </w:r>
      <w:r w:rsidRPr="004100CF">
        <w:rPr>
          <w:rFonts w:ascii="Times New Roman" w:hAnsi="Times New Roman" w:cs="Times New Roman"/>
          <w:szCs w:val="24"/>
        </w:rPr>
        <w:t xml:space="preserve"> rearrangements on the</w:t>
      </w:r>
      <w:r w:rsidR="00DB0CDA" w:rsidRPr="004100CF">
        <w:rPr>
          <w:rFonts w:ascii="Times New Roman" w:hAnsi="Times New Roman" w:cs="Times New Roman"/>
          <w:szCs w:val="24"/>
        </w:rPr>
        <w:t xml:space="preserve"> millisecond</w:t>
      </w:r>
      <w:r w:rsidRPr="004100CF">
        <w:rPr>
          <w:rFonts w:ascii="Times New Roman" w:hAnsi="Times New Roman" w:cs="Times New Roman"/>
          <w:szCs w:val="24"/>
        </w:rPr>
        <w:t xml:space="preserve"> timescale</w:t>
      </w:r>
      <w:r w:rsidR="00AD1C7A" w:rsidRPr="004100CF">
        <w:rPr>
          <w:rFonts w:ascii="Times New Roman" w:hAnsi="Times New Roman" w:cs="Times New Roman"/>
          <w:szCs w:val="24"/>
        </w:rPr>
        <w:t>,</w:t>
      </w:r>
      <w:r w:rsidR="000745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{"citationID":"7g77Zrf7","properties":{"unsorted":false,"formattedCitation":"\\super 56\\nosupersub{}","plainCitation":"56","noteIndex":0},"citationItems":[{"id":314,"uris":["http://zotero.org/users/19404620/items/IZKA6784"],"itemData":{"id":314,"type":"article-journal","abstract":"Single turnover studies on HIV reverse transcriptase suggest that nucleoside analogs bind more tightly to the enzyme than normal substrates, contrary to rational structural predictions. Here we resolve these controversies by monitoring the kinetics of nucleotide-induced changes in enzyme structure. We show that the specificity constant for incorporation of a normal nucleotide (dCTP) is determined solely by the rate of binding (including isomerization) because isomerization to the closed complex commits the substrate to react. In contrast, a nucleoside analog (3TC-TP, triphosphate form of lamivudine) is incorporated slowly, allowing the conformational change to come to equilibrium and revealing tight nucleotide binding. Our data reconcile previously conflicting reports suggesting that nucleotide analogs bind tighter than normal nucleotides. Rather, dCTP and 3TC-TP bind with nearly equal affinities, but the binding of dCTP never reaches equilibrium. Discrimination against 3TC-TP is based on the slower rate of incorporation due to misalignment of the substrate and/or catalytic residues.","container-title":"Proceedings of the National Academy of Sciences","DOI":"10.1073/pnas.0913946107","issue":"17","page":"7734-7739","publisher":"Proceedings of the National Academy of Sciences","source":"www-pnas-org.stanford.idm.oclc.org (Atypon)","title":"Nucleotide-dependent conformational change governs specificity and analog discrimination by HIV reverse transcriptase","volume":"107","author":[{"family":"Kellinger","given":"Matthew W."},{"family":"Johnson","given":"Kenneth A."}],"issued":{"date-parts":[["2010",4,27]]}}}],"schema":"https://github.com/citation-style-language/schema/raw/master/csl-citation.json"} </w:instrText>
      </w:r>
      <w:r w:rsidR="000745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56</w:t>
      </w:r>
      <w:r w:rsidR="000745F0" w:rsidRPr="004100CF">
        <w:rPr>
          <w:rFonts w:ascii="Times New Roman" w:hAnsi="Times New Roman" w:cs="Times New Roman"/>
          <w:szCs w:val="24"/>
        </w:rPr>
        <w:fldChar w:fldCharType="end"/>
      </w:r>
      <w:r w:rsidR="00AD1C7A" w:rsidRPr="004100CF">
        <w:rPr>
          <w:rFonts w:ascii="Times New Roman" w:hAnsi="Times New Roman" w:cs="Times New Roman"/>
          <w:szCs w:val="24"/>
        </w:rPr>
        <w:t xml:space="preserve"> these relatively short MD runs are unlikely to capture converged dynamics of the full RT molecule. </w:t>
      </w:r>
      <w:r w:rsidR="00B06E69" w:rsidRPr="004100CF">
        <w:rPr>
          <w:rFonts w:ascii="Times New Roman" w:hAnsi="Times New Roman" w:cs="Times New Roman"/>
          <w:szCs w:val="24"/>
        </w:rPr>
        <w:t xml:space="preserve">However, </w:t>
      </w:r>
      <w:r w:rsidR="00AD1C7A" w:rsidRPr="004100CF">
        <w:rPr>
          <w:rFonts w:ascii="Times New Roman" w:hAnsi="Times New Roman" w:cs="Times New Roman"/>
          <w:szCs w:val="24"/>
        </w:rPr>
        <w:t xml:space="preserve">DOR pose </w:t>
      </w:r>
      <w:r w:rsidR="0087658B" w:rsidRPr="004100CF">
        <w:rPr>
          <w:rFonts w:ascii="Times New Roman" w:hAnsi="Times New Roman" w:cs="Times New Roman"/>
          <w:szCs w:val="24"/>
        </w:rPr>
        <w:t xml:space="preserve">RMSD </w:t>
      </w:r>
      <w:r w:rsidR="00AD1C7A" w:rsidRPr="004100CF">
        <w:rPr>
          <w:rFonts w:ascii="Times New Roman" w:hAnsi="Times New Roman" w:cs="Times New Roman"/>
          <w:szCs w:val="24"/>
        </w:rPr>
        <w:t xml:space="preserve">and DOR-RT </w:t>
      </w:r>
      <w:r w:rsidR="0087658B" w:rsidRPr="004100CF">
        <w:rPr>
          <w:rFonts w:ascii="Times New Roman" w:hAnsi="Times New Roman" w:cs="Times New Roman"/>
          <w:szCs w:val="24"/>
        </w:rPr>
        <w:t xml:space="preserve">center of mass </w:t>
      </w:r>
      <w:r w:rsidR="00943376" w:rsidRPr="004100CF">
        <w:rPr>
          <w:rFonts w:ascii="Times New Roman" w:hAnsi="Times New Roman" w:cs="Times New Roman"/>
          <w:szCs w:val="24"/>
        </w:rPr>
        <w:t xml:space="preserve">distance </w:t>
      </w:r>
      <w:r w:rsidR="00AD1C7A" w:rsidRPr="004100CF">
        <w:rPr>
          <w:rFonts w:ascii="Times New Roman" w:hAnsi="Times New Roman" w:cs="Times New Roman"/>
          <w:szCs w:val="24"/>
        </w:rPr>
        <w:t xml:space="preserve">fluctuations </w:t>
      </w:r>
      <w:r w:rsidR="00567977" w:rsidRPr="004100CF">
        <w:rPr>
          <w:rFonts w:ascii="Times New Roman" w:hAnsi="Times New Roman" w:cs="Times New Roman"/>
          <w:szCs w:val="24"/>
        </w:rPr>
        <w:t>suggested</w:t>
      </w:r>
      <w:r w:rsidR="00AD1C7A" w:rsidRPr="004100CF">
        <w:rPr>
          <w:rFonts w:ascii="Times New Roman" w:hAnsi="Times New Roman" w:cs="Times New Roman"/>
          <w:szCs w:val="24"/>
        </w:rPr>
        <w:t xml:space="preserve"> that DOR dynamics within the NNIBP </w:t>
      </w:r>
      <w:r w:rsidR="002C6515" w:rsidRPr="004100CF">
        <w:rPr>
          <w:rFonts w:ascii="Times New Roman" w:hAnsi="Times New Roman" w:cs="Times New Roman"/>
          <w:szCs w:val="24"/>
        </w:rPr>
        <w:t>were relatively stable</w:t>
      </w:r>
      <w:r w:rsidR="00AD1C7A" w:rsidRPr="004100CF">
        <w:rPr>
          <w:rFonts w:ascii="Times New Roman" w:hAnsi="Times New Roman" w:cs="Times New Roman"/>
          <w:szCs w:val="24"/>
        </w:rPr>
        <w:t xml:space="preserve"> </w:t>
      </w:r>
      <w:r w:rsidR="009B49B5" w:rsidRPr="004100CF">
        <w:rPr>
          <w:rFonts w:ascii="Times New Roman" w:hAnsi="Times New Roman" w:cs="Times New Roman"/>
          <w:szCs w:val="24"/>
        </w:rPr>
        <w:t xml:space="preserve">during the course of the simulations </w:t>
      </w:r>
      <w:r w:rsidR="00AD1C7A" w:rsidRPr="004100CF">
        <w:rPr>
          <w:rFonts w:ascii="Times New Roman" w:hAnsi="Times New Roman" w:cs="Times New Roman"/>
          <w:szCs w:val="24"/>
        </w:rPr>
        <w:t>(</w:t>
      </w:r>
      <w:r w:rsidR="00B06E69" w:rsidRPr="004100CF">
        <w:rPr>
          <w:rFonts w:ascii="Times New Roman" w:hAnsi="Times New Roman" w:cs="Times New Roman"/>
          <w:szCs w:val="24"/>
        </w:rPr>
        <w:t>Supplementary Figure 1</w:t>
      </w:r>
      <w:r w:rsidR="00AD1C7A" w:rsidRPr="004100CF">
        <w:rPr>
          <w:rFonts w:ascii="Times New Roman" w:hAnsi="Times New Roman" w:cs="Times New Roman"/>
          <w:szCs w:val="24"/>
        </w:rPr>
        <w:t>).</w:t>
      </w:r>
      <w:r w:rsidRPr="004100CF">
        <w:rPr>
          <w:rFonts w:ascii="Times New Roman" w:hAnsi="Times New Roman" w:cs="Times New Roman"/>
          <w:szCs w:val="24"/>
        </w:rPr>
        <w:t xml:space="preserve"> </w:t>
      </w:r>
    </w:p>
    <w:p w14:paraId="7F6710A7" w14:textId="47404BF8" w:rsidR="007E05DC" w:rsidRPr="004100CF" w:rsidRDefault="007E05DC" w:rsidP="008D0E12">
      <w:pPr>
        <w:spacing w:before="240" w:after="240"/>
        <w:rPr>
          <w:rFonts w:ascii="Times New Roman" w:hAnsi="Times New Roman" w:cs="Times New Roman"/>
          <w:szCs w:val="24"/>
        </w:rPr>
      </w:pPr>
      <w:r w:rsidRPr="004100CF">
        <w:rPr>
          <w:rFonts w:ascii="Times New Roman" w:hAnsi="Times New Roman" w:cs="Times New Roman"/>
          <w:szCs w:val="24"/>
        </w:rPr>
        <w:t xml:space="preserve">We sampled RT-DOR structures from these </w:t>
      </w:r>
      <w:proofErr w:type="spellStart"/>
      <w:r w:rsidRPr="004100CF">
        <w:rPr>
          <w:rFonts w:ascii="Times New Roman" w:hAnsi="Times New Roman" w:cs="Times New Roman"/>
          <w:i/>
          <w:iCs/>
          <w:szCs w:val="24"/>
        </w:rPr>
        <w:t>holo</w:t>
      </w:r>
      <w:proofErr w:type="spellEnd"/>
      <w:r w:rsidRPr="004100CF">
        <w:rPr>
          <w:rFonts w:ascii="Times New Roman" w:hAnsi="Times New Roman" w:cs="Times New Roman"/>
          <w:i/>
          <w:iCs/>
          <w:szCs w:val="24"/>
        </w:rPr>
        <w:t xml:space="preserve"> </w:t>
      </w:r>
      <w:r w:rsidRPr="004100CF">
        <w:rPr>
          <w:rFonts w:ascii="Times New Roman" w:hAnsi="Times New Roman" w:cs="Times New Roman"/>
          <w:szCs w:val="24"/>
        </w:rPr>
        <w:t xml:space="preserve">(RT+DOR) and corresponding </w:t>
      </w:r>
      <w:r w:rsidRPr="004100CF">
        <w:rPr>
          <w:rFonts w:ascii="Times New Roman" w:hAnsi="Times New Roman" w:cs="Times New Roman"/>
          <w:i/>
          <w:iCs/>
          <w:szCs w:val="24"/>
        </w:rPr>
        <w:t xml:space="preserve">apo </w:t>
      </w:r>
      <w:r w:rsidRPr="004100CF">
        <w:rPr>
          <w:rFonts w:ascii="Times New Roman" w:hAnsi="Times New Roman" w:cs="Times New Roman"/>
          <w:szCs w:val="24"/>
        </w:rPr>
        <w:t>(RT only) simulations to compute the relative binding free energy, ∆∆</w:t>
      </w:r>
      <w:proofErr w:type="spellStart"/>
      <w:r w:rsidRPr="004100CF">
        <w:rPr>
          <w:rFonts w:ascii="Times New Roman" w:hAnsi="Times New Roman" w:cs="Times New Roman"/>
          <w:szCs w:val="24"/>
        </w:rPr>
        <w:t>G</w:t>
      </w:r>
      <w:r w:rsidRPr="004100CF">
        <w:rPr>
          <w:rFonts w:ascii="Times New Roman" w:hAnsi="Times New Roman" w:cs="Times New Roman"/>
          <w:szCs w:val="24"/>
          <w:vertAlign w:val="subscript"/>
        </w:rPr>
        <w:t>bind</w:t>
      </w:r>
      <w:proofErr w:type="spellEnd"/>
      <w:r w:rsidRPr="004100CF">
        <w:rPr>
          <w:rFonts w:ascii="Times New Roman" w:hAnsi="Times New Roman" w:cs="Times New Roman"/>
          <w:szCs w:val="24"/>
        </w:rPr>
        <w:t>, between the mutant and WT RT-DOR complexes using a non-equilibrium alchemical free energy calculation protocol (Figure 2).</w:t>
      </w:r>
      <w:r w:rsidRPr="004100CF">
        <w:rPr>
          <w:rFonts w:ascii="Times New Roman" w:hAnsi="Times New Roman" w:cs="Times New Roman"/>
          <w:szCs w:val="24"/>
        </w:rPr>
        <w:t xml:space="preserve"> </w:t>
      </w:r>
      <w:r w:rsidRPr="004100CF">
        <w:rPr>
          <w:rFonts w:ascii="Times New Roman" w:hAnsi="Times New Roman" w:cs="Times New Roman"/>
          <w:szCs w:val="24"/>
        </w:rPr>
        <w:t>Additionally, we calculated the average MM/GBSA energy over the final 20 frames of each equilibrium trajectory, corresponding to approximately the final 10ns.</w:t>
      </w:r>
      <w:r w:rsidRPr="004100CF">
        <w:rPr>
          <w:rFonts w:ascii="Times New Roman" w:hAnsi="Times New Roman" w:cs="Times New Roman"/>
          <w:szCs w:val="24"/>
        </w:rPr>
        <w:t xml:space="preserve"> </w:t>
      </w:r>
      <w:r w:rsidRPr="004100CF">
        <w:rPr>
          <w:rFonts w:ascii="Times New Roman" w:hAnsi="Times New Roman" w:cs="Times New Roman"/>
          <w:szCs w:val="24"/>
        </w:rPr>
        <w:t xml:space="preserve">For each mutant genotype, </w:t>
      </w:r>
      <w:r w:rsidRPr="004100CF">
        <w:rPr>
          <w:rFonts w:ascii="Times New Roman" w:hAnsi="Times New Roman" w:cs="Times New Roman"/>
          <w:szCs w:val="24"/>
        </w:rPr>
        <w:lastRenderedPageBreak/>
        <w:t>we then computed WT-referenced energetic changes for the total MM/GBSA energy (∆∆</w:t>
      </w:r>
      <w:proofErr w:type="spellStart"/>
      <w:r w:rsidRPr="004100CF">
        <w:rPr>
          <w:rFonts w:ascii="Times New Roman" w:hAnsi="Times New Roman" w:cs="Times New Roman"/>
          <w:szCs w:val="24"/>
        </w:rPr>
        <w:t>E</w:t>
      </w:r>
      <w:r w:rsidRPr="004100CF">
        <w:rPr>
          <w:rFonts w:ascii="Times New Roman" w:hAnsi="Times New Roman" w:cs="Times New Roman"/>
          <w:szCs w:val="24"/>
          <w:vertAlign w:val="subscript"/>
        </w:rPr>
        <w:t>Total</w:t>
      </w:r>
      <w:proofErr w:type="spellEnd"/>
      <w:r w:rsidRPr="004100CF">
        <w:rPr>
          <w:rFonts w:ascii="Times New Roman" w:hAnsi="Times New Roman" w:cs="Times New Roman"/>
          <w:szCs w:val="24"/>
        </w:rPr>
        <w:t>) and for four individual energy components: van der Waals (</w:t>
      </w:r>
      <w:r w:rsidRPr="004100CF">
        <w:rPr>
          <w:rFonts w:ascii="Times New Roman" w:hAnsi="Times New Roman" w:cs="Times New Roman"/>
        </w:rPr>
        <w:t>∆∆</w:t>
      </w:r>
      <w:proofErr w:type="spellStart"/>
      <w:r w:rsidRPr="004100CF">
        <w:rPr>
          <w:rFonts w:ascii="Times New Roman" w:hAnsi="Times New Roman" w:cs="Times New Roman"/>
        </w:rPr>
        <w:t>E</w:t>
      </w:r>
      <w:r w:rsidRPr="004100CF">
        <w:rPr>
          <w:rFonts w:ascii="Times New Roman" w:hAnsi="Times New Roman" w:cs="Times New Roman"/>
          <w:vertAlign w:val="subscript"/>
        </w:rPr>
        <w:t>vdW</w:t>
      </w:r>
      <w:proofErr w:type="spellEnd"/>
      <w:r w:rsidRPr="004100CF">
        <w:rPr>
          <w:rFonts w:ascii="Times New Roman" w:hAnsi="Times New Roman" w:cs="Times New Roman"/>
          <w:szCs w:val="24"/>
        </w:rPr>
        <w:t>), electrostatic (∆∆</w:t>
      </w:r>
      <w:proofErr w:type="spellStart"/>
      <w:r w:rsidRPr="004100CF">
        <w:rPr>
          <w:rFonts w:ascii="Times New Roman" w:hAnsi="Times New Roman" w:cs="Times New Roman"/>
          <w:szCs w:val="24"/>
        </w:rPr>
        <w:t>E</w:t>
      </w:r>
      <w:r w:rsidRPr="004100CF">
        <w:rPr>
          <w:rFonts w:ascii="Times New Roman" w:hAnsi="Times New Roman" w:cs="Times New Roman"/>
          <w:szCs w:val="24"/>
          <w:vertAlign w:val="subscript"/>
        </w:rPr>
        <w:t>elec</w:t>
      </w:r>
      <w:proofErr w:type="spellEnd"/>
      <w:r w:rsidRPr="004100CF">
        <w:rPr>
          <w:rFonts w:ascii="Times New Roman" w:hAnsi="Times New Roman" w:cs="Times New Roman"/>
          <w:szCs w:val="24"/>
        </w:rPr>
        <w:t>), generalized Born polar solvation (∆∆E</w:t>
      </w:r>
      <w:r w:rsidRPr="004100CF">
        <w:rPr>
          <w:rFonts w:ascii="Times New Roman" w:hAnsi="Times New Roman" w:cs="Times New Roman"/>
          <w:szCs w:val="24"/>
          <w:vertAlign w:val="subscript"/>
        </w:rPr>
        <w:t>GB</w:t>
      </w:r>
      <w:r w:rsidRPr="004100CF">
        <w:rPr>
          <w:rFonts w:ascii="Times New Roman" w:hAnsi="Times New Roman" w:cs="Times New Roman"/>
          <w:szCs w:val="24"/>
        </w:rPr>
        <w:t>), and nonpolar surface area (∆∆E</w:t>
      </w:r>
      <w:r w:rsidRPr="004100CF">
        <w:rPr>
          <w:rFonts w:ascii="Times New Roman" w:hAnsi="Times New Roman" w:cs="Times New Roman"/>
          <w:szCs w:val="24"/>
          <w:vertAlign w:val="subscript"/>
        </w:rPr>
        <w:t>SA</w:t>
      </w:r>
      <w:r w:rsidRPr="004100CF">
        <w:rPr>
          <w:rFonts w:ascii="Times New Roman" w:hAnsi="Times New Roman" w:cs="Times New Roman"/>
          <w:szCs w:val="24"/>
        </w:rPr>
        <w:t>) contributions. The results are summarized in Table 2, Supplementary Figure 2, and Supplementary Table 3.</w:t>
      </w:r>
    </w:p>
    <w:p w14:paraId="0E3EFB35" w14:textId="200722B0" w:rsidR="003D7E51" w:rsidRPr="004100CF" w:rsidRDefault="003D7E51" w:rsidP="009D30A5">
      <w:pPr>
        <w:spacing w:before="240" w:after="240"/>
        <w:rPr>
          <w:rFonts w:ascii="Times New Roman" w:hAnsi="Times New Roman" w:cs="Times New Roman"/>
          <w:szCs w:val="24"/>
        </w:rPr>
      </w:pPr>
      <w:r w:rsidRPr="004100CF">
        <w:rPr>
          <w:rFonts w:ascii="Times New Roman" w:hAnsi="Times New Roman" w:cs="Times New Roman"/>
          <w:noProof/>
          <w:szCs w:val="24"/>
        </w:rPr>
        <w:drawing>
          <wp:inline distT="0" distB="0" distL="0" distR="0" wp14:anchorId="7870DA20" wp14:editId="1832ACA0">
            <wp:extent cx="5943600" cy="3738245"/>
            <wp:effectExtent l="0" t="0" r="0" b="0"/>
            <wp:docPr id="95013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30311" name="Picture 950130311"/>
                    <pic:cNvPicPr/>
                  </pic:nvPicPr>
                  <pic:blipFill>
                    <a:blip r:embed="rId9"/>
                    <a:stretch>
                      <a:fillRect/>
                    </a:stretch>
                  </pic:blipFill>
                  <pic:spPr>
                    <a:xfrm>
                      <a:off x="0" y="0"/>
                      <a:ext cx="5943600" cy="3738245"/>
                    </a:xfrm>
                    <a:prstGeom prst="rect">
                      <a:avLst/>
                    </a:prstGeom>
                  </pic:spPr>
                </pic:pic>
              </a:graphicData>
            </a:graphic>
          </wp:inline>
        </w:drawing>
      </w:r>
      <w:r w:rsidRPr="004100CF">
        <w:rPr>
          <w:rFonts w:ascii="Times New Roman" w:hAnsi="Times New Roman" w:cs="Times New Roman"/>
          <w:b/>
          <w:bCs/>
          <w:sz w:val="22"/>
          <w:szCs w:val="22"/>
        </w:rPr>
        <w:t xml:space="preserve"> Figure 2: Free Energy Perturbation (FEP) protocol used to estimate ∆∆</w:t>
      </w:r>
      <w:proofErr w:type="spellStart"/>
      <w:r w:rsidRPr="004100CF">
        <w:rPr>
          <w:rFonts w:ascii="Times New Roman" w:hAnsi="Times New Roman" w:cs="Times New Roman"/>
          <w:b/>
          <w:bCs/>
          <w:sz w:val="22"/>
          <w:szCs w:val="22"/>
        </w:rPr>
        <w:t>G</w:t>
      </w:r>
      <w:r w:rsidRPr="004100CF">
        <w:rPr>
          <w:rFonts w:ascii="Times New Roman" w:hAnsi="Times New Roman" w:cs="Times New Roman"/>
          <w:b/>
          <w:bCs/>
          <w:sz w:val="22"/>
          <w:szCs w:val="22"/>
          <w:vertAlign w:val="subscript"/>
        </w:rPr>
        <w:t>bind</w:t>
      </w:r>
      <w:proofErr w:type="spellEnd"/>
      <w:r w:rsidRPr="004100CF">
        <w:rPr>
          <w:rFonts w:ascii="Times New Roman" w:hAnsi="Times New Roman" w:cs="Times New Roman"/>
          <w:b/>
          <w:bCs/>
          <w:sz w:val="22"/>
          <w:szCs w:val="22"/>
        </w:rPr>
        <w:t xml:space="preserve"> for DOR Resistance Associated Mutations.</w:t>
      </w:r>
      <w:r w:rsidRPr="004100CF">
        <w:rPr>
          <w:rFonts w:ascii="Times New Roman" w:hAnsi="Times New Roman" w:cs="Times New Roman"/>
          <w:sz w:val="22"/>
          <w:szCs w:val="22"/>
        </w:rPr>
        <w:t xml:space="preserve"> </w:t>
      </w:r>
      <w:r w:rsidRPr="004100CF">
        <w:rPr>
          <w:rFonts w:ascii="Times New Roman" w:hAnsi="Times New Roman" w:cs="Times New Roman"/>
          <w:b/>
          <w:bCs/>
          <w:sz w:val="22"/>
          <w:szCs w:val="22"/>
        </w:rPr>
        <w:t>(A)</w:t>
      </w:r>
      <w:r w:rsidRPr="004100CF">
        <w:rPr>
          <w:rFonts w:ascii="Times New Roman" w:hAnsi="Times New Roman" w:cs="Times New Roman"/>
          <w:sz w:val="22"/>
          <w:szCs w:val="22"/>
        </w:rPr>
        <w:t xml:space="preserve"> Thermodynamic cycle illustrating how the alchemical transformations between WT</w:t>
      </w:r>
      <w:r w:rsidRPr="004100CF">
        <w:rPr>
          <w:rFonts w:ascii="Times New Roman" w:hAnsi="Times New Roman" w:cs="Times New Roman"/>
          <w:sz w:val="22"/>
          <w:szCs w:val="22"/>
        </w:rPr>
        <w:sym w:font="Symbol" w:char="F0AB"/>
      </w:r>
      <w:r w:rsidRPr="004100CF">
        <w:rPr>
          <w:rFonts w:ascii="Times New Roman" w:hAnsi="Times New Roman" w:cs="Times New Roman"/>
          <w:sz w:val="22"/>
          <w:szCs w:val="22"/>
        </w:rPr>
        <w:t xml:space="preserve">Mut configurations </w:t>
      </w:r>
      <w:r w:rsidR="000073C6" w:rsidRPr="004100CF">
        <w:rPr>
          <w:rFonts w:ascii="Times New Roman" w:hAnsi="Times New Roman" w:cs="Times New Roman"/>
          <w:sz w:val="22"/>
          <w:szCs w:val="22"/>
        </w:rPr>
        <w:t xml:space="preserve">in </w:t>
      </w:r>
      <w:proofErr w:type="spellStart"/>
      <w:r w:rsidR="000073C6" w:rsidRPr="004100CF">
        <w:rPr>
          <w:rFonts w:ascii="Times New Roman" w:hAnsi="Times New Roman" w:cs="Times New Roman"/>
          <w:i/>
          <w:iCs/>
          <w:sz w:val="22"/>
          <w:szCs w:val="22"/>
        </w:rPr>
        <w:t>holo</w:t>
      </w:r>
      <w:proofErr w:type="spellEnd"/>
      <w:r w:rsidR="000073C6" w:rsidRPr="004100CF">
        <w:rPr>
          <w:rFonts w:ascii="Times New Roman" w:hAnsi="Times New Roman" w:cs="Times New Roman"/>
          <w:i/>
          <w:iCs/>
          <w:sz w:val="22"/>
          <w:szCs w:val="22"/>
        </w:rPr>
        <w:t xml:space="preserve"> </w:t>
      </w:r>
      <w:r w:rsidR="000073C6" w:rsidRPr="004100CF">
        <w:rPr>
          <w:rFonts w:ascii="Times New Roman" w:hAnsi="Times New Roman" w:cs="Times New Roman"/>
          <w:sz w:val="22"/>
          <w:szCs w:val="22"/>
        </w:rPr>
        <w:t xml:space="preserve">and </w:t>
      </w:r>
      <w:r w:rsidR="000073C6" w:rsidRPr="004100CF">
        <w:rPr>
          <w:rFonts w:ascii="Times New Roman" w:hAnsi="Times New Roman" w:cs="Times New Roman"/>
          <w:i/>
          <w:iCs/>
          <w:sz w:val="22"/>
          <w:szCs w:val="22"/>
        </w:rPr>
        <w:t xml:space="preserve">apo </w:t>
      </w:r>
      <w:r w:rsidR="000073C6" w:rsidRPr="004100CF">
        <w:rPr>
          <w:rFonts w:ascii="Times New Roman" w:hAnsi="Times New Roman" w:cs="Times New Roman"/>
          <w:sz w:val="22"/>
          <w:szCs w:val="22"/>
        </w:rPr>
        <w:t xml:space="preserve">states </w:t>
      </w:r>
      <w:r w:rsidRPr="004100CF">
        <w:rPr>
          <w:rFonts w:ascii="Times New Roman" w:hAnsi="Times New Roman" w:cs="Times New Roman"/>
          <w:sz w:val="22"/>
          <w:szCs w:val="22"/>
        </w:rPr>
        <w:t xml:space="preserve">provide the same ∆∆G </w:t>
      </w:r>
      <w:r w:rsidR="000073C6" w:rsidRPr="004100CF">
        <w:rPr>
          <w:rFonts w:ascii="Times New Roman" w:hAnsi="Times New Roman" w:cs="Times New Roman"/>
          <w:sz w:val="22"/>
          <w:szCs w:val="22"/>
        </w:rPr>
        <w:t>result as the binding free energy, ∆G, change from WT to Mut</w:t>
      </w:r>
      <w:r w:rsidRPr="004100CF">
        <w:rPr>
          <w:rFonts w:ascii="Times New Roman" w:hAnsi="Times New Roman" w:cs="Times New Roman"/>
          <w:sz w:val="22"/>
          <w:szCs w:val="22"/>
        </w:rPr>
        <w:t xml:space="preserve">. </w:t>
      </w:r>
      <w:r w:rsidRPr="004100CF">
        <w:rPr>
          <w:rFonts w:ascii="Times New Roman" w:hAnsi="Times New Roman" w:cs="Times New Roman"/>
          <w:b/>
          <w:bCs/>
          <w:sz w:val="22"/>
          <w:szCs w:val="22"/>
        </w:rPr>
        <w:t xml:space="preserve">(B) </w:t>
      </w:r>
      <w:r w:rsidRPr="004100CF">
        <w:rPr>
          <w:rFonts w:ascii="Times New Roman" w:hAnsi="Times New Roman" w:cs="Times New Roman"/>
          <w:sz w:val="22"/>
          <w:szCs w:val="22"/>
        </w:rPr>
        <w:t xml:space="preserve">Visualization of </w:t>
      </w:r>
      <w:r w:rsidR="000073C6" w:rsidRPr="004100CF">
        <w:rPr>
          <w:rFonts w:ascii="Times New Roman" w:hAnsi="Times New Roman" w:cs="Times New Roman"/>
          <w:sz w:val="22"/>
          <w:szCs w:val="22"/>
        </w:rPr>
        <w:t>the hybrid residue topology used to drive the transition between WT (</w:t>
      </w:r>
      <w:r w:rsidR="000073C6" w:rsidRPr="004100CF">
        <w:rPr>
          <w:rFonts w:ascii="Times New Roman" w:hAnsi="Times New Roman" w:cs="Times New Roman"/>
          <w:sz w:val="22"/>
          <w:szCs w:val="22"/>
        </w:rPr>
        <w:sym w:font="Symbol" w:char="F06C"/>
      </w:r>
      <w:r w:rsidR="000073C6" w:rsidRPr="004100CF">
        <w:rPr>
          <w:rFonts w:ascii="Times New Roman" w:hAnsi="Times New Roman" w:cs="Times New Roman"/>
          <w:sz w:val="22"/>
          <w:szCs w:val="22"/>
        </w:rPr>
        <w:t xml:space="preserve"> = 0) and Mut (</w:t>
      </w:r>
      <w:r w:rsidR="000073C6" w:rsidRPr="004100CF">
        <w:rPr>
          <w:rFonts w:ascii="Times New Roman" w:hAnsi="Times New Roman" w:cs="Times New Roman"/>
          <w:sz w:val="22"/>
          <w:szCs w:val="22"/>
        </w:rPr>
        <w:sym w:font="Symbol" w:char="F06C"/>
      </w:r>
      <w:r w:rsidR="000073C6" w:rsidRPr="004100CF">
        <w:rPr>
          <w:rFonts w:ascii="Times New Roman" w:hAnsi="Times New Roman" w:cs="Times New Roman"/>
          <w:sz w:val="22"/>
          <w:szCs w:val="22"/>
        </w:rPr>
        <w:t xml:space="preserve"> = 1). As an illustration, in case of V106A, the </w:t>
      </w:r>
      <w:r w:rsidR="002E236A" w:rsidRPr="004100CF">
        <w:rPr>
          <w:rFonts w:ascii="Times New Roman" w:hAnsi="Times New Roman" w:cs="Times New Roman"/>
          <w:sz w:val="22"/>
          <w:szCs w:val="22"/>
        </w:rPr>
        <w:t xml:space="preserve">RT p66 </w:t>
      </w:r>
      <w:r w:rsidR="000073C6" w:rsidRPr="004100CF">
        <w:rPr>
          <w:rFonts w:ascii="Times New Roman" w:hAnsi="Times New Roman" w:cs="Times New Roman"/>
          <w:sz w:val="22"/>
          <w:szCs w:val="22"/>
        </w:rPr>
        <w:t xml:space="preserve">residue 106 contains atoms for both Valine and Alanine: When </w:t>
      </w:r>
      <w:r w:rsidR="000073C6" w:rsidRPr="004100CF">
        <w:rPr>
          <w:rFonts w:ascii="Times New Roman" w:hAnsi="Times New Roman" w:cs="Times New Roman"/>
          <w:sz w:val="22"/>
          <w:szCs w:val="22"/>
        </w:rPr>
        <w:sym w:font="Symbol" w:char="F06C"/>
      </w:r>
      <w:r w:rsidR="000073C6" w:rsidRPr="004100CF">
        <w:rPr>
          <w:rFonts w:ascii="Times New Roman" w:hAnsi="Times New Roman" w:cs="Times New Roman"/>
          <w:sz w:val="22"/>
          <w:szCs w:val="22"/>
        </w:rPr>
        <w:t xml:space="preserve"> = 0, Valine sidechain atoms (green) are on and Alanine atoms (red) are off. When </w:t>
      </w:r>
      <w:r w:rsidR="000073C6" w:rsidRPr="004100CF">
        <w:rPr>
          <w:rFonts w:ascii="Times New Roman" w:hAnsi="Times New Roman" w:cs="Times New Roman"/>
          <w:sz w:val="22"/>
          <w:szCs w:val="22"/>
        </w:rPr>
        <w:sym w:font="Symbol" w:char="F06C"/>
      </w:r>
      <w:r w:rsidR="000073C6" w:rsidRPr="004100CF">
        <w:rPr>
          <w:rFonts w:ascii="Times New Roman" w:hAnsi="Times New Roman" w:cs="Times New Roman"/>
          <w:sz w:val="22"/>
          <w:szCs w:val="22"/>
        </w:rPr>
        <w:t xml:space="preserve"> = 1, Valine sidechain atoms are switched off and Alanine atoms are switched on. </w:t>
      </w:r>
      <w:r w:rsidRPr="004100CF">
        <w:rPr>
          <w:rFonts w:ascii="Times New Roman" w:hAnsi="Times New Roman" w:cs="Times New Roman"/>
          <w:b/>
          <w:bCs/>
          <w:sz w:val="22"/>
          <w:szCs w:val="22"/>
        </w:rPr>
        <w:t>(C)</w:t>
      </w:r>
      <w:r w:rsidRPr="004100CF">
        <w:rPr>
          <w:rFonts w:ascii="Times New Roman" w:hAnsi="Times New Roman" w:cs="Times New Roman"/>
          <w:i/>
          <w:iCs/>
          <w:sz w:val="22"/>
          <w:szCs w:val="22"/>
        </w:rPr>
        <w:t xml:space="preserve"> </w:t>
      </w:r>
      <w:r w:rsidR="002E236A" w:rsidRPr="004100CF">
        <w:rPr>
          <w:rFonts w:ascii="Times New Roman" w:hAnsi="Times New Roman" w:cs="Times New Roman"/>
          <w:sz w:val="22"/>
          <w:szCs w:val="22"/>
        </w:rPr>
        <w:t>Work done to mutate residues from WT</w:t>
      </w:r>
      <w:r w:rsidR="002E236A" w:rsidRPr="004100CF">
        <w:rPr>
          <w:rFonts w:ascii="Times New Roman" w:hAnsi="Times New Roman" w:cs="Times New Roman"/>
          <w:sz w:val="22"/>
          <w:szCs w:val="22"/>
        </w:rPr>
        <w:sym w:font="Wingdings" w:char="F0E0"/>
      </w:r>
      <w:r w:rsidR="002E236A" w:rsidRPr="004100CF">
        <w:rPr>
          <w:rFonts w:ascii="Times New Roman" w:hAnsi="Times New Roman" w:cs="Times New Roman"/>
          <w:sz w:val="22"/>
          <w:szCs w:val="22"/>
        </w:rPr>
        <w:t>Mut (Forward) and Mut</w:t>
      </w:r>
      <w:r w:rsidR="002E236A" w:rsidRPr="004100CF">
        <w:rPr>
          <w:rFonts w:ascii="Times New Roman" w:hAnsi="Times New Roman" w:cs="Times New Roman"/>
          <w:sz w:val="22"/>
          <w:szCs w:val="22"/>
        </w:rPr>
        <w:sym w:font="Wingdings" w:char="F0E0"/>
      </w:r>
      <w:r w:rsidR="002E236A" w:rsidRPr="004100CF">
        <w:rPr>
          <w:rFonts w:ascii="Times New Roman" w:hAnsi="Times New Roman" w:cs="Times New Roman"/>
          <w:sz w:val="22"/>
          <w:szCs w:val="22"/>
        </w:rPr>
        <w:t xml:space="preserve">WT (Reverse) is recorded and histogram over </w:t>
      </w:r>
      <w:r w:rsidR="002E236A" w:rsidRPr="004100CF">
        <w:rPr>
          <w:rFonts w:ascii="Times New Roman" w:hAnsi="Times New Roman" w:cs="Times New Roman"/>
          <w:i/>
          <w:iCs/>
          <w:sz w:val="22"/>
          <w:szCs w:val="22"/>
        </w:rPr>
        <w:t xml:space="preserve">N </w:t>
      </w:r>
      <w:r w:rsidR="002E236A" w:rsidRPr="004100CF">
        <w:rPr>
          <w:rFonts w:ascii="Times New Roman" w:hAnsi="Times New Roman" w:cs="Times New Roman"/>
          <w:sz w:val="22"/>
          <w:szCs w:val="22"/>
        </w:rPr>
        <w:t xml:space="preserve">= 100 switches in both directions is plotted to get the ∆G value in both </w:t>
      </w:r>
      <w:proofErr w:type="spellStart"/>
      <w:r w:rsidR="002E236A" w:rsidRPr="004100CF">
        <w:rPr>
          <w:rFonts w:ascii="Times New Roman" w:hAnsi="Times New Roman" w:cs="Times New Roman"/>
          <w:i/>
          <w:iCs/>
          <w:sz w:val="22"/>
          <w:szCs w:val="22"/>
        </w:rPr>
        <w:t>holo</w:t>
      </w:r>
      <w:proofErr w:type="spellEnd"/>
      <w:r w:rsidR="002E236A" w:rsidRPr="004100CF">
        <w:rPr>
          <w:rFonts w:ascii="Times New Roman" w:hAnsi="Times New Roman" w:cs="Times New Roman"/>
          <w:i/>
          <w:iCs/>
          <w:sz w:val="22"/>
          <w:szCs w:val="22"/>
        </w:rPr>
        <w:t xml:space="preserve"> </w:t>
      </w:r>
      <w:r w:rsidR="002E236A" w:rsidRPr="004100CF">
        <w:rPr>
          <w:rFonts w:ascii="Times New Roman" w:hAnsi="Times New Roman" w:cs="Times New Roman"/>
          <w:sz w:val="22"/>
          <w:szCs w:val="22"/>
        </w:rPr>
        <w:t xml:space="preserve">and </w:t>
      </w:r>
      <w:r w:rsidR="002E236A" w:rsidRPr="004100CF">
        <w:rPr>
          <w:rFonts w:ascii="Times New Roman" w:hAnsi="Times New Roman" w:cs="Times New Roman"/>
          <w:i/>
          <w:iCs/>
          <w:sz w:val="22"/>
          <w:szCs w:val="22"/>
        </w:rPr>
        <w:t xml:space="preserve">apo </w:t>
      </w:r>
      <w:r w:rsidR="002E236A" w:rsidRPr="004100CF">
        <w:rPr>
          <w:rFonts w:ascii="Times New Roman" w:hAnsi="Times New Roman" w:cs="Times New Roman"/>
          <w:sz w:val="22"/>
          <w:szCs w:val="22"/>
        </w:rPr>
        <w:t xml:space="preserve">configurations. </w:t>
      </w:r>
      <w:r w:rsidR="002E236A" w:rsidRPr="004100CF">
        <w:rPr>
          <w:rFonts w:ascii="Times New Roman" w:hAnsi="Times New Roman" w:cs="Times New Roman"/>
          <w:b/>
          <w:bCs/>
          <w:sz w:val="22"/>
          <w:szCs w:val="22"/>
        </w:rPr>
        <w:t>(D)</w:t>
      </w:r>
      <w:r w:rsidR="002E236A" w:rsidRPr="004100CF">
        <w:rPr>
          <w:rFonts w:ascii="Times New Roman" w:hAnsi="Times New Roman" w:cs="Times New Roman"/>
          <w:sz w:val="22"/>
          <w:szCs w:val="22"/>
        </w:rPr>
        <w:t xml:space="preserve"> Shift in binding free energy, ∆∆</w:t>
      </w:r>
      <w:proofErr w:type="spellStart"/>
      <w:r w:rsidR="002E236A" w:rsidRPr="004100CF">
        <w:rPr>
          <w:rFonts w:ascii="Times New Roman" w:hAnsi="Times New Roman" w:cs="Times New Roman"/>
          <w:sz w:val="22"/>
          <w:szCs w:val="22"/>
        </w:rPr>
        <w:t>G</w:t>
      </w:r>
      <w:r w:rsidR="002E236A" w:rsidRPr="004100CF">
        <w:rPr>
          <w:rFonts w:ascii="Times New Roman" w:hAnsi="Times New Roman" w:cs="Times New Roman"/>
          <w:sz w:val="22"/>
          <w:szCs w:val="22"/>
          <w:vertAlign w:val="subscript"/>
        </w:rPr>
        <w:t>bind</w:t>
      </w:r>
      <w:proofErr w:type="spellEnd"/>
      <w:r w:rsidR="002E236A" w:rsidRPr="004100CF">
        <w:rPr>
          <w:rFonts w:ascii="Times New Roman" w:hAnsi="Times New Roman" w:cs="Times New Roman"/>
          <w:sz w:val="22"/>
          <w:szCs w:val="22"/>
        </w:rPr>
        <w:t>, computed using this protocol plotted against median DOR fold-reduction values for each genotype. Error bars denote standard error</w:t>
      </w:r>
      <w:r w:rsidR="00DD61CC" w:rsidRPr="004100CF">
        <w:rPr>
          <w:rFonts w:ascii="Times New Roman" w:hAnsi="Times New Roman" w:cs="Times New Roman"/>
          <w:sz w:val="22"/>
          <w:szCs w:val="22"/>
        </w:rPr>
        <w:t>s</w:t>
      </w:r>
      <w:r w:rsidR="002E236A" w:rsidRPr="004100CF">
        <w:rPr>
          <w:rFonts w:ascii="Times New Roman" w:hAnsi="Times New Roman" w:cs="Times New Roman"/>
          <w:sz w:val="22"/>
          <w:szCs w:val="22"/>
        </w:rPr>
        <w:t xml:space="preserve"> of the mean across triplicates.</w:t>
      </w:r>
    </w:p>
    <w:p w14:paraId="0EB7409B" w14:textId="77777777" w:rsidR="007E05DC" w:rsidRPr="004100CF" w:rsidRDefault="007E05DC" w:rsidP="007E05DC">
      <w:pPr>
        <w:spacing w:after="240"/>
        <w:rPr>
          <w:rFonts w:ascii="Times New Roman" w:hAnsi="Times New Roman" w:cs="Times New Roman"/>
        </w:rPr>
      </w:pPr>
      <w:r w:rsidRPr="004100CF">
        <w:rPr>
          <w:rFonts w:ascii="Times New Roman" w:hAnsi="Times New Roman" w:cs="Times New Roman"/>
        </w:rPr>
        <w:t>First, we observe that 3 out of 4 “Susceptible” mutations are predicted to have weak impact on RT-DOR binding free energy (∆∆</w:t>
      </w:r>
      <w:proofErr w:type="spellStart"/>
      <w:r w:rsidRPr="004100CF">
        <w:rPr>
          <w:rFonts w:ascii="Times New Roman" w:hAnsi="Times New Roman" w:cs="Times New Roman"/>
        </w:rPr>
        <w:t>G</w:t>
      </w:r>
      <w:r w:rsidRPr="004100CF">
        <w:rPr>
          <w:rFonts w:ascii="Times New Roman" w:hAnsi="Times New Roman" w:cs="Times New Roman"/>
          <w:vertAlign w:val="subscript"/>
        </w:rPr>
        <w:t>bind</w:t>
      </w:r>
      <w:proofErr w:type="spellEnd"/>
      <w:r w:rsidRPr="004100CF">
        <w:rPr>
          <w:rFonts w:ascii="Times New Roman" w:hAnsi="Times New Roman" w:cs="Times New Roman"/>
          <w:vertAlign w:val="subscript"/>
        </w:rPr>
        <w:t xml:space="preserve"> </w:t>
      </w:r>
      <w:r w:rsidRPr="004100CF">
        <w:rPr>
          <w:rFonts w:ascii="Times New Roman" w:hAnsi="Times New Roman" w:cs="Times New Roman"/>
        </w:rPr>
        <w:t>&lt; 0.5kcal/mol within error) with V106I as the strong exception. Conversely, 7 out of 9 “Resistant” mutations are predicted to have strong impact on RT-DOR binding free energy (∆∆</w:t>
      </w:r>
      <w:proofErr w:type="spellStart"/>
      <w:r w:rsidRPr="004100CF">
        <w:rPr>
          <w:rFonts w:ascii="Times New Roman" w:hAnsi="Times New Roman" w:cs="Times New Roman"/>
        </w:rPr>
        <w:t>G</w:t>
      </w:r>
      <w:r w:rsidRPr="004100CF">
        <w:rPr>
          <w:rFonts w:ascii="Times New Roman" w:hAnsi="Times New Roman" w:cs="Times New Roman"/>
          <w:vertAlign w:val="subscript"/>
        </w:rPr>
        <w:t>bind</w:t>
      </w:r>
      <w:proofErr w:type="spellEnd"/>
      <w:r w:rsidRPr="004100CF">
        <w:rPr>
          <w:rFonts w:ascii="Times New Roman" w:hAnsi="Times New Roman" w:cs="Times New Roman"/>
          <w:vertAlign w:val="subscript"/>
        </w:rPr>
        <w:t xml:space="preserve"> </w:t>
      </w:r>
      <w:r w:rsidRPr="004100CF">
        <w:rPr>
          <w:rFonts w:ascii="Times New Roman" w:hAnsi="Times New Roman" w:cs="Times New Roman"/>
        </w:rPr>
        <w:t>&gt; 0.5kcal/mol within error) with A98G+F227C and K103N+M230L as the exceptions. In this respect, amongst the mutations in the “Uncertain” phenotype category, only K103N+L100I is predicted to have a weak impact on RT-DOR binding free energy, and the rest are predicted to have a strong impact.</w:t>
      </w:r>
    </w:p>
    <w:p w14:paraId="75D01D33" w14:textId="4967DCD0" w:rsidR="00F908FC" w:rsidRPr="004100CF" w:rsidRDefault="00F908FC" w:rsidP="00F908FC">
      <w:pPr>
        <w:spacing w:before="240"/>
        <w:rPr>
          <w:rFonts w:ascii="Times New Roman" w:hAnsi="Times New Roman" w:cs="Times New Roman"/>
          <w:sz w:val="22"/>
          <w:szCs w:val="22"/>
        </w:rPr>
      </w:pPr>
      <w:r w:rsidRPr="004100CF">
        <w:rPr>
          <w:rFonts w:ascii="Times New Roman" w:hAnsi="Times New Roman" w:cs="Times New Roman"/>
          <w:b/>
          <w:bCs/>
          <w:color w:val="000000"/>
          <w:sz w:val="22"/>
          <w:szCs w:val="22"/>
        </w:rPr>
        <w:lastRenderedPageBreak/>
        <w:t>Table 2. WT-referenced MM/GBSA energy shifts</w:t>
      </w:r>
      <w:r w:rsidR="00627654" w:rsidRPr="004100CF">
        <w:rPr>
          <w:rFonts w:ascii="Times New Roman" w:hAnsi="Times New Roman" w:cs="Times New Roman"/>
          <w:b/>
          <w:bCs/>
          <w:color w:val="000000"/>
          <w:sz w:val="22"/>
          <w:szCs w:val="22"/>
        </w:rPr>
        <w:t>, ∆∆E,</w:t>
      </w:r>
      <w:r w:rsidRPr="004100CF">
        <w:rPr>
          <w:rFonts w:ascii="Times New Roman" w:hAnsi="Times New Roman" w:cs="Times New Roman"/>
          <w:b/>
          <w:bCs/>
          <w:color w:val="000000"/>
          <w:sz w:val="22"/>
          <w:szCs w:val="22"/>
        </w:rPr>
        <w:t xml:space="preserve"> </w:t>
      </w:r>
      <w:r w:rsidR="00674E9E" w:rsidRPr="004100CF">
        <w:rPr>
          <w:rFonts w:ascii="Times New Roman" w:hAnsi="Times New Roman" w:cs="Times New Roman"/>
          <w:b/>
          <w:bCs/>
          <w:color w:val="000000"/>
          <w:sz w:val="22"/>
          <w:szCs w:val="22"/>
        </w:rPr>
        <w:t>from equilibrium MD and Binding Free Energy changes</w:t>
      </w:r>
      <w:r w:rsidR="00627654" w:rsidRPr="004100CF">
        <w:rPr>
          <w:rFonts w:ascii="Times New Roman" w:hAnsi="Times New Roman" w:cs="Times New Roman"/>
          <w:b/>
          <w:bCs/>
          <w:color w:val="000000"/>
          <w:sz w:val="22"/>
          <w:szCs w:val="22"/>
        </w:rPr>
        <w:t>, ∆∆G,</w:t>
      </w:r>
      <w:r w:rsidR="00674E9E" w:rsidRPr="004100CF">
        <w:rPr>
          <w:rFonts w:ascii="Times New Roman" w:hAnsi="Times New Roman" w:cs="Times New Roman"/>
          <w:b/>
          <w:bCs/>
          <w:color w:val="000000"/>
          <w:sz w:val="22"/>
          <w:szCs w:val="22"/>
        </w:rPr>
        <w:t xml:space="preserve"> calculated using Non-equilibrium FEP simulations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0"/>
        <w:gridCol w:w="1080"/>
        <w:gridCol w:w="1170"/>
        <w:gridCol w:w="1170"/>
        <w:gridCol w:w="1170"/>
        <w:gridCol w:w="1090"/>
        <w:gridCol w:w="1160"/>
        <w:gridCol w:w="1260"/>
      </w:tblGrid>
      <w:tr w:rsidR="00674E9E" w:rsidRPr="004100CF" w14:paraId="0F0D8699" w14:textId="65261841" w:rsidTr="00B96F1D">
        <w:trPr>
          <w:trHeight w:val="539"/>
        </w:trPr>
        <w:tc>
          <w:tcPr>
            <w:tcW w:w="1260" w:type="dxa"/>
            <w:tcBorders>
              <w:top w:val="single" w:sz="4" w:space="0" w:color="auto"/>
              <w:bottom w:val="single" w:sz="4" w:space="0" w:color="auto"/>
            </w:tcBorders>
            <w:hideMark/>
          </w:tcPr>
          <w:p w14:paraId="4BFD2C15" w14:textId="77777777"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Mutation category</w:t>
            </w:r>
          </w:p>
        </w:tc>
        <w:tc>
          <w:tcPr>
            <w:tcW w:w="1080" w:type="dxa"/>
            <w:tcBorders>
              <w:top w:val="single" w:sz="4" w:space="0" w:color="auto"/>
              <w:bottom w:val="single" w:sz="4" w:space="0" w:color="auto"/>
            </w:tcBorders>
            <w:hideMark/>
          </w:tcPr>
          <w:p w14:paraId="4A90F386" w14:textId="77777777" w:rsidR="00674E9E" w:rsidRPr="004100CF" w:rsidRDefault="00674E9E" w:rsidP="005A06D4">
            <w:pPr>
              <w:spacing w:line="480" w:lineRule="auto"/>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Mutation</w:t>
            </w:r>
          </w:p>
        </w:tc>
        <w:tc>
          <w:tcPr>
            <w:tcW w:w="1170" w:type="dxa"/>
            <w:tcBorders>
              <w:top w:val="single" w:sz="4" w:space="0" w:color="auto"/>
              <w:bottom w:val="single" w:sz="4" w:space="0" w:color="auto"/>
            </w:tcBorders>
            <w:hideMark/>
          </w:tcPr>
          <w:p w14:paraId="35DB49FA" w14:textId="190E5A44"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w:t>
            </w:r>
            <w:proofErr w:type="spellStart"/>
            <w:r w:rsidRPr="004100CF">
              <w:rPr>
                <w:rFonts w:ascii="Times New Roman" w:hAnsi="Times New Roman" w:cs="Times New Roman"/>
                <w:b/>
                <w:bCs/>
                <w:color w:val="000000"/>
                <w:sz w:val="20"/>
                <w:szCs w:val="20"/>
              </w:rPr>
              <w:t>E</w:t>
            </w:r>
            <w:r w:rsidRPr="004100CF">
              <w:rPr>
                <w:rFonts w:ascii="Times New Roman" w:hAnsi="Times New Roman" w:cs="Times New Roman"/>
                <w:b/>
                <w:bCs/>
                <w:color w:val="000000"/>
                <w:sz w:val="20"/>
                <w:szCs w:val="20"/>
                <w:vertAlign w:val="subscript"/>
              </w:rPr>
              <w:t>Total</w:t>
            </w:r>
            <w:proofErr w:type="spellEnd"/>
            <w:r w:rsidR="00B96F1D" w:rsidRPr="004100CF">
              <w:rPr>
                <w:rFonts w:ascii="Times New Roman" w:hAnsi="Times New Roman" w:cs="Times New Roman"/>
                <w:b/>
                <w:bCs/>
                <w:color w:val="000000"/>
                <w:sz w:val="20"/>
                <w:szCs w:val="20"/>
                <w:vertAlign w:val="superscript"/>
              </w:rPr>
              <w:t>*</w:t>
            </w:r>
            <w:r w:rsidRPr="004100CF">
              <w:rPr>
                <w:rFonts w:ascii="Times New Roman" w:hAnsi="Times New Roman" w:cs="Times New Roman"/>
                <w:b/>
                <w:bCs/>
                <w:color w:val="000000"/>
                <w:sz w:val="20"/>
                <w:szCs w:val="20"/>
              </w:rPr>
              <w:t xml:space="preserve"> (kcal/mol)</w:t>
            </w:r>
          </w:p>
        </w:tc>
        <w:tc>
          <w:tcPr>
            <w:tcW w:w="1170" w:type="dxa"/>
            <w:tcBorders>
              <w:top w:val="single" w:sz="4" w:space="0" w:color="auto"/>
              <w:bottom w:val="single" w:sz="4" w:space="0" w:color="auto"/>
            </w:tcBorders>
            <w:hideMark/>
          </w:tcPr>
          <w:p w14:paraId="38B1BDAF" w14:textId="582C3BF6"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w:t>
            </w:r>
            <w:proofErr w:type="spellStart"/>
            <w:r w:rsidRPr="004100CF">
              <w:rPr>
                <w:rFonts w:ascii="Times New Roman" w:hAnsi="Times New Roman" w:cs="Times New Roman"/>
                <w:b/>
                <w:bCs/>
                <w:color w:val="000000"/>
                <w:sz w:val="20"/>
                <w:szCs w:val="20"/>
              </w:rPr>
              <w:t>E</w:t>
            </w:r>
            <w:r w:rsidRPr="004100CF">
              <w:rPr>
                <w:rFonts w:ascii="Times New Roman" w:hAnsi="Times New Roman" w:cs="Times New Roman"/>
                <w:b/>
                <w:bCs/>
                <w:color w:val="000000"/>
                <w:sz w:val="20"/>
                <w:szCs w:val="20"/>
                <w:vertAlign w:val="subscript"/>
              </w:rPr>
              <w:t>vdW</w:t>
            </w:r>
            <w:proofErr w:type="spellEnd"/>
            <w:r w:rsidR="00B96F1D" w:rsidRPr="004100CF">
              <w:rPr>
                <w:rFonts w:ascii="Times New Roman" w:hAnsi="Times New Roman" w:cs="Times New Roman"/>
                <w:b/>
                <w:bCs/>
                <w:color w:val="000000"/>
                <w:sz w:val="20"/>
                <w:szCs w:val="20"/>
                <w:vertAlign w:val="superscript"/>
              </w:rPr>
              <w:t>*</w:t>
            </w:r>
            <w:r w:rsidR="00B96F1D" w:rsidRPr="004100CF">
              <w:rPr>
                <w:rFonts w:ascii="Times New Roman" w:hAnsi="Times New Roman" w:cs="Times New Roman"/>
                <w:b/>
                <w:bCs/>
                <w:color w:val="000000"/>
                <w:sz w:val="20"/>
                <w:szCs w:val="20"/>
              </w:rPr>
              <w:t xml:space="preserve"> </w:t>
            </w:r>
            <w:r w:rsidRPr="004100CF">
              <w:rPr>
                <w:rFonts w:ascii="Times New Roman" w:hAnsi="Times New Roman" w:cs="Times New Roman"/>
                <w:b/>
                <w:bCs/>
                <w:color w:val="000000"/>
                <w:sz w:val="20"/>
                <w:szCs w:val="20"/>
              </w:rPr>
              <w:t>(kcal/mol)</w:t>
            </w:r>
          </w:p>
        </w:tc>
        <w:tc>
          <w:tcPr>
            <w:tcW w:w="1170" w:type="dxa"/>
            <w:tcBorders>
              <w:top w:val="single" w:sz="4" w:space="0" w:color="auto"/>
              <w:bottom w:val="single" w:sz="4" w:space="0" w:color="auto"/>
            </w:tcBorders>
            <w:hideMark/>
          </w:tcPr>
          <w:p w14:paraId="15C6AF74" w14:textId="340541B5"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w:t>
            </w:r>
            <w:proofErr w:type="spellStart"/>
            <w:r w:rsidRPr="004100CF">
              <w:rPr>
                <w:rFonts w:ascii="Times New Roman" w:hAnsi="Times New Roman" w:cs="Times New Roman"/>
                <w:b/>
                <w:bCs/>
                <w:color w:val="000000"/>
                <w:sz w:val="20"/>
                <w:szCs w:val="20"/>
              </w:rPr>
              <w:t>E</w:t>
            </w:r>
            <w:r w:rsidRPr="004100CF">
              <w:rPr>
                <w:rFonts w:ascii="Times New Roman" w:hAnsi="Times New Roman" w:cs="Times New Roman"/>
                <w:b/>
                <w:bCs/>
                <w:color w:val="000000"/>
                <w:sz w:val="20"/>
                <w:szCs w:val="20"/>
                <w:vertAlign w:val="subscript"/>
              </w:rPr>
              <w:t>elec</w:t>
            </w:r>
            <w:proofErr w:type="spellEnd"/>
            <w:r w:rsidR="00B96F1D" w:rsidRPr="004100CF">
              <w:rPr>
                <w:rFonts w:ascii="Times New Roman" w:hAnsi="Times New Roman" w:cs="Times New Roman"/>
                <w:b/>
                <w:bCs/>
                <w:color w:val="000000"/>
                <w:sz w:val="20"/>
                <w:szCs w:val="20"/>
                <w:vertAlign w:val="superscript"/>
              </w:rPr>
              <w:t>*</w:t>
            </w:r>
            <w:r w:rsidR="00B96F1D" w:rsidRPr="004100CF">
              <w:rPr>
                <w:rFonts w:ascii="Times New Roman" w:hAnsi="Times New Roman" w:cs="Times New Roman"/>
                <w:b/>
                <w:bCs/>
                <w:color w:val="000000"/>
                <w:sz w:val="20"/>
                <w:szCs w:val="20"/>
              </w:rPr>
              <w:t xml:space="preserve"> </w:t>
            </w:r>
            <w:r w:rsidRPr="004100CF">
              <w:rPr>
                <w:rFonts w:ascii="Times New Roman" w:hAnsi="Times New Roman" w:cs="Times New Roman"/>
                <w:b/>
                <w:bCs/>
                <w:color w:val="000000"/>
                <w:sz w:val="20"/>
                <w:szCs w:val="20"/>
              </w:rPr>
              <w:t>(kcal/mol)</w:t>
            </w:r>
          </w:p>
        </w:tc>
        <w:tc>
          <w:tcPr>
            <w:tcW w:w="1090" w:type="dxa"/>
            <w:tcBorders>
              <w:top w:val="single" w:sz="4" w:space="0" w:color="auto"/>
              <w:bottom w:val="single" w:sz="4" w:space="0" w:color="auto"/>
            </w:tcBorders>
          </w:tcPr>
          <w:p w14:paraId="0245B68F" w14:textId="48B68177"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∆∆E</w:t>
            </w:r>
            <w:r w:rsidRPr="004100CF">
              <w:rPr>
                <w:rFonts w:ascii="Times New Roman" w:hAnsi="Times New Roman" w:cs="Times New Roman"/>
                <w:b/>
                <w:bCs/>
                <w:color w:val="000000"/>
                <w:sz w:val="20"/>
                <w:szCs w:val="20"/>
                <w:vertAlign w:val="subscript"/>
              </w:rPr>
              <w:t>GB</w:t>
            </w:r>
            <w:r w:rsidR="00B96F1D" w:rsidRPr="004100CF">
              <w:rPr>
                <w:rFonts w:ascii="Times New Roman" w:hAnsi="Times New Roman" w:cs="Times New Roman"/>
                <w:b/>
                <w:bCs/>
                <w:color w:val="000000"/>
                <w:sz w:val="20"/>
                <w:szCs w:val="20"/>
                <w:vertAlign w:val="superscript"/>
              </w:rPr>
              <w:t>*</w:t>
            </w:r>
            <w:r w:rsidR="00B96F1D" w:rsidRPr="004100CF">
              <w:rPr>
                <w:rFonts w:ascii="Times New Roman" w:hAnsi="Times New Roman" w:cs="Times New Roman"/>
                <w:b/>
                <w:bCs/>
                <w:color w:val="000000"/>
                <w:sz w:val="20"/>
                <w:szCs w:val="20"/>
              </w:rPr>
              <w:t xml:space="preserve"> </w:t>
            </w:r>
            <w:r w:rsidRPr="004100CF">
              <w:rPr>
                <w:rFonts w:ascii="Times New Roman" w:hAnsi="Times New Roman" w:cs="Times New Roman"/>
                <w:b/>
                <w:bCs/>
                <w:color w:val="000000"/>
                <w:sz w:val="20"/>
                <w:szCs w:val="20"/>
              </w:rPr>
              <w:t>(kcal/mol)</w:t>
            </w:r>
          </w:p>
        </w:tc>
        <w:tc>
          <w:tcPr>
            <w:tcW w:w="1160" w:type="dxa"/>
            <w:tcBorders>
              <w:top w:val="single" w:sz="4" w:space="0" w:color="auto"/>
              <w:bottom w:val="single" w:sz="4" w:space="0" w:color="auto"/>
            </w:tcBorders>
          </w:tcPr>
          <w:p w14:paraId="47792F04" w14:textId="1C917B5D"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∆∆E</w:t>
            </w:r>
            <w:r w:rsidRPr="004100CF">
              <w:rPr>
                <w:rFonts w:ascii="Times New Roman" w:hAnsi="Times New Roman" w:cs="Times New Roman"/>
                <w:b/>
                <w:bCs/>
                <w:color w:val="000000"/>
                <w:sz w:val="20"/>
                <w:szCs w:val="20"/>
                <w:vertAlign w:val="subscript"/>
              </w:rPr>
              <w:t>SA</w:t>
            </w:r>
            <w:r w:rsidR="00B96F1D" w:rsidRPr="004100CF">
              <w:rPr>
                <w:rFonts w:ascii="Times New Roman" w:hAnsi="Times New Roman" w:cs="Times New Roman"/>
                <w:b/>
                <w:bCs/>
                <w:color w:val="000000"/>
                <w:sz w:val="20"/>
                <w:szCs w:val="20"/>
                <w:vertAlign w:val="superscript"/>
              </w:rPr>
              <w:t>*</w:t>
            </w:r>
            <w:r w:rsidR="00B96F1D" w:rsidRPr="004100CF">
              <w:rPr>
                <w:rFonts w:ascii="Times New Roman" w:hAnsi="Times New Roman" w:cs="Times New Roman"/>
                <w:b/>
                <w:bCs/>
                <w:color w:val="000000"/>
                <w:sz w:val="20"/>
                <w:szCs w:val="20"/>
              </w:rPr>
              <w:t xml:space="preserve"> </w:t>
            </w:r>
            <w:r w:rsidRPr="004100CF">
              <w:rPr>
                <w:rFonts w:ascii="Times New Roman" w:hAnsi="Times New Roman" w:cs="Times New Roman"/>
                <w:b/>
                <w:bCs/>
                <w:color w:val="000000"/>
                <w:sz w:val="20"/>
                <w:szCs w:val="20"/>
              </w:rPr>
              <w:t>(kcal/mol)</w:t>
            </w:r>
          </w:p>
        </w:tc>
        <w:tc>
          <w:tcPr>
            <w:tcW w:w="1260" w:type="dxa"/>
            <w:tcBorders>
              <w:top w:val="single" w:sz="4" w:space="0" w:color="auto"/>
              <w:bottom w:val="single" w:sz="4" w:space="0" w:color="auto"/>
            </w:tcBorders>
          </w:tcPr>
          <w:p w14:paraId="017D5B5F" w14:textId="42F8A705"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w:t>
            </w:r>
            <w:proofErr w:type="spellStart"/>
            <w:r w:rsidRPr="004100CF">
              <w:rPr>
                <w:rFonts w:ascii="Times New Roman" w:hAnsi="Times New Roman" w:cs="Times New Roman"/>
                <w:b/>
                <w:bCs/>
                <w:color w:val="000000"/>
                <w:sz w:val="20"/>
                <w:szCs w:val="20"/>
              </w:rPr>
              <w:t>G</w:t>
            </w:r>
            <w:r w:rsidRPr="004100CF">
              <w:rPr>
                <w:rFonts w:ascii="Times New Roman" w:hAnsi="Times New Roman" w:cs="Times New Roman"/>
                <w:b/>
                <w:bCs/>
                <w:color w:val="000000"/>
                <w:sz w:val="20"/>
                <w:szCs w:val="20"/>
                <w:vertAlign w:val="subscript"/>
              </w:rPr>
              <w:t>bind</w:t>
            </w:r>
            <w:proofErr w:type="spellEnd"/>
            <w:r w:rsidR="00B96F1D" w:rsidRPr="004100CF">
              <w:rPr>
                <w:rFonts w:ascii="Times New Roman" w:hAnsi="Times New Roman" w:cs="Times New Roman"/>
                <w:b/>
                <w:bCs/>
                <w:color w:val="000000"/>
                <w:sz w:val="20"/>
                <w:szCs w:val="20"/>
                <w:vertAlign w:val="superscript"/>
              </w:rPr>
              <w:t>**</w:t>
            </w:r>
            <w:r w:rsidRPr="004100CF">
              <w:rPr>
                <w:rFonts w:ascii="Times New Roman" w:hAnsi="Times New Roman" w:cs="Times New Roman"/>
                <w:b/>
                <w:bCs/>
                <w:color w:val="000000"/>
                <w:sz w:val="20"/>
                <w:szCs w:val="20"/>
              </w:rPr>
              <w:t xml:space="preserve"> (kcal/mol)</w:t>
            </w:r>
          </w:p>
        </w:tc>
      </w:tr>
      <w:tr w:rsidR="00B96F1D" w:rsidRPr="004100CF" w14:paraId="792E782C" w14:textId="4126F240" w:rsidTr="00B96F1D">
        <w:trPr>
          <w:trHeight w:val="340"/>
        </w:trPr>
        <w:tc>
          <w:tcPr>
            <w:tcW w:w="1260" w:type="dxa"/>
            <w:vMerge w:val="restart"/>
            <w:tcBorders>
              <w:top w:val="single" w:sz="4" w:space="0" w:color="auto"/>
            </w:tcBorders>
            <w:hideMark/>
          </w:tcPr>
          <w:p w14:paraId="14F15368" w14:textId="77777777" w:rsidR="00B96F1D" w:rsidRPr="004100CF" w:rsidRDefault="00B96F1D" w:rsidP="00B96F1D">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Susceptible</w:t>
            </w:r>
          </w:p>
        </w:tc>
        <w:tc>
          <w:tcPr>
            <w:tcW w:w="1080" w:type="dxa"/>
            <w:tcBorders>
              <w:top w:val="single" w:sz="4" w:space="0" w:color="auto"/>
            </w:tcBorders>
            <w:hideMark/>
          </w:tcPr>
          <w:p w14:paraId="09197CA0"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color w:val="000000"/>
                <w:sz w:val="20"/>
                <w:szCs w:val="20"/>
              </w:rPr>
              <w:t>V106I</w:t>
            </w:r>
          </w:p>
        </w:tc>
        <w:tc>
          <w:tcPr>
            <w:tcW w:w="1170" w:type="dxa"/>
            <w:tcBorders>
              <w:top w:val="single" w:sz="4" w:space="0" w:color="auto"/>
            </w:tcBorders>
            <w:hideMark/>
          </w:tcPr>
          <w:p w14:paraId="31CEB050" w14:textId="5D0100CB"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2.44 ± 1.23</w:t>
            </w:r>
          </w:p>
        </w:tc>
        <w:tc>
          <w:tcPr>
            <w:tcW w:w="1170" w:type="dxa"/>
            <w:tcBorders>
              <w:top w:val="single" w:sz="4" w:space="0" w:color="auto"/>
            </w:tcBorders>
            <w:hideMark/>
          </w:tcPr>
          <w:p w14:paraId="614EAAA7" w14:textId="29B71398"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1.75 ± 1.22</w:t>
            </w:r>
          </w:p>
        </w:tc>
        <w:tc>
          <w:tcPr>
            <w:tcW w:w="1170" w:type="dxa"/>
            <w:tcBorders>
              <w:top w:val="single" w:sz="4" w:space="0" w:color="auto"/>
            </w:tcBorders>
            <w:hideMark/>
          </w:tcPr>
          <w:p w14:paraId="21F5AE59" w14:textId="57E4F689"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0.41 ± 0.25</w:t>
            </w:r>
          </w:p>
        </w:tc>
        <w:tc>
          <w:tcPr>
            <w:tcW w:w="1090" w:type="dxa"/>
            <w:tcBorders>
              <w:top w:val="single" w:sz="4" w:space="0" w:color="auto"/>
            </w:tcBorders>
          </w:tcPr>
          <w:p w14:paraId="692E5276" w14:textId="0021DFF4"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0.30 ± 0.09</w:t>
            </w:r>
          </w:p>
        </w:tc>
        <w:tc>
          <w:tcPr>
            <w:tcW w:w="1160" w:type="dxa"/>
            <w:tcBorders>
              <w:top w:val="single" w:sz="4" w:space="0" w:color="auto"/>
            </w:tcBorders>
          </w:tcPr>
          <w:p w14:paraId="311E79AC" w14:textId="481F2905"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-0.025 ± 0.063</w:t>
            </w:r>
          </w:p>
        </w:tc>
        <w:tc>
          <w:tcPr>
            <w:tcW w:w="1260" w:type="dxa"/>
            <w:tcBorders>
              <w:top w:val="single" w:sz="4" w:space="0" w:color="auto"/>
            </w:tcBorders>
          </w:tcPr>
          <w:p w14:paraId="0E285792" w14:textId="6E75932F"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2.27 ± 0.74</w:t>
            </w:r>
          </w:p>
        </w:tc>
      </w:tr>
      <w:tr w:rsidR="00B96F1D" w:rsidRPr="004100CF" w14:paraId="5F1B466C" w14:textId="3CB44492" w:rsidTr="00B96F1D">
        <w:trPr>
          <w:trHeight w:val="340"/>
        </w:trPr>
        <w:tc>
          <w:tcPr>
            <w:tcW w:w="1260" w:type="dxa"/>
            <w:vMerge/>
            <w:hideMark/>
          </w:tcPr>
          <w:p w14:paraId="06C53523"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56942AA6"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K103N</w:t>
            </w:r>
          </w:p>
        </w:tc>
        <w:tc>
          <w:tcPr>
            <w:tcW w:w="1170" w:type="dxa"/>
            <w:hideMark/>
          </w:tcPr>
          <w:p w14:paraId="0D34FF38" w14:textId="1D4C5CD3"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-0.47 ± 0.39</w:t>
            </w:r>
          </w:p>
        </w:tc>
        <w:tc>
          <w:tcPr>
            <w:tcW w:w="1170" w:type="dxa"/>
            <w:hideMark/>
          </w:tcPr>
          <w:p w14:paraId="452FC3D0" w14:textId="155CD0F6"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-0.65 ± 0.36</w:t>
            </w:r>
          </w:p>
        </w:tc>
        <w:tc>
          <w:tcPr>
            <w:tcW w:w="1170" w:type="dxa"/>
            <w:hideMark/>
          </w:tcPr>
          <w:p w14:paraId="5477CC71" w14:textId="55B290F9"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-2.27 ± 0.29</w:t>
            </w:r>
          </w:p>
        </w:tc>
        <w:tc>
          <w:tcPr>
            <w:tcW w:w="1090" w:type="dxa"/>
          </w:tcPr>
          <w:p w14:paraId="12EAE8A4" w14:textId="7CA320AF"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2.49 ± 0.41</w:t>
            </w:r>
          </w:p>
        </w:tc>
        <w:tc>
          <w:tcPr>
            <w:tcW w:w="1160" w:type="dxa"/>
          </w:tcPr>
          <w:p w14:paraId="58EB8A08" w14:textId="72C2F96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-0.051 ± 0.014</w:t>
            </w:r>
          </w:p>
        </w:tc>
        <w:tc>
          <w:tcPr>
            <w:tcW w:w="1260" w:type="dxa"/>
          </w:tcPr>
          <w:p w14:paraId="6AB76848" w14:textId="3CE7A290"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0.54 ± 0.23</w:t>
            </w:r>
          </w:p>
        </w:tc>
      </w:tr>
      <w:tr w:rsidR="00B96F1D" w:rsidRPr="004100CF" w14:paraId="28659528" w14:textId="19288ACB" w:rsidTr="00B96F1D">
        <w:trPr>
          <w:trHeight w:val="340"/>
        </w:trPr>
        <w:tc>
          <w:tcPr>
            <w:tcW w:w="1260" w:type="dxa"/>
            <w:vMerge/>
            <w:hideMark/>
          </w:tcPr>
          <w:p w14:paraId="34697E31"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4E1AF94A"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Y181C</w:t>
            </w:r>
          </w:p>
        </w:tc>
        <w:tc>
          <w:tcPr>
            <w:tcW w:w="1170" w:type="dxa"/>
            <w:hideMark/>
          </w:tcPr>
          <w:p w14:paraId="7BDA5D67" w14:textId="46CB018B"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1.81 ± 0.51</w:t>
            </w:r>
          </w:p>
        </w:tc>
        <w:tc>
          <w:tcPr>
            <w:tcW w:w="1170" w:type="dxa"/>
            <w:hideMark/>
          </w:tcPr>
          <w:p w14:paraId="033E2A3D" w14:textId="2CE595E9"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1.02 ± 0.48</w:t>
            </w:r>
          </w:p>
        </w:tc>
        <w:tc>
          <w:tcPr>
            <w:tcW w:w="1170" w:type="dxa"/>
            <w:hideMark/>
          </w:tcPr>
          <w:p w14:paraId="02E71658" w14:textId="7D365351"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-0.78 ± 0.29</w:t>
            </w:r>
          </w:p>
        </w:tc>
        <w:tc>
          <w:tcPr>
            <w:tcW w:w="1090" w:type="dxa"/>
          </w:tcPr>
          <w:p w14:paraId="7650D994" w14:textId="08553DFF"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1.55 ± 0.24</w:t>
            </w:r>
          </w:p>
        </w:tc>
        <w:tc>
          <w:tcPr>
            <w:tcW w:w="1160" w:type="dxa"/>
          </w:tcPr>
          <w:p w14:paraId="16B7E8AB" w14:textId="057EC584"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0.019 ± 0.025</w:t>
            </w:r>
          </w:p>
        </w:tc>
        <w:tc>
          <w:tcPr>
            <w:tcW w:w="1260" w:type="dxa"/>
          </w:tcPr>
          <w:p w14:paraId="43615228" w14:textId="6B6C06CF"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-0.66 ± 1.06</w:t>
            </w:r>
          </w:p>
        </w:tc>
      </w:tr>
      <w:tr w:rsidR="00B96F1D" w:rsidRPr="004100CF" w14:paraId="0136850A" w14:textId="07999C28" w:rsidTr="00B96F1D">
        <w:trPr>
          <w:trHeight w:val="359"/>
        </w:trPr>
        <w:tc>
          <w:tcPr>
            <w:tcW w:w="1260" w:type="dxa"/>
            <w:vMerge/>
            <w:tcBorders>
              <w:bottom w:val="single" w:sz="4" w:space="0" w:color="auto"/>
            </w:tcBorders>
            <w:hideMark/>
          </w:tcPr>
          <w:p w14:paraId="5C17D960" w14:textId="77777777" w:rsidR="00B96F1D" w:rsidRPr="004100CF" w:rsidRDefault="00B96F1D" w:rsidP="00B96F1D">
            <w:pPr>
              <w:rPr>
                <w:rFonts w:ascii="Times New Roman" w:hAnsi="Times New Roman" w:cs="Times New Roman"/>
                <w:color w:val="000000"/>
                <w:sz w:val="20"/>
                <w:szCs w:val="20"/>
              </w:rPr>
            </w:pPr>
          </w:p>
        </w:tc>
        <w:tc>
          <w:tcPr>
            <w:tcW w:w="1080" w:type="dxa"/>
            <w:tcBorders>
              <w:bottom w:val="single" w:sz="4" w:space="0" w:color="auto"/>
            </w:tcBorders>
            <w:hideMark/>
          </w:tcPr>
          <w:p w14:paraId="19FB1A69"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G190A</w:t>
            </w:r>
          </w:p>
        </w:tc>
        <w:tc>
          <w:tcPr>
            <w:tcW w:w="1170" w:type="dxa"/>
            <w:tcBorders>
              <w:bottom w:val="single" w:sz="4" w:space="0" w:color="auto"/>
            </w:tcBorders>
            <w:hideMark/>
          </w:tcPr>
          <w:p w14:paraId="5130DC26" w14:textId="10487F85"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1.73 ± 0.42</w:t>
            </w:r>
          </w:p>
        </w:tc>
        <w:tc>
          <w:tcPr>
            <w:tcW w:w="1170" w:type="dxa"/>
            <w:tcBorders>
              <w:bottom w:val="single" w:sz="4" w:space="0" w:color="auto"/>
            </w:tcBorders>
            <w:hideMark/>
          </w:tcPr>
          <w:p w14:paraId="5A7A8BE0" w14:textId="5E7207B8"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1.09 ± 0.31</w:t>
            </w:r>
          </w:p>
        </w:tc>
        <w:tc>
          <w:tcPr>
            <w:tcW w:w="1170" w:type="dxa"/>
            <w:tcBorders>
              <w:bottom w:val="single" w:sz="4" w:space="0" w:color="auto"/>
            </w:tcBorders>
            <w:hideMark/>
          </w:tcPr>
          <w:p w14:paraId="2A54E3B2" w14:textId="082C2AC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0.59 ± 0.41</w:t>
            </w:r>
          </w:p>
        </w:tc>
        <w:tc>
          <w:tcPr>
            <w:tcW w:w="1090" w:type="dxa"/>
            <w:tcBorders>
              <w:bottom w:val="single" w:sz="4" w:space="0" w:color="auto"/>
            </w:tcBorders>
          </w:tcPr>
          <w:p w14:paraId="15AFFCE8" w14:textId="2396D2E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0.07 ± 0.58</w:t>
            </w:r>
          </w:p>
        </w:tc>
        <w:tc>
          <w:tcPr>
            <w:tcW w:w="1160" w:type="dxa"/>
            <w:tcBorders>
              <w:bottom w:val="single" w:sz="4" w:space="0" w:color="auto"/>
            </w:tcBorders>
          </w:tcPr>
          <w:p w14:paraId="1B861093" w14:textId="1B62A04B"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-0.016 ± 0.024</w:t>
            </w:r>
          </w:p>
        </w:tc>
        <w:tc>
          <w:tcPr>
            <w:tcW w:w="1260" w:type="dxa"/>
            <w:tcBorders>
              <w:bottom w:val="single" w:sz="4" w:space="0" w:color="auto"/>
            </w:tcBorders>
          </w:tcPr>
          <w:p w14:paraId="2B0852EB" w14:textId="31AC2301"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0.27 ± 0.17</w:t>
            </w:r>
          </w:p>
        </w:tc>
      </w:tr>
      <w:tr w:rsidR="00B96F1D" w:rsidRPr="004100CF" w14:paraId="2FA5339E" w14:textId="7961D789" w:rsidTr="00B96F1D">
        <w:trPr>
          <w:trHeight w:val="340"/>
        </w:trPr>
        <w:tc>
          <w:tcPr>
            <w:tcW w:w="1260" w:type="dxa"/>
            <w:vMerge w:val="restart"/>
            <w:tcBorders>
              <w:top w:val="single" w:sz="4" w:space="0" w:color="auto"/>
            </w:tcBorders>
            <w:hideMark/>
          </w:tcPr>
          <w:p w14:paraId="239A7580" w14:textId="77777777" w:rsidR="00B96F1D" w:rsidRPr="004100CF" w:rsidRDefault="00B96F1D" w:rsidP="00B96F1D">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Resistant</w:t>
            </w:r>
          </w:p>
        </w:tc>
        <w:tc>
          <w:tcPr>
            <w:tcW w:w="1080" w:type="dxa"/>
            <w:tcBorders>
              <w:top w:val="single" w:sz="4" w:space="0" w:color="auto"/>
            </w:tcBorders>
            <w:hideMark/>
          </w:tcPr>
          <w:p w14:paraId="779A710F"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Y318F</w:t>
            </w:r>
          </w:p>
        </w:tc>
        <w:tc>
          <w:tcPr>
            <w:tcW w:w="1170" w:type="dxa"/>
            <w:tcBorders>
              <w:top w:val="single" w:sz="4" w:space="0" w:color="auto"/>
            </w:tcBorders>
            <w:hideMark/>
          </w:tcPr>
          <w:p w14:paraId="7AF055AD" w14:textId="106A3074"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2.79 ± 1.35</w:t>
            </w:r>
          </w:p>
        </w:tc>
        <w:tc>
          <w:tcPr>
            <w:tcW w:w="1170" w:type="dxa"/>
            <w:tcBorders>
              <w:top w:val="single" w:sz="4" w:space="0" w:color="auto"/>
            </w:tcBorders>
            <w:hideMark/>
          </w:tcPr>
          <w:p w14:paraId="7113D4CA" w14:textId="0575AAC6"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2.46 ± 0.91</w:t>
            </w:r>
          </w:p>
        </w:tc>
        <w:tc>
          <w:tcPr>
            <w:tcW w:w="1170" w:type="dxa"/>
            <w:tcBorders>
              <w:top w:val="single" w:sz="4" w:space="0" w:color="auto"/>
            </w:tcBorders>
            <w:hideMark/>
          </w:tcPr>
          <w:p w14:paraId="20D74ED5" w14:textId="3F1B2000"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-0.41 ± 0.77</w:t>
            </w:r>
          </w:p>
        </w:tc>
        <w:tc>
          <w:tcPr>
            <w:tcW w:w="1090" w:type="dxa"/>
            <w:tcBorders>
              <w:top w:val="single" w:sz="4" w:space="0" w:color="auto"/>
            </w:tcBorders>
          </w:tcPr>
          <w:p w14:paraId="7EF8082F" w14:textId="49396771"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0.81 ± 0.62</w:t>
            </w:r>
          </w:p>
        </w:tc>
        <w:tc>
          <w:tcPr>
            <w:tcW w:w="1160" w:type="dxa"/>
            <w:tcBorders>
              <w:top w:val="single" w:sz="4" w:space="0" w:color="auto"/>
            </w:tcBorders>
          </w:tcPr>
          <w:p w14:paraId="0C5EE5DE" w14:textId="19DE973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-0.070 ± 0.039</w:t>
            </w:r>
          </w:p>
        </w:tc>
        <w:tc>
          <w:tcPr>
            <w:tcW w:w="1260" w:type="dxa"/>
            <w:tcBorders>
              <w:top w:val="single" w:sz="4" w:space="0" w:color="auto"/>
            </w:tcBorders>
          </w:tcPr>
          <w:p w14:paraId="39969EA0" w14:textId="0B5BEA82"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1.41 ± 0.45</w:t>
            </w:r>
          </w:p>
        </w:tc>
      </w:tr>
      <w:tr w:rsidR="00B96F1D" w:rsidRPr="004100CF" w14:paraId="06F09028" w14:textId="625043B4" w:rsidTr="00B96F1D">
        <w:trPr>
          <w:trHeight w:val="340"/>
        </w:trPr>
        <w:tc>
          <w:tcPr>
            <w:tcW w:w="1260" w:type="dxa"/>
            <w:vMerge/>
            <w:hideMark/>
          </w:tcPr>
          <w:p w14:paraId="6FB9F030"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4B405FB1"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V106A</w:t>
            </w:r>
          </w:p>
        </w:tc>
        <w:tc>
          <w:tcPr>
            <w:tcW w:w="1170" w:type="dxa"/>
            <w:hideMark/>
          </w:tcPr>
          <w:p w14:paraId="7FA3E5AF" w14:textId="177153E5"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2.79 ± 0.34</w:t>
            </w:r>
          </w:p>
        </w:tc>
        <w:tc>
          <w:tcPr>
            <w:tcW w:w="1170" w:type="dxa"/>
            <w:hideMark/>
          </w:tcPr>
          <w:p w14:paraId="4DAF695A" w14:textId="789AA82E"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1.92 ± 0.55</w:t>
            </w:r>
          </w:p>
        </w:tc>
        <w:tc>
          <w:tcPr>
            <w:tcW w:w="1170" w:type="dxa"/>
            <w:hideMark/>
          </w:tcPr>
          <w:p w14:paraId="5D69886C" w14:textId="1E330DB0"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-0.78 ± 0.35</w:t>
            </w:r>
          </w:p>
        </w:tc>
        <w:tc>
          <w:tcPr>
            <w:tcW w:w="1090" w:type="dxa"/>
          </w:tcPr>
          <w:p w14:paraId="34A37233" w14:textId="5EC070D3"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1.59 ± 0.12</w:t>
            </w:r>
          </w:p>
        </w:tc>
        <w:tc>
          <w:tcPr>
            <w:tcW w:w="1160" w:type="dxa"/>
          </w:tcPr>
          <w:p w14:paraId="7D60D5A2" w14:textId="1EE478A9"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0.057 ± 0.011</w:t>
            </w:r>
          </w:p>
        </w:tc>
        <w:tc>
          <w:tcPr>
            <w:tcW w:w="1260" w:type="dxa"/>
          </w:tcPr>
          <w:p w14:paraId="3C423997" w14:textId="3DF5A264"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1.76 ± 0.51</w:t>
            </w:r>
          </w:p>
        </w:tc>
      </w:tr>
      <w:tr w:rsidR="00B96F1D" w:rsidRPr="004100CF" w14:paraId="1C4BEBCD" w14:textId="53A83098" w:rsidTr="00B96F1D">
        <w:trPr>
          <w:trHeight w:val="340"/>
        </w:trPr>
        <w:tc>
          <w:tcPr>
            <w:tcW w:w="1260" w:type="dxa"/>
            <w:vMerge/>
            <w:hideMark/>
          </w:tcPr>
          <w:p w14:paraId="55D6FC03"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338EE2BF" w14:textId="05B597BC"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A98G + F227C</w:t>
            </w:r>
          </w:p>
        </w:tc>
        <w:tc>
          <w:tcPr>
            <w:tcW w:w="1170" w:type="dxa"/>
            <w:hideMark/>
          </w:tcPr>
          <w:p w14:paraId="0B9D8332" w14:textId="74475DD2"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1.09 ± 1.35</w:t>
            </w:r>
          </w:p>
        </w:tc>
        <w:tc>
          <w:tcPr>
            <w:tcW w:w="1170" w:type="dxa"/>
            <w:hideMark/>
          </w:tcPr>
          <w:p w14:paraId="34BEC56B" w14:textId="73AE462C"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0.69 ± 1.47</w:t>
            </w:r>
          </w:p>
        </w:tc>
        <w:tc>
          <w:tcPr>
            <w:tcW w:w="1170" w:type="dxa"/>
            <w:hideMark/>
          </w:tcPr>
          <w:p w14:paraId="15A872D0" w14:textId="0ED84D1F"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-0.49 ± 0.06</w:t>
            </w:r>
          </w:p>
        </w:tc>
        <w:tc>
          <w:tcPr>
            <w:tcW w:w="1090" w:type="dxa"/>
          </w:tcPr>
          <w:p w14:paraId="7A496056" w14:textId="515B7880"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0.88 ± 0.10</w:t>
            </w:r>
          </w:p>
        </w:tc>
        <w:tc>
          <w:tcPr>
            <w:tcW w:w="1160" w:type="dxa"/>
          </w:tcPr>
          <w:p w14:paraId="6C01CE15" w14:textId="296CA339"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0.016 ± 0.013</w:t>
            </w:r>
          </w:p>
        </w:tc>
        <w:tc>
          <w:tcPr>
            <w:tcW w:w="1260" w:type="dxa"/>
          </w:tcPr>
          <w:p w14:paraId="765D0FC8" w14:textId="47BE9BD8"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-1.53 ± 0.87</w:t>
            </w:r>
          </w:p>
        </w:tc>
      </w:tr>
      <w:tr w:rsidR="00B96F1D" w:rsidRPr="004100CF" w14:paraId="1BC47192" w14:textId="6B336051" w:rsidTr="00B96F1D">
        <w:trPr>
          <w:trHeight w:val="340"/>
        </w:trPr>
        <w:tc>
          <w:tcPr>
            <w:tcW w:w="1260" w:type="dxa"/>
            <w:vMerge/>
            <w:hideMark/>
          </w:tcPr>
          <w:p w14:paraId="27A1C7CE"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047AE363" w14:textId="228ABB86"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V106I + F227C</w:t>
            </w:r>
          </w:p>
        </w:tc>
        <w:tc>
          <w:tcPr>
            <w:tcW w:w="1170" w:type="dxa"/>
            <w:hideMark/>
          </w:tcPr>
          <w:p w14:paraId="7971ED41" w14:textId="65E0B15B"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2.18 ± 0.56</w:t>
            </w:r>
          </w:p>
        </w:tc>
        <w:tc>
          <w:tcPr>
            <w:tcW w:w="1170" w:type="dxa"/>
            <w:hideMark/>
          </w:tcPr>
          <w:p w14:paraId="22A7E1D5" w14:textId="558CDD5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1.56 ± 0.27</w:t>
            </w:r>
          </w:p>
        </w:tc>
        <w:tc>
          <w:tcPr>
            <w:tcW w:w="1170" w:type="dxa"/>
            <w:hideMark/>
          </w:tcPr>
          <w:p w14:paraId="1D8F6E97" w14:textId="5B2D49BD"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0.20 ± 0.10</w:t>
            </w:r>
          </w:p>
        </w:tc>
        <w:tc>
          <w:tcPr>
            <w:tcW w:w="1090" w:type="dxa"/>
          </w:tcPr>
          <w:p w14:paraId="229251E7" w14:textId="11AE9192"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0.41 ± 0.43</w:t>
            </w:r>
          </w:p>
        </w:tc>
        <w:tc>
          <w:tcPr>
            <w:tcW w:w="1160" w:type="dxa"/>
          </w:tcPr>
          <w:p w14:paraId="625CC37D" w14:textId="0E740C36"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0.008 ± 0.015</w:t>
            </w:r>
          </w:p>
        </w:tc>
        <w:tc>
          <w:tcPr>
            <w:tcW w:w="1260" w:type="dxa"/>
          </w:tcPr>
          <w:p w14:paraId="2D02FC96" w14:textId="15051DA8"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1.75 ± 1.16</w:t>
            </w:r>
          </w:p>
        </w:tc>
      </w:tr>
      <w:tr w:rsidR="00B96F1D" w:rsidRPr="004100CF" w14:paraId="43EC9452" w14:textId="66A0D564" w:rsidTr="00B96F1D">
        <w:trPr>
          <w:trHeight w:val="340"/>
        </w:trPr>
        <w:tc>
          <w:tcPr>
            <w:tcW w:w="1260" w:type="dxa"/>
            <w:vMerge/>
            <w:hideMark/>
          </w:tcPr>
          <w:p w14:paraId="5A45BBBD"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4040295C" w14:textId="3F48CE4F"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V106A + F227L</w:t>
            </w:r>
          </w:p>
        </w:tc>
        <w:tc>
          <w:tcPr>
            <w:tcW w:w="1170" w:type="dxa"/>
            <w:hideMark/>
          </w:tcPr>
          <w:p w14:paraId="787F973E" w14:textId="00FCD880"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2.48 ± 1.33</w:t>
            </w:r>
          </w:p>
        </w:tc>
        <w:tc>
          <w:tcPr>
            <w:tcW w:w="1170" w:type="dxa"/>
            <w:hideMark/>
          </w:tcPr>
          <w:p w14:paraId="51DA2A25" w14:textId="4819EF2C"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0.60 ± 1.32</w:t>
            </w:r>
          </w:p>
        </w:tc>
        <w:tc>
          <w:tcPr>
            <w:tcW w:w="1170" w:type="dxa"/>
            <w:hideMark/>
          </w:tcPr>
          <w:p w14:paraId="398FBA9D" w14:textId="6636EB4E"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0.90 ± 0.41</w:t>
            </w:r>
          </w:p>
        </w:tc>
        <w:tc>
          <w:tcPr>
            <w:tcW w:w="1090" w:type="dxa"/>
          </w:tcPr>
          <w:p w14:paraId="59F6E576" w14:textId="3DA080C6"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0.97 ± 0.47</w:t>
            </w:r>
          </w:p>
        </w:tc>
        <w:tc>
          <w:tcPr>
            <w:tcW w:w="1160" w:type="dxa"/>
          </w:tcPr>
          <w:p w14:paraId="6FCDC432" w14:textId="28838366"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0.006 ± 0.030</w:t>
            </w:r>
          </w:p>
        </w:tc>
        <w:tc>
          <w:tcPr>
            <w:tcW w:w="1260" w:type="dxa"/>
          </w:tcPr>
          <w:p w14:paraId="4327416F" w14:textId="5854A882"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4.39 ± 1.00</w:t>
            </w:r>
          </w:p>
        </w:tc>
      </w:tr>
      <w:tr w:rsidR="00B96F1D" w:rsidRPr="004100CF" w14:paraId="17904C9D" w14:textId="54060C93" w:rsidTr="00B96F1D">
        <w:trPr>
          <w:trHeight w:val="340"/>
        </w:trPr>
        <w:tc>
          <w:tcPr>
            <w:tcW w:w="1260" w:type="dxa"/>
            <w:vMerge/>
            <w:hideMark/>
          </w:tcPr>
          <w:p w14:paraId="6602E5AE"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18322086"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Y188L</w:t>
            </w:r>
          </w:p>
        </w:tc>
        <w:tc>
          <w:tcPr>
            <w:tcW w:w="1170" w:type="dxa"/>
            <w:hideMark/>
          </w:tcPr>
          <w:p w14:paraId="56168620" w14:textId="78A39C0A"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4.99 ± 2.19</w:t>
            </w:r>
          </w:p>
        </w:tc>
        <w:tc>
          <w:tcPr>
            <w:tcW w:w="1170" w:type="dxa"/>
            <w:hideMark/>
          </w:tcPr>
          <w:p w14:paraId="39246479" w14:textId="79A8080B"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3.93 ± 1.39</w:t>
            </w:r>
          </w:p>
        </w:tc>
        <w:tc>
          <w:tcPr>
            <w:tcW w:w="1170" w:type="dxa"/>
            <w:hideMark/>
          </w:tcPr>
          <w:p w14:paraId="442F508C" w14:textId="284E1BC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0.77 ± 0.67</w:t>
            </w:r>
          </w:p>
        </w:tc>
        <w:tc>
          <w:tcPr>
            <w:tcW w:w="1090" w:type="dxa"/>
          </w:tcPr>
          <w:p w14:paraId="6631D57C" w14:textId="3F99A459"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0.33 ± 0.26</w:t>
            </w:r>
          </w:p>
        </w:tc>
        <w:tc>
          <w:tcPr>
            <w:tcW w:w="1160" w:type="dxa"/>
          </w:tcPr>
          <w:p w14:paraId="20D7F2F4" w14:textId="10473F5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-0.036 ± 0.034</w:t>
            </w:r>
          </w:p>
        </w:tc>
        <w:tc>
          <w:tcPr>
            <w:tcW w:w="1260" w:type="dxa"/>
          </w:tcPr>
          <w:p w14:paraId="071D47A9" w14:textId="1855AED8"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4.52 ± 0.49</w:t>
            </w:r>
          </w:p>
        </w:tc>
      </w:tr>
      <w:tr w:rsidR="00B96F1D" w:rsidRPr="004100CF" w14:paraId="4CC06D02" w14:textId="0952D339" w:rsidTr="00B96F1D">
        <w:trPr>
          <w:trHeight w:val="340"/>
        </w:trPr>
        <w:tc>
          <w:tcPr>
            <w:tcW w:w="1260" w:type="dxa"/>
            <w:vMerge/>
            <w:hideMark/>
          </w:tcPr>
          <w:p w14:paraId="15D7F1F0"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186941EE" w14:textId="671F833D"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V106A + P225H</w:t>
            </w:r>
          </w:p>
        </w:tc>
        <w:tc>
          <w:tcPr>
            <w:tcW w:w="1170" w:type="dxa"/>
            <w:hideMark/>
          </w:tcPr>
          <w:p w14:paraId="191314B7" w14:textId="5D193AD2"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1.16 ± 0.86</w:t>
            </w:r>
          </w:p>
        </w:tc>
        <w:tc>
          <w:tcPr>
            <w:tcW w:w="1170" w:type="dxa"/>
            <w:hideMark/>
          </w:tcPr>
          <w:p w14:paraId="0C0E6E60" w14:textId="108A2E8A"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-0.79 ± 0.72</w:t>
            </w:r>
          </w:p>
        </w:tc>
        <w:tc>
          <w:tcPr>
            <w:tcW w:w="1170" w:type="dxa"/>
            <w:hideMark/>
          </w:tcPr>
          <w:p w14:paraId="20AD0DB4" w14:textId="3C2198BA"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0.46 ± 1.57</w:t>
            </w:r>
          </w:p>
        </w:tc>
        <w:tc>
          <w:tcPr>
            <w:tcW w:w="1090" w:type="dxa"/>
          </w:tcPr>
          <w:p w14:paraId="29F3680A" w14:textId="6CBFFFCD"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1.53 ± 1.41</w:t>
            </w:r>
          </w:p>
        </w:tc>
        <w:tc>
          <w:tcPr>
            <w:tcW w:w="1160" w:type="dxa"/>
          </w:tcPr>
          <w:p w14:paraId="79EB2391" w14:textId="58B160B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-0.044 ± 0.049</w:t>
            </w:r>
          </w:p>
        </w:tc>
        <w:tc>
          <w:tcPr>
            <w:tcW w:w="1260" w:type="dxa"/>
          </w:tcPr>
          <w:p w14:paraId="497DE75B" w14:textId="27D8E8C3"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3.71 ± 1.13</w:t>
            </w:r>
          </w:p>
        </w:tc>
      </w:tr>
      <w:tr w:rsidR="00B96F1D" w:rsidRPr="004100CF" w14:paraId="39CAE212" w14:textId="7E2169FE" w:rsidTr="00B96F1D">
        <w:trPr>
          <w:trHeight w:val="386"/>
        </w:trPr>
        <w:tc>
          <w:tcPr>
            <w:tcW w:w="1260" w:type="dxa"/>
            <w:vMerge/>
            <w:hideMark/>
          </w:tcPr>
          <w:p w14:paraId="0D22BED2"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08FF30A5" w14:textId="3EFAB37F"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V106A + L234I</w:t>
            </w:r>
          </w:p>
        </w:tc>
        <w:tc>
          <w:tcPr>
            <w:tcW w:w="1170" w:type="dxa"/>
            <w:hideMark/>
          </w:tcPr>
          <w:p w14:paraId="40F9DFD1" w14:textId="37C68F8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2.29 ± 1.54</w:t>
            </w:r>
          </w:p>
        </w:tc>
        <w:tc>
          <w:tcPr>
            <w:tcW w:w="1170" w:type="dxa"/>
            <w:hideMark/>
          </w:tcPr>
          <w:p w14:paraId="4D0C1F67" w14:textId="72DDB82F"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0.69 ± 1.67</w:t>
            </w:r>
          </w:p>
        </w:tc>
        <w:tc>
          <w:tcPr>
            <w:tcW w:w="1170" w:type="dxa"/>
            <w:hideMark/>
          </w:tcPr>
          <w:p w14:paraId="651DA163" w14:textId="13033726"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0.23 ± 0.44</w:t>
            </w:r>
          </w:p>
        </w:tc>
        <w:tc>
          <w:tcPr>
            <w:tcW w:w="1090" w:type="dxa"/>
          </w:tcPr>
          <w:p w14:paraId="3CC52D2E" w14:textId="01C5DD41"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1.44 ± 0.30</w:t>
            </w:r>
          </w:p>
        </w:tc>
        <w:tc>
          <w:tcPr>
            <w:tcW w:w="1160" w:type="dxa"/>
          </w:tcPr>
          <w:p w14:paraId="73630BDC" w14:textId="237DCAA7"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-0.070 ± 0.004</w:t>
            </w:r>
          </w:p>
        </w:tc>
        <w:tc>
          <w:tcPr>
            <w:tcW w:w="1260" w:type="dxa"/>
          </w:tcPr>
          <w:p w14:paraId="62EC309B" w14:textId="2BD42151"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3.72 ± 1.10</w:t>
            </w:r>
          </w:p>
        </w:tc>
      </w:tr>
      <w:tr w:rsidR="00B96F1D" w:rsidRPr="004100CF" w14:paraId="135AF25D" w14:textId="1A118367" w:rsidTr="00B96F1D">
        <w:trPr>
          <w:trHeight w:val="386"/>
        </w:trPr>
        <w:tc>
          <w:tcPr>
            <w:tcW w:w="1260" w:type="dxa"/>
            <w:vMerge/>
            <w:tcBorders>
              <w:bottom w:val="single" w:sz="4" w:space="0" w:color="auto"/>
            </w:tcBorders>
          </w:tcPr>
          <w:p w14:paraId="374F9CA3" w14:textId="77777777" w:rsidR="00B96F1D" w:rsidRPr="004100CF" w:rsidRDefault="00B96F1D" w:rsidP="00B96F1D">
            <w:pPr>
              <w:rPr>
                <w:rFonts w:ascii="Times New Roman" w:hAnsi="Times New Roman" w:cs="Times New Roman"/>
                <w:color w:val="000000"/>
                <w:sz w:val="20"/>
                <w:szCs w:val="20"/>
              </w:rPr>
            </w:pPr>
          </w:p>
        </w:tc>
        <w:tc>
          <w:tcPr>
            <w:tcW w:w="1080" w:type="dxa"/>
            <w:tcBorders>
              <w:bottom w:val="single" w:sz="4" w:space="0" w:color="auto"/>
            </w:tcBorders>
          </w:tcPr>
          <w:p w14:paraId="0438F9BA" w14:textId="4586E360" w:rsidR="00B96F1D" w:rsidRPr="004100CF" w:rsidRDefault="00B96F1D" w:rsidP="00B96F1D">
            <w:pPr>
              <w:jc w:val="center"/>
              <w:rPr>
                <w:rFonts w:ascii="Times New Roman" w:hAnsi="Times New Roman" w:cs="Times New Roman"/>
                <w:sz w:val="20"/>
                <w:szCs w:val="20"/>
              </w:rPr>
            </w:pPr>
            <w:r w:rsidRPr="004100CF">
              <w:rPr>
                <w:rFonts w:ascii="Times New Roman" w:hAnsi="Times New Roman" w:cs="Times New Roman"/>
                <w:sz w:val="20"/>
                <w:szCs w:val="20"/>
              </w:rPr>
              <w:t>K103N + M230L</w:t>
            </w:r>
          </w:p>
        </w:tc>
        <w:tc>
          <w:tcPr>
            <w:tcW w:w="1170" w:type="dxa"/>
            <w:tcBorders>
              <w:bottom w:val="single" w:sz="4" w:space="0" w:color="auto"/>
            </w:tcBorders>
          </w:tcPr>
          <w:p w14:paraId="18D10640" w14:textId="49BB8161"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-1.13 ± 1.26</w:t>
            </w:r>
          </w:p>
        </w:tc>
        <w:tc>
          <w:tcPr>
            <w:tcW w:w="1170" w:type="dxa"/>
            <w:tcBorders>
              <w:bottom w:val="single" w:sz="4" w:space="0" w:color="auto"/>
            </w:tcBorders>
          </w:tcPr>
          <w:p w14:paraId="25E98923" w14:textId="184C385E"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-0.69 ± 1.13</w:t>
            </w:r>
          </w:p>
        </w:tc>
        <w:tc>
          <w:tcPr>
            <w:tcW w:w="1170" w:type="dxa"/>
            <w:tcBorders>
              <w:bottom w:val="single" w:sz="4" w:space="0" w:color="auto"/>
            </w:tcBorders>
          </w:tcPr>
          <w:p w14:paraId="0B3ECCEC" w14:textId="1238A285"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-2.91 ± 0.74</w:t>
            </w:r>
          </w:p>
        </w:tc>
        <w:tc>
          <w:tcPr>
            <w:tcW w:w="1090" w:type="dxa"/>
            <w:tcBorders>
              <w:bottom w:val="single" w:sz="4" w:space="0" w:color="auto"/>
            </w:tcBorders>
          </w:tcPr>
          <w:p w14:paraId="03483EF9" w14:textId="4B169FBE"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2.54 ± 0.66</w:t>
            </w:r>
          </w:p>
        </w:tc>
        <w:tc>
          <w:tcPr>
            <w:tcW w:w="1160" w:type="dxa"/>
            <w:tcBorders>
              <w:bottom w:val="single" w:sz="4" w:space="0" w:color="auto"/>
            </w:tcBorders>
          </w:tcPr>
          <w:p w14:paraId="05A483A5" w14:textId="6728F26F"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-0.061 ± 0.027</w:t>
            </w:r>
          </w:p>
        </w:tc>
        <w:tc>
          <w:tcPr>
            <w:tcW w:w="1260" w:type="dxa"/>
            <w:tcBorders>
              <w:bottom w:val="single" w:sz="4" w:space="0" w:color="auto"/>
            </w:tcBorders>
          </w:tcPr>
          <w:p w14:paraId="2CEAB8C5" w14:textId="28E97E97"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0.59 ± 0.41</w:t>
            </w:r>
          </w:p>
        </w:tc>
      </w:tr>
      <w:tr w:rsidR="00B96F1D" w:rsidRPr="004100CF" w14:paraId="38F82B72" w14:textId="43BF39CE" w:rsidTr="00B96F1D">
        <w:trPr>
          <w:trHeight w:val="340"/>
        </w:trPr>
        <w:tc>
          <w:tcPr>
            <w:tcW w:w="1260" w:type="dxa"/>
            <w:vMerge w:val="restart"/>
            <w:tcBorders>
              <w:top w:val="single" w:sz="4" w:space="0" w:color="auto"/>
            </w:tcBorders>
            <w:hideMark/>
          </w:tcPr>
          <w:p w14:paraId="2310A4B6" w14:textId="77777777" w:rsidR="00B96F1D" w:rsidRPr="004100CF" w:rsidRDefault="00B96F1D" w:rsidP="00B96F1D">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 xml:space="preserve">Uncertain </w:t>
            </w:r>
          </w:p>
        </w:tc>
        <w:tc>
          <w:tcPr>
            <w:tcW w:w="1080" w:type="dxa"/>
            <w:tcBorders>
              <w:top w:val="single" w:sz="4" w:space="0" w:color="auto"/>
            </w:tcBorders>
            <w:hideMark/>
          </w:tcPr>
          <w:p w14:paraId="508B9E8B"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V106M</w:t>
            </w:r>
          </w:p>
        </w:tc>
        <w:tc>
          <w:tcPr>
            <w:tcW w:w="1170" w:type="dxa"/>
            <w:tcBorders>
              <w:top w:val="single" w:sz="4" w:space="0" w:color="auto"/>
            </w:tcBorders>
            <w:hideMark/>
          </w:tcPr>
          <w:p w14:paraId="174E2CA7" w14:textId="3E839E35"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3.25 ± 0.35</w:t>
            </w:r>
          </w:p>
        </w:tc>
        <w:tc>
          <w:tcPr>
            <w:tcW w:w="1170" w:type="dxa"/>
            <w:tcBorders>
              <w:top w:val="single" w:sz="4" w:space="0" w:color="auto"/>
            </w:tcBorders>
            <w:hideMark/>
          </w:tcPr>
          <w:p w14:paraId="2D13BEFD" w14:textId="2A0DDF48"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2.34 ± 0.19</w:t>
            </w:r>
          </w:p>
        </w:tc>
        <w:tc>
          <w:tcPr>
            <w:tcW w:w="1170" w:type="dxa"/>
            <w:tcBorders>
              <w:top w:val="single" w:sz="4" w:space="0" w:color="auto"/>
            </w:tcBorders>
            <w:hideMark/>
          </w:tcPr>
          <w:p w14:paraId="6992ABDA" w14:textId="15DED4B4"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-0.08 ± 0.80</w:t>
            </w:r>
          </w:p>
        </w:tc>
        <w:tc>
          <w:tcPr>
            <w:tcW w:w="1090" w:type="dxa"/>
            <w:tcBorders>
              <w:top w:val="single" w:sz="4" w:space="0" w:color="auto"/>
            </w:tcBorders>
          </w:tcPr>
          <w:p w14:paraId="3AD7B006" w14:textId="37F0F6CD"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0.95 ± 0.68</w:t>
            </w:r>
          </w:p>
        </w:tc>
        <w:tc>
          <w:tcPr>
            <w:tcW w:w="1160" w:type="dxa"/>
            <w:tcBorders>
              <w:top w:val="single" w:sz="4" w:space="0" w:color="auto"/>
            </w:tcBorders>
          </w:tcPr>
          <w:p w14:paraId="7F88AA3F" w14:textId="4DF7B844"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0.039 ± 0.056</w:t>
            </w:r>
          </w:p>
        </w:tc>
        <w:tc>
          <w:tcPr>
            <w:tcW w:w="1260" w:type="dxa"/>
            <w:tcBorders>
              <w:top w:val="single" w:sz="4" w:space="0" w:color="auto"/>
            </w:tcBorders>
          </w:tcPr>
          <w:p w14:paraId="1A195E51" w14:textId="3364FA38"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6.10 ± 0.16</w:t>
            </w:r>
          </w:p>
        </w:tc>
      </w:tr>
      <w:tr w:rsidR="00B96F1D" w:rsidRPr="004100CF" w14:paraId="55EA42CD" w14:textId="5A441208" w:rsidTr="00B96F1D">
        <w:trPr>
          <w:trHeight w:val="467"/>
        </w:trPr>
        <w:tc>
          <w:tcPr>
            <w:tcW w:w="1260" w:type="dxa"/>
            <w:vMerge/>
            <w:hideMark/>
          </w:tcPr>
          <w:p w14:paraId="23A7984C" w14:textId="77777777" w:rsidR="00B96F1D" w:rsidRPr="004100CF" w:rsidRDefault="00B96F1D" w:rsidP="00B96F1D">
            <w:pPr>
              <w:spacing w:line="480" w:lineRule="auto"/>
              <w:rPr>
                <w:rFonts w:ascii="Times New Roman" w:hAnsi="Times New Roman" w:cs="Times New Roman"/>
                <w:color w:val="000000"/>
                <w:sz w:val="20"/>
                <w:szCs w:val="20"/>
              </w:rPr>
            </w:pPr>
          </w:p>
        </w:tc>
        <w:tc>
          <w:tcPr>
            <w:tcW w:w="1080" w:type="dxa"/>
            <w:hideMark/>
          </w:tcPr>
          <w:p w14:paraId="6F8A53F4"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G190S</w:t>
            </w:r>
          </w:p>
        </w:tc>
        <w:tc>
          <w:tcPr>
            <w:tcW w:w="1170" w:type="dxa"/>
            <w:hideMark/>
          </w:tcPr>
          <w:p w14:paraId="28C3A842" w14:textId="06EAC07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3.41 ± 1.34</w:t>
            </w:r>
          </w:p>
        </w:tc>
        <w:tc>
          <w:tcPr>
            <w:tcW w:w="1170" w:type="dxa"/>
            <w:hideMark/>
          </w:tcPr>
          <w:p w14:paraId="751AC61D" w14:textId="7A4107C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1.75 ± 0.96</w:t>
            </w:r>
          </w:p>
        </w:tc>
        <w:tc>
          <w:tcPr>
            <w:tcW w:w="1170" w:type="dxa"/>
            <w:hideMark/>
          </w:tcPr>
          <w:p w14:paraId="1F2F3415" w14:textId="0C952894"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1.49 ± 0.54</w:t>
            </w:r>
          </w:p>
        </w:tc>
        <w:tc>
          <w:tcPr>
            <w:tcW w:w="1090" w:type="dxa"/>
          </w:tcPr>
          <w:p w14:paraId="70EDD288" w14:textId="7B33E80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0.15 ± 0.27</w:t>
            </w:r>
          </w:p>
        </w:tc>
        <w:tc>
          <w:tcPr>
            <w:tcW w:w="1160" w:type="dxa"/>
          </w:tcPr>
          <w:p w14:paraId="6EB2A17E" w14:textId="45FF1F10"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0.024 ± 0.057</w:t>
            </w:r>
          </w:p>
        </w:tc>
        <w:tc>
          <w:tcPr>
            <w:tcW w:w="1260" w:type="dxa"/>
          </w:tcPr>
          <w:p w14:paraId="00749720" w14:textId="675795C2"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2.01 ± 0.34</w:t>
            </w:r>
          </w:p>
        </w:tc>
      </w:tr>
      <w:tr w:rsidR="00B96F1D" w:rsidRPr="004100CF" w14:paraId="041B9898" w14:textId="13D64E6A" w:rsidTr="00B96F1D">
        <w:trPr>
          <w:trHeight w:val="521"/>
        </w:trPr>
        <w:tc>
          <w:tcPr>
            <w:tcW w:w="1260" w:type="dxa"/>
            <w:vMerge/>
            <w:hideMark/>
          </w:tcPr>
          <w:p w14:paraId="17119F32" w14:textId="77777777" w:rsidR="00B96F1D" w:rsidRPr="004100CF" w:rsidRDefault="00B96F1D" w:rsidP="00B96F1D">
            <w:pPr>
              <w:spacing w:line="480" w:lineRule="auto"/>
              <w:rPr>
                <w:rFonts w:ascii="Times New Roman" w:hAnsi="Times New Roman" w:cs="Times New Roman"/>
                <w:color w:val="000000"/>
                <w:sz w:val="20"/>
                <w:szCs w:val="20"/>
              </w:rPr>
            </w:pPr>
          </w:p>
        </w:tc>
        <w:tc>
          <w:tcPr>
            <w:tcW w:w="1080" w:type="dxa"/>
            <w:hideMark/>
          </w:tcPr>
          <w:p w14:paraId="1A150A26" w14:textId="06915AE2"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K103N + L100I</w:t>
            </w:r>
          </w:p>
        </w:tc>
        <w:tc>
          <w:tcPr>
            <w:tcW w:w="1170" w:type="dxa"/>
            <w:hideMark/>
          </w:tcPr>
          <w:p w14:paraId="34330422" w14:textId="2ABBE71E"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-0.98 ± 0.81</w:t>
            </w:r>
          </w:p>
        </w:tc>
        <w:tc>
          <w:tcPr>
            <w:tcW w:w="1170" w:type="dxa"/>
            <w:hideMark/>
          </w:tcPr>
          <w:p w14:paraId="24326C43" w14:textId="1EEDB122"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-1.01 ± 0.76</w:t>
            </w:r>
          </w:p>
        </w:tc>
        <w:tc>
          <w:tcPr>
            <w:tcW w:w="1170" w:type="dxa"/>
            <w:hideMark/>
          </w:tcPr>
          <w:p w14:paraId="3D700CFF" w14:textId="6BF4E1F0"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-2.78 ± 0.92</w:t>
            </w:r>
          </w:p>
        </w:tc>
        <w:tc>
          <w:tcPr>
            <w:tcW w:w="1090" w:type="dxa"/>
          </w:tcPr>
          <w:p w14:paraId="0EAF777E" w14:textId="2BE8BDF9"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2.89 ± 0.52</w:t>
            </w:r>
          </w:p>
        </w:tc>
        <w:tc>
          <w:tcPr>
            <w:tcW w:w="1160" w:type="dxa"/>
          </w:tcPr>
          <w:p w14:paraId="7C87E2FA" w14:textId="3F2078CA"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-0.072 ± 0.010</w:t>
            </w:r>
          </w:p>
        </w:tc>
        <w:tc>
          <w:tcPr>
            <w:tcW w:w="1260" w:type="dxa"/>
          </w:tcPr>
          <w:p w14:paraId="1F8AFD4C" w14:textId="5BC6BA98"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0.19 ± 0.68</w:t>
            </w:r>
          </w:p>
        </w:tc>
      </w:tr>
      <w:tr w:rsidR="00B96F1D" w:rsidRPr="004100CF" w14:paraId="077AB2C8" w14:textId="322401D9" w:rsidTr="00B96F1D">
        <w:trPr>
          <w:trHeight w:val="350"/>
        </w:trPr>
        <w:tc>
          <w:tcPr>
            <w:tcW w:w="1260" w:type="dxa"/>
            <w:vMerge/>
            <w:hideMark/>
          </w:tcPr>
          <w:p w14:paraId="31B9B7CA" w14:textId="77777777" w:rsidR="00B96F1D" w:rsidRPr="004100CF" w:rsidRDefault="00B96F1D" w:rsidP="00B96F1D">
            <w:pPr>
              <w:spacing w:line="480" w:lineRule="auto"/>
              <w:rPr>
                <w:rFonts w:ascii="Times New Roman" w:hAnsi="Times New Roman" w:cs="Times New Roman"/>
                <w:color w:val="000000"/>
                <w:sz w:val="20"/>
                <w:szCs w:val="20"/>
              </w:rPr>
            </w:pPr>
          </w:p>
        </w:tc>
        <w:tc>
          <w:tcPr>
            <w:tcW w:w="1080" w:type="dxa"/>
            <w:hideMark/>
          </w:tcPr>
          <w:p w14:paraId="3CCC9F8B" w14:textId="0259141D"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K103N + P225H</w:t>
            </w:r>
          </w:p>
        </w:tc>
        <w:tc>
          <w:tcPr>
            <w:tcW w:w="1170" w:type="dxa"/>
            <w:hideMark/>
          </w:tcPr>
          <w:p w14:paraId="11116533" w14:textId="4D071AB5"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0.95 ± 0.87</w:t>
            </w:r>
          </w:p>
        </w:tc>
        <w:tc>
          <w:tcPr>
            <w:tcW w:w="1170" w:type="dxa"/>
            <w:hideMark/>
          </w:tcPr>
          <w:p w14:paraId="636416DD" w14:textId="072DAED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0.08 ± 0.85</w:t>
            </w:r>
          </w:p>
        </w:tc>
        <w:tc>
          <w:tcPr>
            <w:tcW w:w="1170" w:type="dxa"/>
            <w:hideMark/>
          </w:tcPr>
          <w:p w14:paraId="11CE051D" w14:textId="565C03C3"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-1.10 ± 1.17</w:t>
            </w:r>
          </w:p>
        </w:tc>
        <w:tc>
          <w:tcPr>
            <w:tcW w:w="1090" w:type="dxa"/>
          </w:tcPr>
          <w:p w14:paraId="27A6E16F" w14:textId="32C17C2D"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2.03 ± 0.85</w:t>
            </w:r>
          </w:p>
        </w:tc>
        <w:tc>
          <w:tcPr>
            <w:tcW w:w="1160" w:type="dxa"/>
          </w:tcPr>
          <w:p w14:paraId="48232622" w14:textId="0DEE317F"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-0.060 ± 0.031</w:t>
            </w:r>
          </w:p>
        </w:tc>
        <w:tc>
          <w:tcPr>
            <w:tcW w:w="1260" w:type="dxa"/>
          </w:tcPr>
          <w:p w14:paraId="2A67AAA0" w14:textId="05ED84DF"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1.76 ± 0.79</w:t>
            </w:r>
          </w:p>
        </w:tc>
      </w:tr>
      <w:tr w:rsidR="00B96F1D" w:rsidRPr="004100CF" w14:paraId="6B7B4D81" w14:textId="66099493" w:rsidTr="00B96F1D">
        <w:trPr>
          <w:trHeight w:val="350"/>
        </w:trPr>
        <w:tc>
          <w:tcPr>
            <w:tcW w:w="1260" w:type="dxa"/>
            <w:vMerge/>
            <w:tcBorders>
              <w:bottom w:val="single" w:sz="4" w:space="0" w:color="auto"/>
            </w:tcBorders>
          </w:tcPr>
          <w:p w14:paraId="092960A0" w14:textId="77777777" w:rsidR="00B96F1D" w:rsidRPr="004100CF" w:rsidRDefault="00B96F1D" w:rsidP="00B96F1D">
            <w:pPr>
              <w:spacing w:line="480" w:lineRule="auto"/>
              <w:rPr>
                <w:rFonts w:ascii="Times New Roman" w:hAnsi="Times New Roman" w:cs="Times New Roman"/>
                <w:color w:val="000000"/>
                <w:sz w:val="20"/>
                <w:szCs w:val="20"/>
              </w:rPr>
            </w:pPr>
          </w:p>
        </w:tc>
        <w:tc>
          <w:tcPr>
            <w:tcW w:w="1080" w:type="dxa"/>
            <w:tcBorders>
              <w:bottom w:val="single" w:sz="4" w:space="0" w:color="auto"/>
            </w:tcBorders>
          </w:tcPr>
          <w:p w14:paraId="136C95EC" w14:textId="77777777" w:rsidR="00B96F1D" w:rsidRPr="004100CF" w:rsidRDefault="00B96F1D" w:rsidP="00B96F1D">
            <w:pPr>
              <w:jc w:val="center"/>
              <w:rPr>
                <w:rFonts w:ascii="Times New Roman" w:hAnsi="Times New Roman" w:cs="Times New Roman"/>
                <w:sz w:val="20"/>
                <w:szCs w:val="20"/>
              </w:rPr>
            </w:pPr>
            <w:r w:rsidRPr="004100CF">
              <w:rPr>
                <w:rFonts w:ascii="Times New Roman" w:hAnsi="Times New Roman" w:cs="Times New Roman"/>
                <w:sz w:val="20"/>
                <w:szCs w:val="20"/>
              </w:rPr>
              <w:t>G190E</w:t>
            </w:r>
          </w:p>
        </w:tc>
        <w:tc>
          <w:tcPr>
            <w:tcW w:w="1170" w:type="dxa"/>
            <w:tcBorders>
              <w:bottom w:val="single" w:sz="4" w:space="0" w:color="auto"/>
            </w:tcBorders>
          </w:tcPr>
          <w:p w14:paraId="47C03043" w14:textId="4F930A9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5.74 ± 2.55</w:t>
            </w:r>
          </w:p>
        </w:tc>
        <w:tc>
          <w:tcPr>
            <w:tcW w:w="1170" w:type="dxa"/>
            <w:tcBorders>
              <w:bottom w:val="single" w:sz="4" w:space="0" w:color="auto"/>
            </w:tcBorders>
          </w:tcPr>
          <w:p w14:paraId="330856A7" w14:textId="57EDF16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4.01 ± 2.31</w:t>
            </w:r>
          </w:p>
        </w:tc>
        <w:tc>
          <w:tcPr>
            <w:tcW w:w="1170" w:type="dxa"/>
            <w:tcBorders>
              <w:bottom w:val="single" w:sz="4" w:space="0" w:color="auto"/>
            </w:tcBorders>
          </w:tcPr>
          <w:p w14:paraId="61F1161D" w14:textId="4A8867DB"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-0.16 ± 0.86</w:t>
            </w:r>
          </w:p>
        </w:tc>
        <w:tc>
          <w:tcPr>
            <w:tcW w:w="1090" w:type="dxa"/>
            <w:tcBorders>
              <w:bottom w:val="single" w:sz="4" w:space="0" w:color="auto"/>
            </w:tcBorders>
          </w:tcPr>
          <w:p w14:paraId="78EA4161" w14:textId="53224545"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1.92 ± 0.54</w:t>
            </w:r>
          </w:p>
        </w:tc>
        <w:tc>
          <w:tcPr>
            <w:tcW w:w="1160" w:type="dxa"/>
            <w:tcBorders>
              <w:bottom w:val="single" w:sz="4" w:space="0" w:color="auto"/>
            </w:tcBorders>
          </w:tcPr>
          <w:p w14:paraId="4DDB2730" w14:textId="73F0D7CB"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-0.024 ± 0.062</w:t>
            </w:r>
          </w:p>
        </w:tc>
        <w:tc>
          <w:tcPr>
            <w:tcW w:w="1260" w:type="dxa"/>
            <w:tcBorders>
              <w:bottom w:val="single" w:sz="4" w:space="0" w:color="auto"/>
            </w:tcBorders>
          </w:tcPr>
          <w:p w14:paraId="1895C8CC" w14:textId="79937111"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2.00 ± 1.77</w:t>
            </w:r>
          </w:p>
        </w:tc>
      </w:tr>
    </w:tbl>
    <w:p w14:paraId="74592B5F" w14:textId="0A46B6B5" w:rsidR="00F908FC" w:rsidRPr="004100CF" w:rsidRDefault="00F908FC" w:rsidP="00B96F1D">
      <w:pPr>
        <w:rPr>
          <w:rFonts w:ascii="Times New Roman" w:hAnsi="Times New Roman" w:cs="Times New Roman"/>
          <w:sz w:val="20"/>
          <w:szCs w:val="20"/>
        </w:rPr>
      </w:pPr>
      <w:r w:rsidRPr="004100CF">
        <w:rPr>
          <w:rFonts w:ascii="Times New Roman" w:hAnsi="Times New Roman" w:cs="Times New Roman"/>
          <w:sz w:val="20"/>
          <w:szCs w:val="20"/>
        </w:rPr>
        <w:t xml:space="preserve">*Values are averages over the last 20 frames (~10ns) of 3 independent 100ns </w:t>
      </w:r>
      <w:r w:rsidR="0095348C" w:rsidRPr="004100CF">
        <w:rPr>
          <w:rFonts w:ascii="Times New Roman" w:hAnsi="Times New Roman" w:cs="Times New Roman"/>
          <w:sz w:val="20"/>
          <w:szCs w:val="20"/>
        </w:rPr>
        <w:t>equilibrium</w:t>
      </w:r>
      <w:r w:rsidRPr="004100CF">
        <w:rPr>
          <w:rFonts w:ascii="Times New Roman" w:hAnsi="Times New Roman" w:cs="Times New Roman"/>
          <w:sz w:val="20"/>
          <w:szCs w:val="20"/>
        </w:rPr>
        <w:t xml:space="preserve"> MD simulations. Errors are computed as standard errors of the mean (SEM) over the 3 replicates.</w:t>
      </w:r>
    </w:p>
    <w:p w14:paraId="2A97FDE1" w14:textId="45422280" w:rsidR="00B96F1D" w:rsidRPr="004100CF" w:rsidRDefault="00B96F1D" w:rsidP="00F908FC">
      <w:pPr>
        <w:spacing w:after="240"/>
        <w:rPr>
          <w:rFonts w:ascii="Times New Roman" w:eastAsia="Times New Roman" w:hAnsi="Times New Roman" w:cs="Times New Roman"/>
          <w:sz w:val="21"/>
        </w:rPr>
      </w:pPr>
      <w:r w:rsidRPr="004100CF">
        <w:rPr>
          <w:rFonts w:ascii="Times New Roman" w:hAnsi="Times New Roman" w:cs="Times New Roman"/>
          <w:sz w:val="20"/>
          <w:szCs w:val="20"/>
        </w:rPr>
        <w:t>**</w:t>
      </w:r>
      <w:r w:rsidR="008437F2" w:rsidRPr="004100CF">
        <w:rPr>
          <w:rFonts w:ascii="Times New Roman" w:hAnsi="Times New Roman" w:cs="Times New Roman"/>
          <w:sz w:val="20"/>
          <w:szCs w:val="20"/>
        </w:rPr>
        <w:t xml:space="preserve">Values are </w:t>
      </w:r>
      <w:r w:rsidR="00DA2A0D" w:rsidRPr="004100CF">
        <w:rPr>
          <w:rFonts w:ascii="Times New Roman" w:hAnsi="Times New Roman" w:cs="Times New Roman"/>
          <w:sz w:val="20"/>
          <w:szCs w:val="20"/>
        </w:rPr>
        <w:t>BAR free energy estimates averaged over 3 independent replicates of the Nonequilibrium FEP protocol. Errors are computed as standard errors of the mean (SEM) over the 3 replicates.</w:t>
      </w:r>
    </w:p>
    <w:p w14:paraId="65ECB349" w14:textId="3AF862BD" w:rsidR="00523326" w:rsidRPr="004100CF" w:rsidRDefault="00627654" w:rsidP="000E15E2">
      <w:pPr>
        <w:rPr>
          <w:rFonts w:ascii="Times New Roman" w:hAnsi="Times New Roman" w:cs="Times New Roman"/>
        </w:rPr>
      </w:pPr>
      <w:r w:rsidRPr="004100CF">
        <w:rPr>
          <w:rFonts w:ascii="Times New Roman" w:hAnsi="Times New Roman" w:cs="Times New Roman"/>
        </w:rPr>
        <w:t xml:space="preserve">Second, </w:t>
      </w:r>
      <w:r w:rsidR="00A9487C" w:rsidRPr="004100CF">
        <w:rPr>
          <w:rFonts w:ascii="Times New Roman" w:hAnsi="Times New Roman" w:cs="Times New Roman"/>
        </w:rPr>
        <w:t>only 1</w:t>
      </w:r>
      <w:r w:rsidR="00CD7535" w:rsidRPr="004100CF">
        <w:rPr>
          <w:rFonts w:ascii="Times New Roman" w:hAnsi="Times New Roman" w:cs="Times New Roman"/>
        </w:rPr>
        <w:t xml:space="preserve"> </w:t>
      </w:r>
      <w:r w:rsidR="00A9487C" w:rsidRPr="004100CF">
        <w:rPr>
          <w:rFonts w:ascii="Times New Roman" w:hAnsi="Times New Roman" w:cs="Times New Roman"/>
        </w:rPr>
        <w:t>out of 4 Susceptible mutations</w:t>
      </w:r>
      <w:r w:rsidR="00EF12BD" w:rsidRPr="004100CF">
        <w:rPr>
          <w:rFonts w:ascii="Times New Roman" w:hAnsi="Times New Roman" w:cs="Times New Roman"/>
        </w:rPr>
        <w:t>, K103N,</w:t>
      </w:r>
      <w:r w:rsidR="00A9487C" w:rsidRPr="004100CF">
        <w:rPr>
          <w:rFonts w:ascii="Times New Roman" w:hAnsi="Times New Roman" w:cs="Times New Roman"/>
        </w:rPr>
        <w:t xml:space="preserve"> is predicted to have </w:t>
      </w:r>
      <w:r w:rsidR="00CD7535" w:rsidRPr="004100CF">
        <w:rPr>
          <w:rFonts w:ascii="Times New Roman" w:hAnsi="Times New Roman" w:cs="Times New Roman"/>
        </w:rPr>
        <w:t>weak impact on RT-DOR interface energy (∆∆</w:t>
      </w:r>
      <w:proofErr w:type="spellStart"/>
      <w:r w:rsidR="00CD7535" w:rsidRPr="004100CF">
        <w:rPr>
          <w:rFonts w:ascii="Times New Roman" w:hAnsi="Times New Roman" w:cs="Times New Roman"/>
        </w:rPr>
        <w:t>E</w:t>
      </w:r>
      <w:r w:rsidR="00CD7535" w:rsidRPr="004100CF">
        <w:rPr>
          <w:rFonts w:ascii="Times New Roman" w:hAnsi="Times New Roman" w:cs="Times New Roman"/>
          <w:vertAlign w:val="subscript"/>
        </w:rPr>
        <w:t>Total</w:t>
      </w:r>
      <w:proofErr w:type="spellEnd"/>
      <w:r w:rsidR="00CD7535" w:rsidRPr="004100CF">
        <w:rPr>
          <w:rFonts w:ascii="Times New Roman" w:hAnsi="Times New Roman" w:cs="Times New Roman"/>
        </w:rPr>
        <w:t xml:space="preserve"> &lt; 0.5kcal/mol within error). 8 out of 9 Resistant mutations are predicted to have strong impact on RT-DOR interface energy (∆∆</w:t>
      </w:r>
      <w:proofErr w:type="spellStart"/>
      <w:r w:rsidR="00CD7535" w:rsidRPr="004100CF">
        <w:rPr>
          <w:rFonts w:ascii="Times New Roman" w:hAnsi="Times New Roman" w:cs="Times New Roman"/>
        </w:rPr>
        <w:t>E</w:t>
      </w:r>
      <w:r w:rsidR="00CD7535" w:rsidRPr="004100CF">
        <w:rPr>
          <w:rFonts w:ascii="Times New Roman" w:hAnsi="Times New Roman" w:cs="Times New Roman"/>
          <w:vertAlign w:val="subscript"/>
        </w:rPr>
        <w:t>Total</w:t>
      </w:r>
      <w:proofErr w:type="spellEnd"/>
      <w:r w:rsidR="00CD7535" w:rsidRPr="004100CF">
        <w:rPr>
          <w:rFonts w:ascii="Times New Roman" w:hAnsi="Times New Roman" w:cs="Times New Roman"/>
        </w:rPr>
        <w:t xml:space="preserve"> &gt; 0.5kcal/mol within error) with K103N+M230L as the only exception. By the same logic, amongst the Uncertain phenotype, K103N+L100I and K103N+P225H are predicted to have weak impact on RT-DOR interface energy, while the rest are predicted to have a strong impact. O</w:t>
      </w:r>
      <w:r w:rsidR="00A9487C" w:rsidRPr="004100CF">
        <w:rPr>
          <w:rFonts w:ascii="Times New Roman" w:hAnsi="Times New Roman" w:cs="Times New Roman"/>
        </w:rPr>
        <w:t>ut of the 13 genotypes predicted to have positive ∆∆</w:t>
      </w:r>
      <w:proofErr w:type="spellStart"/>
      <w:r w:rsidR="00A9487C" w:rsidRPr="004100CF">
        <w:rPr>
          <w:rFonts w:ascii="Times New Roman" w:hAnsi="Times New Roman" w:cs="Times New Roman"/>
        </w:rPr>
        <w:t>E</w:t>
      </w:r>
      <w:r w:rsidR="00A9487C" w:rsidRPr="004100CF">
        <w:rPr>
          <w:rFonts w:ascii="Times New Roman" w:hAnsi="Times New Roman" w:cs="Times New Roman"/>
          <w:vertAlign w:val="subscript"/>
        </w:rPr>
        <w:t>Total</w:t>
      </w:r>
      <w:proofErr w:type="spellEnd"/>
      <w:r w:rsidR="00A9487C" w:rsidRPr="004100CF">
        <w:rPr>
          <w:rFonts w:ascii="Times New Roman" w:hAnsi="Times New Roman" w:cs="Times New Roman"/>
        </w:rPr>
        <w:t xml:space="preserve"> (within error), 9 of them involve ∆∆</w:t>
      </w:r>
      <w:proofErr w:type="spellStart"/>
      <w:r w:rsidR="00A9487C" w:rsidRPr="004100CF">
        <w:rPr>
          <w:rFonts w:ascii="Times New Roman" w:hAnsi="Times New Roman" w:cs="Times New Roman"/>
        </w:rPr>
        <w:t>E</w:t>
      </w:r>
      <w:r w:rsidR="00A9487C" w:rsidRPr="004100CF">
        <w:rPr>
          <w:rFonts w:ascii="Times New Roman" w:hAnsi="Times New Roman" w:cs="Times New Roman"/>
          <w:vertAlign w:val="subscript"/>
        </w:rPr>
        <w:t>vdW</w:t>
      </w:r>
      <w:proofErr w:type="spellEnd"/>
      <w:r w:rsidR="00A9487C" w:rsidRPr="004100CF">
        <w:rPr>
          <w:rFonts w:ascii="Times New Roman" w:hAnsi="Times New Roman" w:cs="Times New Roman"/>
        </w:rPr>
        <w:t xml:space="preserve"> as the dominant contribution. In the remaining 4 genotypes, ∆∆E</w:t>
      </w:r>
      <w:r w:rsidR="00A9487C" w:rsidRPr="004100CF">
        <w:rPr>
          <w:rFonts w:ascii="Times New Roman" w:hAnsi="Times New Roman" w:cs="Times New Roman"/>
          <w:vertAlign w:val="subscript"/>
        </w:rPr>
        <w:t>GB</w:t>
      </w:r>
      <w:r w:rsidR="00A9487C" w:rsidRPr="004100CF">
        <w:rPr>
          <w:rFonts w:ascii="Times New Roman" w:hAnsi="Times New Roman" w:cs="Times New Roman"/>
        </w:rPr>
        <w:t xml:space="preserve"> has the major contribution. ∆∆</w:t>
      </w:r>
      <w:proofErr w:type="spellStart"/>
      <w:r w:rsidR="00A9487C" w:rsidRPr="004100CF">
        <w:rPr>
          <w:rFonts w:ascii="Times New Roman" w:hAnsi="Times New Roman" w:cs="Times New Roman"/>
        </w:rPr>
        <w:t>E</w:t>
      </w:r>
      <w:r w:rsidR="00A9487C" w:rsidRPr="004100CF">
        <w:rPr>
          <w:rFonts w:ascii="Times New Roman" w:hAnsi="Times New Roman" w:cs="Times New Roman"/>
          <w:vertAlign w:val="subscript"/>
        </w:rPr>
        <w:t>elec</w:t>
      </w:r>
      <w:proofErr w:type="spellEnd"/>
      <w:r w:rsidR="00A9487C" w:rsidRPr="004100CF">
        <w:rPr>
          <w:rFonts w:ascii="Times New Roman" w:hAnsi="Times New Roman" w:cs="Times New Roman"/>
        </w:rPr>
        <w:t xml:space="preserve"> exhibits </w:t>
      </w:r>
      <w:r w:rsidR="00A9487C" w:rsidRPr="004100CF">
        <w:rPr>
          <w:rFonts w:ascii="Times New Roman" w:hAnsi="Times New Roman" w:cs="Times New Roman"/>
          <w:i/>
          <w:iCs/>
        </w:rPr>
        <w:t xml:space="preserve">negative </w:t>
      </w:r>
      <w:r w:rsidR="00A9487C" w:rsidRPr="004100CF">
        <w:rPr>
          <w:rFonts w:ascii="Times New Roman" w:hAnsi="Times New Roman" w:cs="Times New Roman"/>
        </w:rPr>
        <w:t>values in case of 10 out of the 18 genotypes, while ∆∆E</w:t>
      </w:r>
      <w:r w:rsidR="00A9487C" w:rsidRPr="004100CF">
        <w:rPr>
          <w:rFonts w:ascii="Times New Roman" w:hAnsi="Times New Roman" w:cs="Times New Roman"/>
          <w:vertAlign w:val="subscript"/>
        </w:rPr>
        <w:t>SA</w:t>
      </w:r>
      <w:r w:rsidR="00A9487C" w:rsidRPr="004100CF">
        <w:rPr>
          <w:rFonts w:ascii="Times New Roman" w:hAnsi="Times New Roman" w:cs="Times New Roman"/>
        </w:rPr>
        <w:t xml:space="preserve"> contributions are universally insignificant.</w:t>
      </w:r>
    </w:p>
    <w:p w14:paraId="4680A441" w14:textId="77777777" w:rsidR="006F69F6" w:rsidRPr="004100CF" w:rsidRDefault="006F69F6" w:rsidP="000E15E2">
      <w:pPr>
        <w:rPr>
          <w:rFonts w:ascii="Times New Roman" w:hAnsi="Times New Roman" w:cs="Times New Roman"/>
        </w:rPr>
      </w:pPr>
    </w:p>
    <w:p w14:paraId="7A0BD2C1" w14:textId="3E83ABC9" w:rsidR="006F69F6" w:rsidRPr="004100CF" w:rsidRDefault="006F69F6" w:rsidP="00AB26F7">
      <w:pPr>
        <w:spacing w:after="240"/>
        <w:rPr>
          <w:rFonts w:ascii="Times New Roman" w:hAnsi="Times New Roman" w:cs="Times New Roman"/>
        </w:rPr>
      </w:pPr>
      <w:r w:rsidRPr="004100CF">
        <w:rPr>
          <w:rFonts w:ascii="Times New Roman" w:hAnsi="Times New Roman" w:cs="Times New Roman"/>
        </w:rPr>
        <w:t xml:space="preserve">Third, </w:t>
      </w:r>
      <w:r w:rsidR="00EF12BD" w:rsidRPr="004100CF">
        <w:rPr>
          <w:rFonts w:ascii="Times New Roman" w:hAnsi="Times New Roman" w:cs="Times New Roman"/>
        </w:rPr>
        <w:t xml:space="preserve">while </w:t>
      </w:r>
      <w:r w:rsidR="00A9487C" w:rsidRPr="004100CF">
        <w:rPr>
          <w:rFonts w:ascii="Times New Roman" w:hAnsi="Times New Roman" w:cs="Times New Roman"/>
        </w:rPr>
        <w:t>∆∆</w:t>
      </w:r>
      <w:proofErr w:type="spellStart"/>
      <w:r w:rsidR="00A9487C" w:rsidRPr="004100CF">
        <w:rPr>
          <w:rFonts w:ascii="Times New Roman" w:hAnsi="Times New Roman" w:cs="Times New Roman"/>
        </w:rPr>
        <w:t>G</w:t>
      </w:r>
      <w:r w:rsidR="00A9487C" w:rsidRPr="004100CF">
        <w:rPr>
          <w:rFonts w:ascii="Times New Roman" w:hAnsi="Times New Roman" w:cs="Times New Roman"/>
          <w:vertAlign w:val="subscript"/>
        </w:rPr>
        <w:t>bind</w:t>
      </w:r>
      <w:proofErr w:type="spellEnd"/>
      <w:r w:rsidR="00A9487C" w:rsidRPr="004100CF">
        <w:rPr>
          <w:rFonts w:ascii="Times New Roman" w:hAnsi="Times New Roman" w:cs="Times New Roman"/>
        </w:rPr>
        <w:t xml:space="preserve"> and ∆∆</w:t>
      </w:r>
      <w:proofErr w:type="spellStart"/>
      <w:r w:rsidR="00A9487C" w:rsidRPr="004100CF">
        <w:rPr>
          <w:rFonts w:ascii="Times New Roman" w:hAnsi="Times New Roman" w:cs="Times New Roman"/>
        </w:rPr>
        <w:t>E</w:t>
      </w:r>
      <w:r w:rsidR="00A9487C" w:rsidRPr="004100CF">
        <w:rPr>
          <w:rFonts w:ascii="Times New Roman" w:hAnsi="Times New Roman" w:cs="Times New Roman"/>
          <w:vertAlign w:val="subscript"/>
        </w:rPr>
        <w:t>Total</w:t>
      </w:r>
      <w:proofErr w:type="spellEnd"/>
      <w:r w:rsidR="00A9487C" w:rsidRPr="004100CF">
        <w:rPr>
          <w:rFonts w:ascii="Times New Roman" w:hAnsi="Times New Roman" w:cs="Times New Roman"/>
        </w:rPr>
        <w:t xml:space="preserve"> exhibit weak but statistically significant correlation with each other (R</w:t>
      </w:r>
      <w:r w:rsidR="00A9487C" w:rsidRPr="004100CF">
        <w:rPr>
          <w:rFonts w:ascii="Times New Roman" w:hAnsi="Times New Roman" w:cs="Times New Roman"/>
          <w:vertAlign w:val="superscript"/>
        </w:rPr>
        <w:t xml:space="preserve">2 </w:t>
      </w:r>
      <w:r w:rsidR="00A9487C" w:rsidRPr="004100CF">
        <w:rPr>
          <w:rFonts w:ascii="Times New Roman" w:hAnsi="Times New Roman" w:cs="Times New Roman"/>
        </w:rPr>
        <w:t>= 0.25, p = 0.03)</w:t>
      </w:r>
      <w:r w:rsidR="00EF12BD" w:rsidRPr="004100CF">
        <w:rPr>
          <w:rFonts w:ascii="Times New Roman" w:hAnsi="Times New Roman" w:cs="Times New Roman"/>
        </w:rPr>
        <w:t xml:space="preserve">, </w:t>
      </w:r>
      <w:r w:rsidR="00327F04" w:rsidRPr="004100CF">
        <w:rPr>
          <w:rFonts w:ascii="Times New Roman" w:hAnsi="Times New Roman" w:cs="Times New Roman"/>
        </w:rPr>
        <w:t>both of these metrics show no correlation with DOR fold-change values observed experimentally - ∆∆</w:t>
      </w:r>
      <w:proofErr w:type="spellStart"/>
      <w:r w:rsidR="00327F04" w:rsidRPr="004100CF">
        <w:rPr>
          <w:rFonts w:ascii="Times New Roman" w:hAnsi="Times New Roman" w:cs="Times New Roman"/>
        </w:rPr>
        <w:t>G</w:t>
      </w:r>
      <w:r w:rsidR="00327F04" w:rsidRPr="004100CF">
        <w:rPr>
          <w:rFonts w:ascii="Times New Roman" w:hAnsi="Times New Roman" w:cs="Times New Roman"/>
          <w:vertAlign w:val="subscript"/>
        </w:rPr>
        <w:t>bind</w:t>
      </w:r>
      <w:proofErr w:type="spellEnd"/>
      <w:r w:rsidR="00A9487C" w:rsidRPr="004100CF">
        <w:rPr>
          <w:rFonts w:ascii="Times New Roman" w:hAnsi="Times New Roman" w:cs="Times New Roman"/>
        </w:rPr>
        <w:t xml:space="preserve"> </w:t>
      </w:r>
      <w:r w:rsidR="00327F04" w:rsidRPr="004100CF">
        <w:rPr>
          <w:rFonts w:ascii="Times New Roman" w:hAnsi="Times New Roman" w:cs="Times New Roman"/>
        </w:rPr>
        <w:t>vs log</w:t>
      </w:r>
      <w:r w:rsidR="00327F04" w:rsidRPr="004100CF">
        <w:rPr>
          <w:rFonts w:ascii="Times New Roman" w:hAnsi="Times New Roman" w:cs="Times New Roman"/>
          <w:vertAlign w:val="subscript"/>
        </w:rPr>
        <w:t>10</w:t>
      </w:r>
      <w:r w:rsidR="00327F04" w:rsidRPr="004100CF">
        <w:rPr>
          <w:rFonts w:ascii="Times New Roman" w:hAnsi="Times New Roman" w:cs="Times New Roman"/>
        </w:rPr>
        <w:t>(Fold-change) (R</w:t>
      </w:r>
      <w:r w:rsidR="00327F04" w:rsidRPr="004100CF">
        <w:rPr>
          <w:rFonts w:ascii="Times New Roman" w:hAnsi="Times New Roman" w:cs="Times New Roman"/>
          <w:vertAlign w:val="superscript"/>
        </w:rPr>
        <w:t>2</w:t>
      </w:r>
      <w:r w:rsidR="00327F04" w:rsidRPr="004100CF">
        <w:rPr>
          <w:rFonts w:ascii="Times New Roman" w:hAnsi="Times New Roman" w:cs="Times New Roman"/>
        </w:rPr>
        <w:t xml:space="preserve"> = 0.09, p = 0.21) and ∆∆</w:t>
      </w:r>
      <w:proofErr w:type="spellStart"/>
      <w:r w:rsidR="00327F04" w:rsidRPr="004100CF">
        <w:rPr>
          <w:rFonts w:ascii="Times New Roman" w:hAnsi="Times New Roman" w:cs="Times New Roman"/>
        </w:rPr>
        <w:t>E</w:t>
      </w:r>
      <w:r w:rsidR="00327F04" w:rsidRPr="004100CF">
        <w:rPr>
          <w:rFonts w:ascii="Times New Roman" w:hAnsi="Times New Roman" w:cs="Times New Roman"/>
          <w:vertAlign w:val="subscript"/>
        </w:rPr>
        <w:t>Total</w:t>
      </w:r>
      <w:proofErr w:type="spellEnd"/>
      <w:r w:rsidR="00327F04" w:rsidRPr="004100CF">
        <w:rPr>
          <w:rFonts w:ascii="Times New Roman" w:hAnsi="Times New Roman" w:cs="Times New Roman"/>
        </w:rPr>
        <w:t xml:space="preserve"> vs log</w:t>
      </w:r>
      <w:r w:rsidR="00327F04" w:rsidRPr="004100CF">
        <w:rPr>
          <w:rFonts w:ascii="Times New Roman" w:hAnsi="Times New Roman" w:cs="Times New Roman"/>
          <w:vertAlign w:val="subscript"/>
        </w:rPr>
        <w:t>10</w:t>
      </w:r>
      <w:r w:rsidR="00327F04" w:rsidRPr="004100CF">
        <w:rPr>
          <w:rFonts w:ascii="Times New Roman" w:hAnsi="Times New Roman" w:cs="Times New Roman"/>
        </w:rPr>
        <w:t>(Fold-change) (R</w:t>
      </w:r>
      <w:r w:rsidR="00327F04" w:rsidRPr="004100CF">
        <w:rPr>
          <w:rFonts w:ascii="Times New Roman" w:hAnsi="Times New Roman" w:cs="Times New Roman"/>
          <w:vertAlign w:val="superscript"/>
        </w:rPr>
        <w:t>2</w:t>
      </w:r>
      <w:r w:rsidR="00327F04" w:rsidRPr="004100CF">
        <w:rPr>
          <w:rFonts w:ascii="Times New Roman" w:hAnsi="Times New Roman" w:cs="Times New Roman"/>
        </w:rPr>
        <w:t xml:space="preserve"> = 0.02, p = 0.55). However, a</w:t>
      </w:r>
      <w:r w:rsidR="00A9487C" w:rsidRPr="004100CF">
        <w:rPr>
          <w:rFonts w:ascii="Times New Roman" w:hAnsi="Times New Roman" w:cs="Times New Roman"/>
        </w:rPr>
        <w:t>mongst the set of “Susceptible” OR “Resistant” phenotype mutations</w:t>
      </w:r>
      <w:r w:rsidR="00672978" w:rsidRPr="004100CF">
        <w:rPr>
          <w:rFonts w:ascii="Times New Roman" w:hAnsi="Times New Roman" w:cs="Times New Roman"/>
        </w:rPr>
        <w:t xml:space="preserve"> (i.e. dropping the Uncertain phenotype set)</w:t>
      </w:r>
      <w:r w:rsidR="00A9487C" w:rsidRPr="004100CF">
        <w:rPr>
          <w:rFonts w:ascii="Times New Roman" w:hAnsi="Times New Roman" w:cs="Times New Roman"/>
        </w:rPr>
        <w:t>, ∆∆</w:t>
      </w:r>
      <w:proofErr w:type="spellStart"/>
      <w:r w:rsidR="00A9487C" w:rsidRPr="004100CF">
        <w:rPr>
          <w:rFonts w:ascii="Times New Roman" w:hAnsi="Times New Roman" w:cs="Times New Roman"/>
        </w:rPr>
        <w:t>G</w:t>
      </w:r>
      <w:r w:rsidR="00A9487C" w:rsidRPr="004100CF">
        <w:rPr>
          <w:rFonts w:ascii="Times New Roman" w:hAnsi="Times New Roman" w:cs="Times New Roman"/>
          <w:vertAlign w:val="subscript"/>
        </w:rPr>
        <w:t>bind</w:t>
      </w:r>
      <w:proofErr w:type="spellEnd"/>
      <w:r w:rsidR="00A9487C" w:rsidRPr="004100CF">
        <w:rPr>
          <w:rFonts w:ascii="Times New Roman" w:hAnsi="Times New Roman" w:cs="Times New Roman"/>
        </w:rPr>
        <w:t xml:space="preserve"> exhibits weak correlation with log</w:t>
      </w:r>
      <w:r w:rsidR="00A9487C" w:rsidRPr="004100CF">
        <w:rPr>
          <w:rFonts w:ascii="Times New Roman" w:hAnsi="Times New Roman" w:cs="Times New Roman"/>
          <w:vertAlign w:val="subscript"/>
        </w:rPr>
        <w:t>10</w:t>
      </w:r>
      <w:r w:rsidR="00A9487C" w:rsidRPr="004100CF">
        <w:rPr>
          <w:rFonts w:ascii="Times New Roman" w:hAnsi="Times New Roman" w:cs="Times New Roman"/>
        </w:rPr>
        <w:t>(Fold-change) (R</w:t>
      </w:r>
      <w:r w:rsidR="00A9487C" w:rsidRPr="004100CF">
        <w:rPr>
          <w:rFonts w:ascii="Times New Roman" w:hAnsi="Times New Roman" w:cs="Times New Roman"/>
          <w:vertAlign w:val="superscript"/>
        </w:rPr>
        <w:t>2</w:t>
      </w:r>
      <w:r w:rsidR="00A9487C" w:rsidRPr="004100CF">
        <w:rPr>
          <w:rFonts w:ascii="Times New Roman" w:hAnsi="Times New Roman" w:cs="Times New Roman"/>
        </w:rPr>
        <w:t xml:space="preserve"> = 0.26, p = 0.07), while ∆∆</w:t>
      </w:r>
      <w:proofErr w:type="spellStart"/>
      <w:r w:rsidR="00A9487C" w:rsidRPr="004100CF">
        <w:rPr>
          <w:rFonts w:ascii="Times New Roman" w:hAnsi="Times New Roman" w:cs="Times New Roman"/>
        </w:rPr>
        <w:t>E</w:t>
      </w:r>
      <w:r w:rsidR="00A9487C" w:rsidRPr="004100CF">
        <w:rPr>
          <w:rFonts w:ascii="Times New Roman" w:hAnsi="Times New Roman" w:cs="Times New Roman"/>
          <w:vertAlign w:val="subscript"/>
        </w:rPr>
        <w:t>Total</w:t>
      </w:r>
      <w:proofErr w:type="spellEnd"/>
      <w:r w:rsidR="00A9487C" w:rsidRPr="004100CF">
        <w:rPr>
          <w:rFonts w:ascii="Times New Roman" w:hAnsi="Times New Roman" w:cs="Times New Roman"/>
        </w:rPr>
        <w:t xml:space="preserve"> </w:t>
      </w:r>
      <w:r w:rsidR="00327F04" w:rsidRPr="004100CF">
        <w:rPr>
          <w:rFonts w:ascii="Times New Roman" w:hAnsi="Times New Roman" w:cs="Times New Roman"/>
        </w:rPr>
        <w:t xml:space="preserve">still </w:t>
      </w:r>
      <w:r w:rsidR="00A9487C" w:rsidRPr="004100CF">
        <w:rPr>
          <w:rFonts w:ascii="Times New Roman" w:hAnsi="Times New Roman" w:cs="Times New Roman"/>
        </w:rPr>
        <w:t>shows no correlation with log</w:t>
      </w:r>
      <w:r w:rsidR="00A9487C" w:rsidRPr="004100CF">
        <w:rPr>
          <w:rFonts w:ascii="Times New Roman" w:hAnsi="Times New Roman" w:cs="Times New Roman"/>
          <w:vertAlign w:val="subscript"/>
        </w:rPr>
        <w:t>10</w:t>
      </w:r>
      <w:r w:rsidR="00A9487C" w:rsidRPr="004100CF">
        <w:rPr>
          <w:rFonts w:ascii="Times New Roman" w:hAnsi="Times New Roman" w:cs="Times New Roman"/>
        </w:rPr>
        <w:t>(Fold-change) (R</w:t>
      </w:r>
      <w:r w:rsidR="00A9487C" w:rsidRPr="004100CF">
        <w:rPr>
          <w:rFonts w:ascii="Times New Roman" w:hAnsi="Times New Roman" w:cs="Times New Roman"/>
          <w:vertAlign w:val="superscript"/>
        </w:rPr>
        <w:t>2</w:t>
      </w:r>
      <w:r w:rsidR="00A9487C" w:rsidRPr="004100CF">
        <w:rPr>
          <w:rFonts w:ascii="Times New Roman" w:hAnsi="Times New Roman" w:cs="Times New Roman"/>
        </w:rPr>
        <w:t xml:space="preserve"> = 0.05, p = 0.45).</w:t>
      </w:r>
    </w:p>
    <w:p w14:paraId="65F811FC" w14:textId="3346D243" w:rsidR="002975D3" w:rsidRPr="004100CF" w:rsidRDefault="002975D3" w:rsidP="002975D3">
      <w:pPr>
        <w:rPr>
          <w:rFonts w:ascii="Times New Roman" w:hAnsi="Times New Roman" w:cs="Times New Roman"/>
          <w:b/>
          <w:bCs/>
          <w:sz w:val="28"/>
          <w:szCs w:val="22"/>
        </w:rPr>
      </w:pPr>
      <w:r w:rsidRPr="004100CF">
        <w:rPr>
          <w:rFonts w:ascii="Times New Roman" w:hAnsi="Times New Roman" w:cs="Times New Roman"/>
          <w:b/>
          <w:bCs/>
          <w:sz w:val="28"/>
          <w:szCs w:val="22"/>
        </w:rPr>
        <w:t>Discussion</w:t>
      </w:r>
    </w:p>
    <w:p w14:paraId="63DD6C13" w14:textId="2E14BDD6" w:rsidR="00D51091" w:rsidRPr="004100CF" w:rsidRDefault="00D51091" w:rsidP="00D51091">
      <w:pPr>
        <w:spacing w:after="240"/>
        <w:rPr>
          <w:rFonts w:ascii="Times New Roman" w:hAnsi="Times New Roman" w:cs="Times New Roman"/>
        </w:rPr>
      </w:pPr>
      <w:r w:rsidRPr="004100CF">
        <w:rPr>
          <w:rFonts w:ascii="Times New Roman" w:hAnsi="Times New Roman" w:cs="Times New Roman"/>
          <w:szCs w:val="24"/>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and combinations including </w:t>
      </w:r>
      <w:r w:rsidR="001B25CB" w:rsidRPr="004100CF">
        <w:rPr>
          <w:rFonts w:ascii="Times New Roman" w:hAnsi="Times New Roman" w:cs="Times New Roman"/>
          <w:szCs w:val="24"/>
        </w:rPr>
        <w:t xml:space="preserve">A98G+F227C, </w:t>
      </w:r>
      <w:r w:rsidRPr="004100CF">
        <w:rPr>
          <w:rFonts w:ascii="Times New Roman" w:hAnsi="Times New Roman" w:cs="Times New Roman"/>
          <w:szCs w:val="24"/>
        </w:rPr>
        <w:t xml:space="preserve">V106I+F227C, V106A+F227L, </w:t>
      </w:r>
      <w:r w:rsidR="001B25CB" w:rsidRPr="004100CF">
        <w:rPr>
          <w:rFonts w:ascii="Times New Roman" w:hAnsi="Times New Roman" w:cs="Times New Roman"/>
          <w:szCs w:val="24"/>
        </w:rPr>
        <w:t xml:space="preserve">V106A+P225H, </w:t>
      </w:r>
      <w:r w:rsidRPr="004100CF">
        <w:rPr>
          <w:rFonts w:ascii="Times New Roman" w:hAnsi="Times New Roman" w:cs="Times New Roman"/>
          <w:szCs w:val="24"/>
        </w:rPr>
        <w:t>V106A+L234I</w:t>
      </w:r>
      <w:r w:rsidR="001B25CB" w:rsidRPr="004100CF">
        <w:rPr>
          <w:rFonts w:ascii="Times New Roman" w:hAnsi="Times New Roman" w:cs="Times New Roman"/>
          <w:szCs w:val="24"/>
        </w:rPr>
        <w:t>, and K103N+M230L</w:t>
      </w:r>
      <w:r w:rsidRPr="004100CF">
        <w:rPr>
          <w:rFonts w:ascii="Times New Roman" w:hAnsi="Times New Roman" w:cs="Times New Roman"/>
          <w:szCs w:val="24"/>
        </w:rPr>
        <w:t xml:space="preserve">, now recur across phenotypic studies, </w:t>
      </w:r>
      <w:r w:rsidRPr="004100CF">
        <w:rPr>
          <w:rFonts w:ascii="Times New Roman" w:hAnsi="Times New Roman" w:cs="Times New Roman"/>
          <w:i/>
          <w:iCs/>
          <w:szCs w:val="24"/>
        </w:rPr>
        <w:t>in vitro</w:t>
      </w:r>
      <w:r w:rsidRPr="004100CF">
        <w:rPr>
          <w:rFonts w:ascii="Times New Roman" w:hAnsi="Times New Roman" w:cs="Times New Roman"/>
          <w:szCs w:val="24"/>
        </w:rPr>
        <w:t xml:space="preserve"> selection experiments, and clinical trial datasets. Despite these observations, publicly available isolate-level susceptibility data for DOR remain sparse. As of April 2026, Stanford HIVDB indexes only 134 DOR-associated isolates tested by the </w:t>
      </w:r>
      <w:proofErr w:type="spellStart"/>
      <w:r w:rsidRPr="004100CF">
        <w:rPr>
          <w:rFonts w:ascii="Times New Roman" w:hAnsi="Times New Roman" w:cs="Times New Roman"/>
          <w:szCs w:val="24"/>
        </w:rPr>
        <w:t>PhenoSense</w:t>
      </w:r>
      <w:proofErr w:type="spellEnd"/>
      <w:r w:rsidRPr="004100CF">
        <w:rPr>
          <w:rFonts w:ascii="Times New Roman" w:hAnsi="Times New Roman" w:cs="Times New Roman"/>
          <w:szCs w:val="24"/>
        </w:rPr>
        <w:t xml:space="preserve"> assay, compared with 330 for RPV and 1,193 for ETR. This mismatch between growing clinical relevance and limited public phenotype data for DOR resistance motivated the present study.</w:t>
      </w:r>
      <w:r w:rsidRPr="004100CF">
        <w:rPr>
          <w:rFonts w:ascii="Times New Roman" w:hAnsi="Times New Roman" w:cs="Times New Roman"/>
        </w:rPr>
        <w:t xml:space="preserve"> </w:t>
      </w:r>
    </w:p>
    <w:p w14:paraId="665BE3FA" w14:textId="55E0F7B9" w:rsidR="00D51091" w:rsidRPr="004100CF" w:rsidRDefault="001B25CB" w:rsidP="00D51091">
      <w:pPr>
        <w:spacing w:after="240"/>
        <w:rPr>
          <w:rFonts w:ascii="Times New Roman" w:hAnsi="Times New Roman" w:cs="Times New Roman"/>
        </w:rPr>
      </w:pPr>
      <w:bookmarkStart w:id="1" w:name="_Hlk238122711"/>
      <w:r w:rsidRPr="004100CF">
        <w:rPr>
          <w:rFonts w:ascii="Times New Roman" w:hAnsi="Times New Roman" w:cs="Times New Roman"/>
        </w:rPr>
        <w:t xml:space="preserve">We asked whether explicit-solvent MD simulations of RT-DOR complex could provide an </w:t>
      </w:r>
      <w:r w:rsidRPr="004100CF">
        <w:rPr>
          <w:rFonts w:ascii="Times New Roman" w:hAnsi="Times New Roman" w:cs="Times New Roman"/>
          <w:i/>
          <w:iCs/>
        </w:rPr>
        <w:t xml:space="preserve">in silico </w:t>
      </w:r>
      <w:r w:rsidRPr="004100CF">
        <w:rPr>
          <w:rFonts w:ascii="Times New Roman" w:hAnsi="Times New Roman" w:cs="Times New Roman"/>
        </w:rPr>
        <w:t xml:space="preserve">framework for comparison with </w:t>
      </w:r>
      <w:r w:rsidRPr="004100CF">
        <w:rPr>
          <w:rFonts w:ascii="Times New Roman" w:hAnsi="Times New Roman" w:cs="Times New Roman"/>
          <w:i/>
          <w:iCs/>
        </w:rPr>
        <w:t xml:space="preserve">in vitro </w:t>
      </w:r>
      <w:r w:rsidRPr="004100CF">
        <w:rPr>
          <w:rFonts w:ascii="Times New Roman" w:hAnsi="Times New Roman" w:cs="Times New Roman"/>
        </w:rPr>
        <w:t xml:space="preserve">susceptibility data. </w:t>
      </w:r>
      <w:r w:rsidR="0045260D" w:rsidRPr="004100CF">
        <w:rPr>
          <w:rFonts w:ascii="Times New Roman" w:hAnsi="Times New Roman" w:cs="Times New Roman"/>
        </w:rPr>
        <w:t>Specifically, we used both MM/GBSA-based absolute energy computation from equilibrium MD simulations and a</w:t>
      </w:r>
      <w:r w:rsidR="00F77785" w:rsidRPr="004100CF">
        <w:rPr>
          <w:rFonts w:ascii="Times New Roman" w:hAnsi="Times New Roman" w:cs="Times New Roman"/>
        </w:rPr>
        <w:t xml:space="preserve"> recently developed</w:t>
      </w:r>
      <w:r w:rsidR="00F77785" w:rsidRPr="004100CF">
        <w:rPr>
          <w:rFonts w:ascii="Times New Roman" w:hAnsi="Times New Roman" w:cs="Times New Roman"/>
        </w:rPr>
        <w:fldChar w:fldCharType="begin"/>
      </w:r>
      <w:r w:rsidR="00F77785" w:rsidRPr="004100CF">
        <w:rPr>
          <w:rFonts w:ascii="Times New Roman" w:hAnsi="Times New Roman" w:cs="Times New Roman"/>
        </w:rPr>
        <w:instrText xml:space="preserve"> ADDIN ZOTERO_ITEM CSL_CITATION {"citationID":"3aC1ecTa","properties":{"unsorted":true,"formattedCitation":"\\super 30,31\\nosupersub{}","plainCitation":"30,31","noteIndex":0},"citationItems":[{"id":257,"uris":["http://zotero.org/users/19404620/items/3AGKTMV5"],"itemData":{"id":257,"type":"article-journal","abstract":"This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rsidR="00F77785" w:rsidRPr="004100CF">
        <w:rPr>
          <w:rFonts w:ascii="Times New Roman" w:hAnsi="Times New Roman" w:cs="Times New Roman"/>
        </w:rPr>
        <w:fldChar w:fldCharType="separate"/>
      </w:r>
      <w:r w:rsidR="00F77785" w:rsidRPr="004100CF">
        <w:rPr>
          <w:rFonts w:ascii="Times New Roman" w:hAnsi="Times New Roman" w:cs="Times New Roman"/>
          <w:szCs w:val="24"/>
          <w:vertAlign w:val="superscript"/>
        </w:rPr>
        <w:t>30,31</w:t>
      </w:r>
      <w:r w:rsidR="00F77785" w:rsidRPr="004100CF">
        <w:rPr>
          <w:rFonts w:ascii="Times New Roman" w:hAnsi="Times New Roman" w:cs="Times New Roman"/>
        </w:rPr>
        <w:fldChar w:fldCharType="end"/>
      </w:r>
      <w:r w:rsidR="0045260D" w:rsidRPr="004100CF">
        <w:rPr>
          <w:rFonts w:ascii="Times New Roman" w:hAnsi="Times New Roman" w:cs="Times New Roman"/>
        </w:rPr>
        <w:t xml:space="preserve"> alchemical </w:t>
      </w:r>
      <w:r w:rsidR="00200876" w:rsidRPr="004100CF">
        <w:rPr>
          <w:rFonts w:ascii="Times New Roman" w:hAnsi="Times New Roman" w:cs="Times New Roman"/>
        </w:rPr>
        <w:t>FEP</w:t>
      </w:r>
      <w:r w:rsidR="0045260D" w:rsidRPr="004100CF">
        <w:rPr>
          <w:rFonts w:ascii="Times New Roman" w:hAnsi="Times New Roman" w:cs="Times New Roman"/>
        </w:rPr>
        <w:t xml:space="preserve"> </w:t>
      </w:r>
      <w:r w:rsidR="00200876" w:rsidRPr="004100CF">
        <w:rPr>
          <w:rFonts w:ascii="Times New Roman" w:hAnsi="Times New Roman" w:cs="Times New Roman"/>
        </w:rPr>
        <w:t>method</w:t>
      </w:r>
      <w:r w:rsidR="0045260D" w:rsidRPr="004100CF">
        <w:rPr>
          <w:rFonts w:ascii="Times New Roman" w:hAnsi="Times New Roman" w:cs="Times New Roman"/>
        </w:rPr>
        <w:t xml:space="preserve"> </w:t>
      </w:r>
      <w:r w:rsidR="00200876" w:rsidRPr="004100CF">
        <w:rPr>
          <w:rFonts w:ascii="Times New Roman" w:hAnsi="Times New Roman" w:cs="Times New Roman"/>
        </w:rPr>
        <w:t>that uses nonequilibrium switching</w:t>
      </w:r>
      <w:r w:rsidR="0045260D" w:rsidRPr="004100CF">
        <w:rPr>
          <w:rFonts w:ascii="Times New Roman" w:hAnsi="Times New Roman" w:cs="Times New Roman"/>
        </w:rPr>
        <w:t xml:space="preserve">. </w:t>
      </w:r>
      <w:bookmarkEnd w:id="1"/>
      <w:r w:rsidRPr="004100CF">
        <w:rPr>
          <w:rFonts w:ascii="Times New Roman" w:hAnsi="Times New Roman" w:cs="Times New Roman"/>
        </w:rPr>
        <w:t>This choice was motivated by prior studies that successfully used such free energy calculations from MD simulations to interrogate resistance mutations in infectious diseases,</w:t>
      </w:r>
      <w:r w:rsidR="00AC54E3" w:rsidRPr="004100CF">
        <w:rPr>
          <w:rFonts w:ascii="Times New Roman" w:hAnsi="Times New Roman" w:cs="Times New Roman"/>
        </w:rPr>
        <w:fldChar w:fldCharType="begin"/>
      </w:r>
      <w:r w:rsidR="00AC54E3" w:rsidRPr="004100CF">
        <w:rPr>
          <w:rFonts w:ascii="Times New Roman" w:hAnsi="Times New Roman" w:cs="Times New Roman"/>
        </w:rPr>
        <w:instrText xml:space="preserve"> ADDIN ZOTERO_ITEM CSL_CITATION {"citationID":"YsIGJLYx","properties":{"unsorted":true,"formattedCitation":"\\super 57\\uc0\\u8211{}59\\nosupersub{}","plainCitation":"57–59","noteIndex":0},"citationItems":[{"id":322,"uris":["http://zotero.org/users/19404620/items/38PDJNEN"],"itemData":{"id":322,"type":"article-journal","abstract":"Point mutations in the influenza virus enzyme neuraminidase (NA) have been reported that lead to dramatic loss of activity for known NA inhibitors including the FDA approved sialic acid mimics zanamivir and oseltamivir. A more complete understanding of the molecular basis for such resistance is a critical component toward development of improved next-generation drugs. In this study, we have used explicit solvent all-atom molecular dynamics simulations, free energy calculations (MM-GBSA), and residue-based decomposition to model binding of four ligands with NA from influenza virus subtype N9. The goal is to elucidate which structural and energetic properties change as a result of a mutation at position R292K. Computed binding free energies show strong correlation with experiment (r2 = 0.76), and an examination of individual energy components reveal that changes in intermolecular Coulombic terms (ΔEcoul) best describe the variation in affinity with structure (r2 = 0.93). H-bond populations also parallel the experimental ordering (r = −0.96, r2 = 0.86) reinforcing the view that electrostatics modulate binding in this system. Notably, in every case, the simulation results correctly predict that loss of binding occurs as a result of the R292K mutation. Per-residue binding footprints reveal that changes in ΔΔEcoul for R292K-wildtype at position 292 parallel the change in experimental fold resistance energies (ΔΔGR292K-WT) with S03 &amp;lt; S00 &amp;lt; S02 &amp;lt; S01. The footprints also reveal that the most potent ligands have (1) less reliance on R292 for intrinsic affinity, (2) enhanced binding via residues E119, E227, and E277, and (3) flatter ΔEcoul and ΔH-bond profiles. Improved resistance for S03 appears to be a function of the ligand’s larger guanidinium group which leads to an increased affinity for wildtype NA while at the same time a reduction in favorable interactions localized to R292. Overall, the computational results significantly enhance experimental observations through quantification of specific interactions which govern molecular recognition along the N9-ligand binding interface.","container-title":"Journal of Chemical Theory and Computation","DOI":"10.1021/ct800068v","ISSN":"1549-9618","issue":"9","journalAbbreviation":"J. Chem. Theory Comput.","page":"1526-1540","source":"Silverchair","title":"Origins of Resistance Conferred by the R292K Neuraminidase Mutation via Molecular Dynamics and Free Energy Calculations","volume":"4","author":[{"family":"Chachra","given":"Ricky"},{"family":"Rizzo","given":"Robert C."}],"issued":{"date-parts":[["2008",8,12]]}}},{"id":262,"uris":["http://zotero.org/users/19404620/items/2RZ7UFA3"],"itemData":{"id":262,"type":"article-journal","abstract":"Quantitatively predicting changes in drug sensitivity associated with residue mutations is a major challenge in structural biology. By expanding the limits of free energy calculations, we successfully identified mutations in influenza neuraminidase (NA) that confer drug resistance to two antiviral drugs, zanamivir and oseltamivir. We augmented molecular dynamics (MD) with Hamiltonian Replica Exchange and calculated binding free energy changes for H274Y, N294S, and Y252H mutants. Based on experimental data, our calculations achieved high accuracy and precision compared with results from established computational methods. Analysis of 15 µs of aggregated MD trajectories provided insights into the molecular mechanisms underlying drug resistance that are at odds with current interpretations of the crystallographic data. Contrary to the notion that resistance is caused by mutant-induced changes in hydrophobicity of the binding pocket, our simulations showed that drug resistance mutations in NA led to subtle rearrangements in the protein structure and its dynamics that together alter the active-site electrostatic environment and modulate inhibitor binding. Importantly, different mutations confer resistance through different conformational changes, suggesting that a generalized mechanism for NA drug resistance is unlikely.","container-title":"PLOS Computational Biology","DOI":"10.1371/journal.pcbi.1002665","ISSN":"1553-7358","issue":"8","journalAbbreviation":"PLOS Computational Biology","language":"en","page":"e1002665","publisher":"Public Library of Science","source":"PLoS Journals","title":"Quantitative Predictions of Binding Free Energy Changes in Drug-Resistant Influenza Neuraminidase","volume":"8","author":[{"family":"Ripoll","given":"Daniel R."},{"family":"Khavrutskii","given":"Ilja V."},{"family":"Chaudhury","given":"Sidhartha"},{"family":"Liu","given":"Jin"},{"family":"Kuschner","given":"Robert A."},{"family":"Wallqvist","given":"Anders"},{"family":"Reifman","given":"Jaques"}],"issued":{"date-parts":[["2012",8,30]]}}},{"id":324,"uris":["http://zotero.org/users/19404620/items/9HJIF5MA"],"itemData":{"id":324,"type":"article-journal","abstract":"The\nCOVID-19 pandemic has emphasized the urgency for effective\nantiviral therapies against SARS-CoV-2. Targeting the main protease (3CLpro) of the virus has emerged as a promising approach, and nirmatrelvir (PF-07321332), the active component of Pfizer’s oral drug Paxlovid, has demonstrated remarkable clinical efficacy. However, the emergence of resistance mutations poses a challenge to its continued success. In this study, we employed alchemical free energy perturbation (FEP) alanine scanning to identify nirmatrelvir-resistance mutations within SARS-CoV-2 3CLpro. FEP identified several mutations, which were validated through in vitro IC50 experiments and found to result in\n8- and 72-fold increases in nirmatrelvir IC50 values. Additionally, we constructed SARS-CoV-2 omicron replicons containing these mutations, and one of the mutants (S144A/E166A) displayed a 20-fold increase in EC50, confirming the role of FEP in identifying drug-resistance mutations. Our findings suggest that FEP can be a valuable tool in proactively monitoring the emergence of resistant strains and guiding the design of future inhibitors with reduced susceptibility to drug resistance. As nirmatrelvir is currently widely used for treating COVID-19, this research has important implications for surveillance efforts and antiviral development.","container-title":"Journal of Chemical Information and Modeling","DOI":"10.1021/acs.jcim.3c01269","ISSN":"1549-9596","issue":"22","journalAbbreviation":"J. Chem. Inf. Model.","page":"7180-7188","source":"Silverchair","title":"Discovery of Nirmatrelvir Resistance Mutations in SARS-CoV‑2 3CLpro: A Computational-Experimental Approach","title-short":"Discovery of Nirmatrelvir Resistance Mutations in SARS-CoV‑2 3CLpro","volume":"63","author":[{"family":"Havranek","given":"Brandon"},{"family":"Demissie","given":"Robel"},{"family":"Lee","given":"Hyun"},{"family":"Lan","given":"Shuiyun"},{"family":"Zhang","given":"Huanchun"},{"family":"Sarafianos","given":"Stefanos"},{"family":"Ayitou","given":"Anoklase Jean-Luc"},{"family":"Islam","given":"Shahidul M."}],"issued":{"date-parts":[["2023",11,10]]}}}],"schema":"https://github.com/citation-style-language/schema/raw/master/csl-citation.json"} </w:instrText>
      </w:r>
      <w:r w:rsidR="00AC54E3" w:rsidRPr="004100CF">
        <w:rPr>
          <w:rFonts w:ascii="Times New Roman" w:hAnsi="Times New Roman" w:cs="Times New Roman"/>
        </w:rPr>
        <w:fldChar w:fldCharType="separate"/>
      </w:r>
      <w:r w:rsidR="00AC54E3" w:rsidRPr="004100CF">
        <w:rPr>
          <w:rFonts w:ascii="Times New Roman" w:hAnsi="Times New Roman" w:cs="Times New Roman"/>
          <w:szCs w:val="24"/>
          <w:vertAlign w:val="superscript"/>
        </w:rPr>
        <w:t>57–59</w:t>
      </w:r>
      <w:r w:rsidR="00AC54E3" w:rsidRPr="004100CF">
        <w:rPr>
          <w:rFonts w:ascii="Times New Roman" w:hAnsi="Times New Roman" w:cs="Times New Roman"/>
        </w:rPr>
        <w:fldChar w:fldCharType="end"/>
      </w:r>
      <w:r w:rsidRPr="004100CF">
        <w:rPr>
          <w:rFonts w:ascii="Times New Roman" w:hAnsi="Times New Roman" w:cs="Times New Roman"/>
        </w:rPr>
        <w:t xml:space="preserve"> including HIV,</w:t>
      </w:r>
      <w:r w:rsidR="00C67814" w:rsidRPr="004100CF">
        <w:rPr>
          <w:rFonts w:ascii="Times New Roman" w:hAnsi="Times New Roman" w:cs="Times New Roman"/>
        </w:rPr>
        <w:fldChar w:fldCharType="begin"/>
      </w:r>
      <w:r w:rsidR="00C67814" w:rsidRPr="004100CF">
        <w:rPr>
          <w:rFonts w:ascii="Times New Roman" w:hAnsi="Times New Roman" w:cs="Times New Roman"/>
        </w:rPr>
        <w:instrText xml:space="preserve"> ADDIN ZOTERO_ITEM CSL_CITATION {"citationID":"FwFMZHUY","properties":{"unsorted":true,"formattedCitation":"\\super 26,60\\uc0\\u8211{}64\\nosupersub{}","plainCitation":"26,60–64","noteIndex":0},"citationItems":[{"id":318,"uris":["http://zotero.org/users/19404620/items/Z3JHCUEJ"],"itemData":{"id":318,"type":"article-journal","abstract":"The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Analogues","volume":"47","author":[{"family":"Udier-Blagović","given":"Marina"},{"family":"Tirado-Rives","given":"Julian"},{"family":"Jorgensen","given":"William L."}],"issued":{"date-parts":[["2004",3,20]]}}},{"id":267,"uris":["http://zotero.org/users/19404620/items/FLDCEDH2"],"itemData":{"id":267,"type":"article-journal","abstract":"Darunavir (DRV) is a high affinity (4.5 × 10−12 M, ΔG = −15.2 kcal/mol) HIV-1 protease inhibitor. Two drug-resistant protease variants FLAP+ (L10I, G48V, I54V, V82A) and ACT (V82T, I84V) decrease the binding affinity with DRV by 1.0 and 1.6 kcal/mol, respectively. In this study, the absolute and relative binding free energies of DRV with wild-type protease, FLAP+, and ACT were calculated with MM-PB/GBSA and thermodynamic integration methods, respectively. Free energy decomposition elucidated that the mutations conferred resistance by distorting the active site of HIV-1 protease so that the residues that lost binding free energy were not limited to the sites of mutation. Specifically the bis-tetrahydrofuranylurethane moiety of DRV maintained interactions with the FLAP+ and ACT variants, whereas the 4-amino phenyl group lost more binding free energy with the protease in the FLAP+ and ACT complexes than in the wild-type protease, which could account for the majority of the loss in binding free energy. This suggested that replacement of the 4-amino phenyl group might generate new inhibitors less susceptible to the drug resistant mutations.","container-title":"Journal of Chemical Theory and Computation","DOI":"10.1021/ct9004678","ISSN":"1549-9618","issue":"4","journalAbbreviation":"J. Chem. Theory Comput.","page":"1358-1368","source":"Silverchair","title":"Decomposing the Energetic Impact of Drug Resistant Mutations in HIV-1 Protease on Binding DRV","volume":"6","author":[{"family":"Cai","given":"Yufeng"},{"family":"Schiffer","given":"Celia A."}],"issued":{"date-parts":[["2010",3,4]]}}},{"id":327,"uris":["http://zotero.org/users/19404620/items/WP7NF3PU"],"itemData":{"id":327,"type":"article-journal","abstract":"Despite\na large number of antiretroviral drugs targeting HIV-1 protease for\ninhibition, mutations in this protein during the course of patient\ntreatment can render them inefficient. This emerging resistance inspired\nnumerous computational studies of the HIV-1 protease aimed at predicting\nthe effect of mutations on drug binding in terms of free binding energy\nΔG, as well as in mechanistic terms. In this\nstudy, we analyze ten different protease-inhibitor complexes carrying\nmajor resistance-associated mutations (RAMs) G48V, I50V, and L90M\nusing molecular dynamics simulations. We demonstrate that alchemical\nfree energy calculations can consistently predict the effect of mutations\non drug binding. By explicitly probing different protonation states\nof the catalytic aspartic dyad, we reveal the importance of the correct\nchoice of protonation state for the accuracy of the result. We also\nprovide insight into how different mutations affect drug binding in\ntheir specific ways, with the unifying theme of how all of them affect\nthe crucial drug binding regions of the protease.","container-title":"Journal of Chemical Theory and Computation","DOI":"10.1021/acs.jctc.7b01109","ISSN":"1549-9618","issue":"7","journalAbbreviation":"J. Chem. Theory Comput.","page":"3397-3408","source":"Silverchair","title":"Consistent Prediction of Mutation Effect on Drug Binding in HIV‑1 Protease Using Alchemical Calculations","volume":"14","author":[{"family":"Bastys","given":"Tomas"},{"family":"Gapsys","given":"Vytautas"},{"family":"Doncheva","given":"Nadezhda T."},{"family":"Kaiser","given":"Rolf"},{"family":"Groot","given":"Bert L.","non-dropping-particle":"de"},{"family":"Kalinina","given":"Olga V."}],"issued":{"date-parts":[["2018",5,30]]}}},{"id":329,"uris":["http://zotero.org/users/19404620/items/775UP9TG"],"itemData":{"id":329,"type":"article-journal","abstract":"HIV-1 can develop resistance to antiretroviral drugs, mainly through mutations within the target regions of the drugs. In HIV-1 protease, a majority of resistance-associated mutations that develop in response to therapy with protease inhibitors are found in the protease’s active site that serves also as a binding pocket for the protease inhibitors, thus directly impacting the protease-inhibitor interactions. Some resistance-associated mutations, however, are found in more distant regions, and the exact mechanisms how these mutations affect protease-inhibitor interactions are unclear. Furthermore, some of these mutations, e.g. N88S and L76V, do not only induce resistance to the currently administered drugs, but contrarily induce sensitivity towards other drugs. In this study, mutations N88S and L76V, along with three other resistance-associated mutations, M46I, I50L, and I84V, are analysed by means of molecular dynamics simulations to investigate their role in complexes of the protease with different inhibitors and in different background sequence contexts.","container-title":"Retrovirology","DOI":"10.1186/s12977-020-00520-6","ISSN":"1742-4690","issue":"1","journalAbbreviation":"Retrovirology","language":"en","page":"13","source":"Springer Link","title":"Non-active site mutants of HIV-1 protease influence resistance and sensitisation towards protease inhibitors","volume":"17","author":[{"family":"Bastys","given":"Tomas"},{"family":"Gapsys","given":"Vytautas"},{"family":"Walter","given":"Hauke"},{"family":"Heger","given":"Eva"},{"family":"Doncheva","given":"Nadezhda T."},{"family":"Kaiser","given":"Rolf"},{"family":"Groot","given":"Bert L.","non-dropping-particle":"de"},{"family":"Kalinina","given":"Olga V."}],"issued":{"date-parts":[["2020",5,19]]}}},{"id":270,"uris":["http://zotero.org/users/19404620/items/P7V7XDZF"],"itemData":{"id":270,"type":"article-journal","abstract":"While drug resistance mutations can often be attributed to the loss of direct or solvent-mediated protein−ligand interactions in the drug-mutant complex, in this study we show that a resistance mutation for the picomolar HIV-1 capsid (CA)-targeting antiviral (GS-6207) is mainly due to the free energy cost of the drug-induced protein side chain reorganization in the mutant protein. Among several mutations, M66I causes the most suppression of the GS-6207 antiviral activity (up to ~84,000-fold), and only 83- and 68-fold reductions for PF74 and ZW-1261, respectively. To understand the molecular basis of this drug resistance, we conducted molecular dynamics free energy simulations to study the structures, energetics, and conformational free energy landscapes involved in the inhibitors binding at the interface of two CA monomers. To minimize the protein−ligand steric clash, the I66 side chain in the M66I−GS-6207 complex switches to a higher free energy conformation from the one adopted in the apo M66I. In contrast, the binding of GS-6207 to the wild-type CA does not lead to any significant M66 conformational change. Based on an analysis that decomposes the absolute binding free energy into contributions from two receptor conformational states, it appears that it is the free energy cost of side chain reorganization rather than the reduced protein−ligand interaction that is largely responsible for the drug resistance against GS-6207.","container-title":"Viruses","DOI":"10.3390/v13050920","ISSN":"1999-4915","issue":"5","language":"en","license":"http://creativecommons.org/licenses/by/3.0/","page":"920","publisher":"Multidisciplinary Digital Publishing Institute","source":"www.mdpi.com","title":"Molecular Dynamics Free Energy Simulations Reveal the Mechanism for the Antiviral Resistance of the M66I HIV-1 Capsid Mutation","volume":"13","author":[{"family":"Sun","given":"Qinfang"},{"family":"Levy","given":"Ronald M."},{"family":"Kirby","given":"Karen A."},{"family":"Wang","given":"Zhengqiang"},{"family":"Sarafianos","given":"Stefan G."},{"family":"Deng","given":"Nanjie"}],"issued":{"date-parts":[["2021",5]]}}},{"id":331,"uris":["http://zotero.org/users/19404620/items/ACB8G8WJ"],"itemData":{"id":331,"type":"article-journal","abstract":"HIV-1 infection depends on the integration of viral DNA into host chromatin. Integration is mediated by the viral enzyme integrase and is blocked by integrase strand transfer inhibitors (INSTIs), first-line antiretroviral therapeutics widely used in the clinic. Resistance to even the best INSTIs is a problem, and the mechanisms of resistance are poorly understood. Here, we analyze combinations of the mutations E138K, G140A/S, and Q148H/K/R, which confer resistance to INSTIs. The investigational drug 4d more effectively inhibited the mutants compared with the approved drug Dolutegravir (DTG). We present 11 new cryo-EM structures of drug-resistant HIV-1 intasomes bound to DTG or 4d, with better than 3-Å resolution. These structures, complemented with free energy simulations, virology, and enzymology, explain the mechanisms of DTG resistance involving E138K + G140A/S + Q148H/K/R and show why 4d maintains potency better than DTG. These data establish a foundation for further development of INSTIs that potently inhibit resistant forms in integrase.","container-title":"Science Advances","DOI":"10.1126/sciadv.adg5953","issue":"29","page":"eadg5953","publisher":"American Association for the Advancement of Science","source":"science.org (Atypon)","title":"Mechanisms of HIV-1 integrase resistance to dolutegravir and potent inhibition of drug-resistant variants","volume":"9","author":[{"family":"Li","given":"Min"},{"family":"Oliveira Passos","given":"Dario"},{"family":"Shan","given":"Zelin"},{"family":"Smith","given":"Steven J."},{"family":"Sun","given":"Qinfang"},{"family":"Biswas","given":"Avik"},{"family":"Choudhuri","given":"Indrani"},{"family":"Strutzenberg","given":"Timothy S."},{"family":"Haldane","given":"Allan"},{"family":"Deng","given":"Nanjie"},{"family":"Li","given":"Zhaoyang"},{"family":"Zhao","given":"Xue Zhi"},{"family":"Briganti","given":"Lorenzo"},{"family":"Kvaratskhelia","given":"Mamuka"},{"family":"Burke","given":"Terrence R."},{"family":"Levy","given":"Ronald M."},{"family":"Hughes","given":"Stephen H."},{"family":"Craigie","given":"Robert"},{"family":"Lyumkis","given":"Dmitry"}],"issued":{"date-parts":[["2023",7,21]]}}}],"schema":"https://github.com/citation-style-language/schema/raw/master/csl-citation.json"} </w:instrText>
      </w:r>
      <w:r w:rsidR="00C67814" w:rsidRPr="004100CF">
        <w:rPr>
          <w:rFonts w:ascii="Times New Roman" w:hAnsi="Times New Roman" w:cs="Times New Roman"/>
        </w:rPr>
        <w:fldChar w:fldCharType="separate"/>
      </w:r>
      <w:r w:rsidR="00C67814" w:rsidRPr="004100CF">
        <w:rPr>
          <w:rFonts w:ascii="Times New Roman" w:hAnsi="Times New Roman" w:cs="Times New Roman"/>
          <w:szCs w:val="24"/>
          <w:vertAlign w:val="superscript"/>
        </w:rPr>
        <w:t>26,60–64</w:t>
      </w:r>
      <w:r w:rsidR="00C67814" w:rsidRPr="004100CF">
        <w:rPr>
          <w:rFonts w:ascii="Times New Roman" w:hAnsi="Times New Roman" w:cs="Times New Roman"/>
        </w:rPr>
        <w:fldChar w:fldCharType="end"/>
      </w:r>
      <w:r w:rsidRPr="004100CF">
        <w:rPr>
          <w:rFonts w:ascii="Times New Roman" w:hAnsi="Times New Roman" w:cs="Times New Roman"/>
        </w:rPr>
        <w:t xml:space="preserve"> and cancer.</w:t>
      </w:r>
      <w:r w:rsidR="006F0935" w:rsidRPr="004100CF">
        <w:rPr>
          <w:rFonts w:ascii="Times New Roman" w:hAnsi="Times New Roman" w:cs="Times New Roman"/>
        </w:rPr>
        <w:fldChar w:fldCharType="begin"/>
      </w:r>
      <w:r w:rsidR="006F0935" w:rsidRPr="004100CF">
        <w:rPr>
          <w:rFonts w:ascii="Times New Roman" w:hAnsi="Times New Roman" w:cs="Times New Roman"/>
        </w:rPr>
        <w:instrText xml:space="preserve"> ADDIN ZOTERO_ITEM CSL_CITATION {"citationID":"7z8cciZU","properties":{"unsorted":false,"formattedCitation":"\\super 65,66\\nosupersub{}","plainCitation":"65,66","noteIndex":0},"citationItems":[{"id":260,"uris":["http://zotero.org/users/19404620/items/6VJGNZIE"],"itemData":{"id":260,"type":"article-journal","abstract":"The therapeutic effect of targeted kinase inhibitors can be significantly reduced by intrinsic or acquired resistance mutations that modulate the affinity of the drug for the kinase. In cancer, the majority of missense mutations are rare, making it difficult to predict their impact on inhibitor affinity. We examine the potential for alchemical free-energy calculations to predict how kinase mutations modulate inhibitor affinities to Abl, a major target in chronic myelogenous leukemia (CML). These calculations have useful accuracy in predicting resistance for eight FDA-approved kinase inhibitors across 144 clinically identified point mutations, with a root mean square error in binding free-energy changes of $$1.1_{0.9}^{1.3}$$kcal mol−1 (95% confidence interval) and correctly classifying mutations as resistant or susceptible with $$88_{82}^{93}$$% accuracy. This benchmark establishes the potential for physical modeling to collaboratively support the assessment and anticipation of patient mutations to affect drug potency in clinical applications.","container-title":"Communications Biology","DOI":"10.1038/s42003-018-0075-x","ISSN":"2399-3642","issue":"1","journalAbbreviation":"Commun Biol","language":"en","license":"2018 The Author(s)","page":"70","publisher":"Nature Publishing Group","source":"www.nature.com","title":"Predicting resistance of clinical Abl mutations to targeted kinase inhibitors using alchemical free-energy calculations","volume":"1","author":[{"family":"Hauser","given":"Kevin"},{"family":"Negron","given":"Christopher"},{"family":"Albanese","given":"Steven K."},{"family":"Ray","given":"Soumya"},{"family":"Steinbrecher","given":"Thomas"},{"family":"Abel","given":"Robert"},{"family":"Chodera","given":"John D."},{"family":"Wang","given":"Lingle"}],"issued":{"date-parts":[["2018",6,13]]}}},{"id":264,"uris":["http://zotero.org/users/19404620/items/Y9HA6Y4U"],"itemData":{"id":264,"type":"article-journal","abstract":"Drug resistance is a critical challenge\nin treating diseases\nlike\ncancer and infectious disease. This study presents a novel computational workflow for predicting on-target resistance mutations to small molecule inhibitors (SMIs). The approach integrates genetic models with alchemical free energy perturbation (FEP+) calculations to identify likely resistance mutations. Specifically, a genetic model, RECODE, leverages cancer-specific mutation patterns to prioritize probable amino acid changes. Physics-based calculations assess the impact of these mutations on protein stability, endogenous substrate binding, and inhibitor binding. We apply this approach retrospectively to gefitinib and osimertinib, two clinical epidermal growth factor receptor (EGFR) inhibitors used to treat nonsmall cell lung cancer (NSCLC). Among hundreds of possible mutations, the pipeline accurately predicted 4 out of 11 and 7 out of 19 known binding site mutations for gefitinib and osimertinib, respectively, including the clinically relevant T790M and C797S resistance mutations. This study demonstrates the potential of integrating genetic models and physics-based calculations to predict SMI resistance mutations. This approach can be applied to other kinases and target classes, potentially enabling the design of next-generation inhibitors with improved durability of response in patients.","container-title":"Journal of Chemical Information and Modeling","DOI":"10.1021/acs.jcim.4c02313","ISSN":"1549-9596","issue":"5","journalAbbreviation":"J. Chem. Inf. Model.","page":"2543-2557","source":"Silverchair","title":"Predicting Resistance to Small Molecule Kinase Inhibitors","volume":"65","author":[{"family":"Nagarajan","given":"Anu"},{"family":"Amberg-Johnson","given":"Katherine"},{"family":"Paull","given":"Evan"},{"family":"Huang","given":"Kunling"},{"family":"Ghanakota","given":"Phani"},{"family":"Chandrasinghe","given":"Asela"},{"family":"Chief Elk","given":"Jackson"},{"family":"Sampson","given":"Jared M."},{"family":"Wang","given":"Lingle"},{"family":"Abel","given":"Robert"},{"family":"Albanese","given":"Steven K."}],"issued":{"date-parts":[["2025",2,20]]}}}],"schema":"https://github.com/citation-style-language/schema/raw/master/csl-citation.json"} </w:instrText>
      </w:r>
      <w:r w:rsidR="006F0935" w:rsidRPr="004100CF">
        <w:rPr>
          <w:rFonts w:ascii="Times New Roman" w:hAnsi="Times New Roman" w:cs="Times New Roman"/>
        </w:rPr>
        <w:fldChar w:fldCharType="separate"/>
      </w:r>
      <w:r w:rsidR="006F0935" w:rsidRPr="004100CF">
        <w:rPr>
          <w:rFonts w:ascii="Times New Roman" w:hAnsi="Times New Roman" w:cs="Times New Roman"/>
          <w:szCs w:val="24"/>
          <w:vertAlign w:val="superscript"/>
        </w:rPr>
        <w:t>65,66</w:t>
      </w:r>
      <w:r w:rsidR="006F0935" w:rsidRPr="004100CF">
        <w:rPr>
          <w:rFonts w:ascii="Times New Roman" w:hAnsi="Times New Roman" w:cs="Times New Roman"/>
        </w:rPr>
        <w:fldChar w:fldCharType="end"/>
      </w:r>
      <w:r w:rsidRPr="004100CF">
        <w:rPr>
          <w:rFonts w:ascii="Times New Roman" w:hAnsi="Times New Roman" w:cs="Times New Roman"/>
        </w:rPr>
        <w:t xml:space="preserve"> </w:t>
      </w:r>
      <w:r w:rsidR="0045260D" w:rsidRPr="004100CF">
        <w:rPr>
          <w:rFonts w:ascii="Times New Roman" w:hAnsi="Times New Roman" w:cs="Times New Roman"/>
        </w:rPr>
        <w:t xml:space="preserve">For transparency and reproducibility, we used open source alternatives to </w:t>
      </w:r>
      <w:r w:rsidR="00200876" w:rsidRPr="004100CF">
        <w:rPr>
          <w:rFonts w:ascii="Times New Roman" w:hAnsi="Times New Roman" w:cs="Times New Roman"/>
        </w:rPr>
        <w:t xml:space="preserve">the more </w:t>
      </w:r>
      <w:r w:rsidR="00F84BC2" w:rsidRPr="004100CF">
        <w:rPr>
          <w:rFonts w:ascii="Times New Roman" w:hAnsi="Times New Roman" w:cs="Times New Roman"/>
        </w:rPr>
        <w:t>widely-used</w:t>
      </w:r>
      <w:r w:rsidR="00200876" w:rsidRPr="004100CF">
        <w:rPr>
          <w:rFonts w:ascii="Times New Roman" w:hAnsi="Times New Roman" w:cs="Times New Roman"/>
        </w:rPr>
        <w:t xml:space="preserve">, </w:t>
      </w:r>
      <w:r w:rsidR="00F84BC2" w:rsidRPr="004100CF">
        <w:rPr>
          <w:rFonts w:ascii="Times New Roman" w:hAnsi="Times New Roman" w:cs="Times New Roman"/>
        </w:rPr>
        <w:t>commercial</w:t>
      </w:r>
      <w:r w:rsidR="0045260D" w:rsidRPr="004100CF">
        <w:rPr>
          <w:rFonts w:ascii="Times New Roman" w:hAnsi="Times New Roman" w:cs="Times New Roman"/>
        </w:rPr>
        <w:t xml:space="preserve"> FEP </w:t>
      </w:r>
      <w:r w:rsidR="00F84BC2" w:rsidRPr="004100CF">
        <w:rPr>
          <w:rFonts w:ascii="Times New Roman" w:hAnsi="Times New Roman" w:cs="Times New Roman"/>
        </w:rPr>
        <w:t>workflows</w:t>
      </w:r>
      <w:r w:rsidR="0045260D" w:rsidRPr="004100CF">
        <w:rPr>
          <w:rFonts w:ascii="Times New Roman" w:hAnsi="Times New Roman" w:cs="Times New Roman"/>
        </w:rPr>
        <w:t>.</w:t>
      </w:r>
      <w:r w:rsidR="00F84BC2" w:rsidRPr="004100CF">
        <w:rPr>
          <w:rFonts w:ascii="Times New Roman" w:hAnsi="Times New Roman" w:cs="Times New Roman"/>
        </w:rPr>
        <w:fldChar w:fldCharType="begin"/>
      </w:r>
      <w:r w:rsidR="00F84BC2" w:rsidRPr="004100CF">
        <w:rPr>
          <w:rFonts w:ascii="Times New Roman" w:hAnsi="Times New Roman" w:cs="Times New Roman"/>
        </w:rPr>
        <w:instrText xml:space="preserve"> ADDIN ZOTERO_ITEM CSL_CITATION {"citationID":"9NrNcyuP","properties":{"unsorted":true,"formattedCitation":"\\super 67,68\\nosupersub{}","plainCitation":"67,68","noteIndex":0},"citationItems":[{"id":333,"uris":["http://zotero.org/users/19404620/items/88HGJU5N"],"itemData":{"id":333,"type":"article-journal","abstract":"Designing\ntight-binding ligands is a primary objective of small-molecule\ndrug discovery. Over the past few decades, free-energy calculations have benefited from improved force fields and sampling algorithms, as well as the advent of low-cost parallel computing. However, it has proven to be challenging to reliably achieve the level of accuracy that would be needed to guide lead optimization (</w:instrText>
      </w:r>
      <w:r w:rsidR="00F84BC2" w:rsidRPr="004100CF">
        <w:rPr>
          <w:rFonts w:ascii="Cambria Math" w:hAnsi="Cambria Math" w:cs="Cambria Math"/>
        </w:rPr>
        <w:instrText>∼</w:instrText>
      </w:r>
      <w:r w:rsidR="00F84BC2" w:rsidRPr="004100CF">
        <w:rPr>
          <w:rFonts w:ascii="Times New Roman" w:hAnsi="Times New Roman" w:cs="Times New Roman"/>
        </w:rPr>
        <w:instrText xml:space="preserve">5× in\nbinding affinity) for a wide range of ligands and protein targets. Not surprisingly, widespread commercial application of free-energy simulations has been limited due to the lack of large-scale validation coupled with the technical challenges traditionally associated with running these types of calculations. Here, we report an approach that achieves an unprecedented level of accuracy across a broad range of target classes and ligands, with retrospective results encompassing 200 ligands and a wide variety of chemical perturbations, many of which involve significant changes in ligand chemical structures. In addition, we have applied the method in prospective drug discovery projects and found a significant improvement in the quality of the compounds synthesized that have been predicted to be potent. Compounds predicted to be potent by this approach have a substantial reduction in false positives relative to compounds synthesized on the basis of other computational or medicinal chemistry approaches. Furthermore, the results are consistent with those obtained from our retrospective studies, demonstrating the robustness and broad range of applicability of this approach, which can be used to drive decisions in lead optimization.","container-title":"Journal of the American Chemical Society","DOI":"10.1021/ja512751q","ISSN":"0002-7863","issue":"7","journalAbbreviation":"Journal American Chemical Society","page":"2695-2703","source":"Silverchair","title":"Accurate and Reliable Prediction of Relative Ligand Binding Potency in Prospective Drug Discovery by Way of a Modern Free-Energy Calculation Protocol and Force Field","volume":"137","author":[{"family":"Wang","given":"Lingle"},{"family":"Wu","given":"Yujie"},{"family":"Deng","given":"Yuqing"},{"family":"Kim","given":"Byungchan"},{"family":"Pierce","given":"Levi"},{"family":"Krilov","given":"Goran"},{"family":"Lupyan","given":"Dmitry"},{"family":"Robinson","given":"Shaughnessy"},{"family":"Dahlgren","given":"Markus K."},{"family":"Greenwood","given":"Jeremy"},{"family":"Romero","given":"Donna L."},{"family":"Masse","given":"Craig"},{"family":"Knight","given":"Jennifer L."},{"family":"Steinbrecher","given":"Thomas"},{"family":"Beuming","given":"Thijs"},{"family":"Damm","given":"Wolfgang"},{"family":"Harder","given":"Ed"},{"family":"Sherman","given":"Woody"},{"family":"Brewer","given":"Mark"},{"family":"Wester","given":"Ron"},{"family":"Murcko","given":"Mark"},{"family":"Frye","given":"Leah"},{"family":"Farid","given":"Ramy"},{"family":"Lin","given":"Teng"},{"family":"Mobley","given":"David L."},{"family":"Jorgensen","given":"William L."},{"family":"Berne","given":"Bruce J."},{"family":"Friesner","given":"Richard A."},{"family":"Abel","given":"Robert"}],"issued":{"date-parts":[["2015",1,27]]}}},{"id":336,"uris":["http://zotero.org/users/19404620/items/26EFTDXH"],"itemData":{"id":336,"type":"article-journal","abstract":"Accurate\nranking of compounds with regards to their binding affinity\nto a protein using computational methods is of great interest to pharmaceutical research. Physics-based free energy calculations are regarded as the most rigorous way to estimate binding affinity. In recent years, many retrospective studies carried out both in academia and industry have\ndemonstrated its potential. Here, we present the results of large-scale prospective application of the FEP+ method in active drug\ndiscovery projects in an industry setting at Merck KGaA, Darmstadt,\nGermany. We compare these prospective data to results obtained on\na new diverse, public benchmark of eight pharmaceutically relevant\ntargets. Our results offer insights into the challenges faced when\nusing free energy calculations in real-life drug discovery projects\nand identify limitations that could be tackled by future method development.\nThe new public data set we provide to the community can support further\nmethod development and comparative benchmarking of free energy calculations.","container-title":"Journal of Chemical Information and Modeling","DOI":"10.1021/acs.jcim.0c00900","ISSN":"1549-9596","issue":"11","journalAbbreviation":"J. Chem. Inf. Model.","page":"5457-5474","source":"Silverchair","title":"Large-Scale Assessment of Binding Free Energy Calculations in Active Drug Discovery Projects","volume":"60","author":[{"family":"Schindler","given":"Christina E. M."},{"family":"Baumann","given":"Hannah"},{"family":"Blum","given":"Andreas"},{"family":"Böse","given":"Dietrich"},{"family":"Buchstaller","given":"Hans-Peter"},{"family":"Burgdorf","given":"Lars"},{"family":"Cappel","given":"Daniel"},{"family":"Chekler","given":"Eugene"},{"family":"Czodrowski","given":"Paul"},{"family":"Dorsch","given":"Dieter"},{"family":"Eguida","given":"Merveille K. I."},{"family":"Follows","given":"Bruce"},{"family":"Fuchß","given":"Thomas"},{"family":"Grädler","given":"Ulrich"},{"family":"Gunera","given":"Jakub"},{"family":"Johnson","given":"Theresa"},{"family":"Jorand Lebrun","given":"Catherine"},{"family":"Karra","given":"Srinivasa"},{"family":"Klein","given":"Markus"},{"family":"Knehans","given":"Tim"},{"family":"Koetzner","given":"Lisa"},{"family":"Krier","given":"Mireille"},{"family":"Leiendecker","given":"Matthias"},{"family":"Leuthner","given":"Birgitta"},{"family":"Li","given":"Liwei"},{"family":"Mochalkin","given":"Igor"},{"family":"Musil","given":"Djordje"},{"family":"Neagu","given":"Constantin"},{"family":"Rippmann","given":"Friedrich"},{"family":"Schiemann","given":"Kai"},{"family":"Schulz","given":"Robert"},{"family":"Steinbrecher","given":"Thomas"},{"family":"Tanzer","given":"Eva-Maria"},{"family":"Unzue Lopez","given":"Andrea"},{"family":"Viacava Follis","given":"Ariele"},{"family":"Wegener","given":"Ansgar"},{"family":"Kuhn","given":"Daniel"}],"issued":{"date-parts":[["2020",8,19]]}}}],"schema":"https://github.com/citation-style-language/schema/raw/master/csl-citation.json"} </w:instrText>
      </w:r>
      <w:r w:rsidR="00F84BC2" w:rsidRPr="004100CF">
        <w:rPr>
          <w:rFonts w:ascii="Times New Roman" w:hAnsi="Times New Roman" w:cs="Times New Roman"/>
        </w:rPr>
        <w:fldChar w:fldCharType="separate"/>
      </w:r>
      <w:r w:rsidR="00F84BC2" w:rsidRPr="004100CF">
        <w:rPr>
          <w:rFonts w:ascii="Times New Roman" w:hAnsi="Times New Roman" w:cs="Times New Roman"/>
          <w:szCs w:val="24"/>
          <w:vertAlign w:val="superscript"/>
        </w:rPr>
        <w:t>67,68</w:t>
      </w:r>
      <w:r w:rsidR="00F84BC2" w:rsidRPr="004100CF">
        <w:rPr>
          <w:rFonts w:ascii="Times New Roman" w:hAnsi="Times New Roman" w:cs="Times New Roman"/>
        </w:rPr>
        <w:fldChar w:fldCharType="end"/>
      </w:r>
    </w:p>
    <w:p w14:paraId="423ADAA0" w14:textId="77777777" w:rsidR="00247D42" w:rsidRPr="004100CF" w:rsidRDefault="0045260D" w:rsidP="000C66C6">
      <w:pPr>
        <w:spacing w:after="240"/>
        <w:rPr>
          <w:rFonts w:ascii="Times New Roman" w:hAnsi="Times New Roman" w:cs="Times New Roman"/>
        </w:rPr>
      </w:pPr>
      <w:r w:rsidRPr="004100CF">
        <w:rPr>
          <w:rFonts w:ascii="Times New Roman" w:hAnsi="Times New Roman" w:cs="Times New Roman"/>
        </w:rPr>
        <w:t xml:space="preserve">We found that </w:t>
      </w:r>
      <w:r w:rsidR="00200876" w:rsidRPr="004100CF">
        <w:rPr>
          <w:rFonts w:ascii="Times New Roman" w:hAnsi="Times New Roman" w:cs="Times New Roman"/>
        </w:rPr>
        <w:t>the relative binding free energy, ∆∆</w:t>
      </w:r>
      <w:proofErr w:type="spellStart"/>
      <w:r w:rsidR="00200876" w:rsidRPr="004100CF">
        <w:rPr>
          <w:rFonts w:ascii="Times New Roman" w:hAnsi="Times New Roman" w:cs="Times New Roman"/>
        </w:rPr>
        <w:t>G</w:t>
      </w:r>
      <w:r w:rsidR="00200876" w:rsidRPr="004100CF">
        <w:rPr>
          <w:rFonts w:ascii="Times New Roman" w:hAnsi="Times New Roman" w:cs="Times New Roman"/>
          <w:vertAlign w:val="subscript"/>
        </w:rPr>
        <w:t>bind</w:t>
      </w:r>
      <w:proofErr w:type="spellEnd"/>
      <w:r w:rsidR="00200876" w:rsidRPr="004100CF">
        <w:rPr>
          <w:rFonts w:ascii="Times New Roman" w:hAnsi="Times New Roman" w:cs="Times New Roman"/>
        </w:rPr>
        <w:t xml:space="preserve">, obtained from the FEP simulations correctly predicted low impact on RT-DOR binding affinity for 3 out of 4 Susceptible mutations and </w:t>
      </w:r>
      <w:r w:rsidR="000C66C6" w:rsidRPr="004100CF">
        <w:rPr>
          <w:rFonts w:ascii="Times New Roman" w:hAnsi="Times New Roman" w:cs="Times New Roman"/>
        </w:rPr>
        <w:t>significant</w:t>
      </w:r>
      <w:r w:rsidR="00200876" w:rsidRPr="004100CF">
        <w:rPr>
          <w:rFonts w:ascii="Times New Roman" w:hAnsi="Times New Roman" w:cs="Times New Roman"/>
        </w:rPr>
        <w:t xml:space="preserve"> impact on RT-DOR binding affinity for 7 out of 9 Resistant mutations.</w:t>
      </w:r>
      <w:r w:rsidR="000C66C6" w:rsidRPr="004100CF">
        <w:rPr>
          <w:rFonts w:ascii="Times New Roman" w:hAnsi="Times New Roman" w:cs="Times New Roman"/>
        </w:rPr>
        <w:t xml:space="preserve"> As a result, amongst this set of mutations, ∆∆</w:t>
      </w:r>
      <w:proofErr w:type="spellStart"/>
      <w:r w:rsidR="000C66C6" w:rsidRPr="004100CF">
        <w:rPr>
          <w:rFonts w:ascii="Times New Roman" w:hAnsi="Times New Roman" w:cs="Times New Roman"/>
        </w:rPr>
        <w:t>G</w:t>
      </w:r>
      <w:r w:rsidR="000C66C6" w:rsidRPr="004100CF">
        <w:rPr>
          <w:rFonts w:ascii="Times New Roman" w:hAnsi="Times New Roman" w:cs="Times New Roman"/>
          <w:vertAlign w:val="subscript"/>
        </w:rPr>
        <w:t>bind</w:t>
      </w:r>
      <w:proofErr w:type="spellEnd"/>
      <w:r w:rsidR="000C66C6" w:rsidRPr="004100CF">
        <w:rPr>
          <w:rFonts w:ascii="Times New Roman" w:hAnsi="Times New Roman" w:cs="Times New Roman"/>
        </w:rPr>
        <w:t xml:space="preserve"> was found to correlate with (logarithm of) fold-change in DOR susceptibility observed </w:t>
      </w:r>
      <w:r w:rsidR="000C66C6" w:rsidRPr="004100CF">
        <w:rPr>
          <w:rFonts w:ascii="Times New Roman" w:hAnsi="Times New Roman" w:cs="Times New Roman"/>
          <w:i/>
          <w:iCs/>
        </w:rPr>
        <w:t>in vitro</w:t>
      </w:r>
      <w:r w:rsidR="000C66C6" w:rsidRPr="004100CF">
        <w:rPr>
          <w:rFonts w:ascii="Times New Roman" w:hAnsi="Times New Roman" w:cs="Times New Roman"/>
        </w:rPr>
        <w:t>, though this correlation was weak and not statistically significant (R</w:t>
      </w:r>
      <w:r w:rsidR="000C66C6" w:rsidRPr="004100CF">
        <w:rPr>
          <w:rFonts w:ascii="Times New Roman" w:hAnsi="Times New Roman" w:cs="Times New Roman"/>
          <w:vertAlign w:val="superscript"/>
        </w:rPr>
        <w:t>2</w:t>
      </w:r>
      <w:r w:rsidR="000C66C6" w:rsidRPr="004100CF">
        <w:rPr>
          <w:rFonts w:ascii="Times New Roman" w:hAnsi="Times New Roman" w:cs="Times New Roman"/>
        </w:rPr>
        <w:t xml:space="preserve"> = 0.26, p = 0.07). In contrast, ∆∆</w:t>
      </w:r>
      <w:proofErr w:type="spellStart"/>
      <w:r w:rsidR="000C66C6" w:rsidRPr="004100CF">
        <w:rPr>
          <w:rFonts w:ascii="Times New Roman" w:hAnsi="Times New Roman" w:cs="Times New Roman"/>
        </w:rPr>
        <w:t>E</w:t>
      </w:r>
      <w:r w:rsidR="00247D42" w:rsidRPr="004100CF">
        <w:rPr>
          <w:rFonts w:ascii="Times New Roman" w:hAnsi="Times New Roman" w:cs="Times New Roman"/>
          <w:vertAlign w:val="subscript"/>
        </w:rPr>
        <w:t>Total</w:t>
      </w:r>
      <w:proofErr w:type="spellEnd"/>
      <w:r w:rsidR="000C66C6" w:rsidRPr="004100CF">
        <w:rPr>
          <w:rFonts w:ascii="Times New Roman" w:hAnsi="Times New Roman" w:cs="Times New Roman"/>
        </w:rPr>
        <w:t xml:space="preserve"> values </w:t>
      </w:r>
      <w:r w:rsidR="00247D42" w:rsidRPr="004100CF">
        <w:rPr>
          <w:rFonts w:ascii="Times New Roman" w:hAnsi="Times New Roman" w:cs="Times New Roman"/>
        </w:rPr>
        <w:t>obtained from MM/GBSA energy calculations correctly predicted low impact on RT-DOR interface energy for only 1 out of 4 Susceptible mutations and significant impact on RT-DOR interface energy for 8 out of 9 Resistant mutations. Moreover, ∆∆</w:t>
      </w:r>
      <w:proofErr w:type="spellStart"/>
      <w:r w:rsidR="00247D42" w:rsidRPr="004100CF">
        <w:rPr>
          <w:rFonts w:ascii="Times New Roman" w:hAnsi="Times New Roman" w:cs="Times New Roman"/>
        </w:rPr>
        <w:t>E</w:t>
      </w:r>
      <w:r w:rsidR="00247D42" w:rsidRPr="004100CF">
        <w:rPr>
          <w:rFonts w:ascii="Times New Roman" w:hAnsi="Times New Roman" w:cs="Times New Roman"/>
          <w:vertAlign w:val="subscript"/>
        </w:rPr>
        <w:t>Total</w:t>
      </w:r>
      <w:proofErr w:type="spellEnd"/>
      <w:r w:rsidR="00247D42" w:rsidRPr="004100CF">
        <w:rPr>
          <w:rFonts w:ascii="Times New Roman" w:hAnsi="Times New Roman" w:cs="Times New Roman"/>
        </w:rPr>
        <w:t xml:space="preserve"> exhibited no correlation with DOR fold-change data.</w:t>
      </w:r>
    </w:p>
    <w:p w14:paraId="06575B06" w14:textId="73AE64F8" w:rsidR="000C66C6" w:rsidRPr="004100CF" w:rsidRDefault="000412F0" w:rsidP="000C66C6">
      <w:pPr>
        <w:spacing w:after="240"/>
        <w:rPr>
          <w:rFonts w:ascii="Times New Roman" w:hAnsi="Times New Roman" w:cs="Times New Roman"/>
        </w:rPr>
      </w:pPr>
      <w:r w:rsidRPr="004100CF">
        <w:rPr>
          <w:rFonts w:ascii="Times New Roman" w:hAnsi="Times New Roman" w:cs="Times New Roman"/>
        </w:rPr>
        <w:t>Interestingly, ∆∆</w:t>
      </w:r>
      <w:proofErr w:type="spellStart"/>
      <w:r w:rsidRPr="004100CF">
        <w:rPr>
          <w:rFonts w:ascii="Times New Roman" w:hAnsi="Times New Roman" w:cs="Times New Roman"/>
        </w:rPr>
        <w:t>E</w:t>
      </w:r>
      <w:r w:rsidRPr="004100CF">
        <w:rPr>
          <w:rFonts w:ascii="Times New Roman" w:hAnsi="Times New Roman" w:cs="Times New Roman"/>
          <w:vertAlign w:val="subscript"/>
        </w:rPr>
        <w:t>Total</w:t>
      </w:r>
      <w:proofErr w:type="spellEnd"/>
      <w:r w:rsidRPr="004100CF">
        <w:rPr>
          <w:rFonts w:ascii="Times New Roman" w:hAnsi="Times New Roman" w:cs="Times New Roman"/>
        </w:rPr>
        <w:t xml:space="preserve"> and ∆∆</w:t>
      </w:r>
      <w:proofErr w:type="spellStart"/>
      <w:r w:rsidRPr="004100CF">
        <w:rPr>
          <w:rFonts w:ascii="Times New Roman" w:hAnsi="Times New Roman" w:cs="Times New Roman"/>
        </w:rPr>
        <w:t>G</w:t>
      </w:r>
      <w:r w:rsidRPr="004100CF">
        <w:rPr>
          <w:rFonts w:ascii="Times New Roman" w:hAnsi="Times New Roman" w:cs="Times New Roman"/>
          <w:vertAlign w:val="subscript"/>
        </w:rPr>
        <w:t>bind</w:t>
      </w:r>
      <w:proofErr w:type="spellEnd"/>
      <w:r w:rsidRPr="004100CF">
        <w:rPr>
          <w:rFonts w:ascii="Times New Roman" w:hAnsi="Times New Roman" w:cs="Times New Roman"/>
        </w:rPr>
        <w:t xml:space="preserve"> showed a modest correlation with each other (R</w:t>
      </w:r>
      <w:r w:rsidRPr="004100CF">
        <w:rPr>
          <w:rFonts w:ascii="Times New Roman" w:hAnsi="Times New Roman" w:cs="Times New Roman"/>
          <w:vertAlign w:val="superscript"/>
        </w:rPr>
        <w:t xml:space="preserve">2 </w:t>
      </w:r>
      <w:r w:rsidRPr="004100CF">
        <w:rPr>
          <w:rFonts w:ascii="Times New Roman" w:hAnsi="Times New Roman" w:cs="Times New Roman"/>
        </w:rPr>
        <w:t xml:space="preserve">= 0.25, p = 0.03). Thus, there are likely shared structural mechanisms that impact both these metrics. </w:t>
      </w:r>
      <w:r w:rsidR="00896543" w:rsidRPr="004100CF">
        <w:rPr>
          <w:rFonts w:ascii="Times New Roman" w:hAnsi="Times New Roman" w:cs="Times New Roman"/>
        </w:rPr>
        <w:t xml:space="preserve">Judging from the dominant impact of van der Waals energy component (Table 2), it is possible that these shared mechanisms include inefficiency in packing DOR within the NNIBP. </w:t>
      </w:r>
      <w:r w:rsidRPr="004100CF">
        <w:rPr>
          <w:rFonts w:ascii="Times New Roman" w:hAnsi="Times New Roman" w:cs="Times New Roman"/>
        </w:rPr>
        <w:t xml:space="preserve">However, </w:t>
      </w:r>
      <w:r w:rsidR="00247D42" w:rsidRPr="004100CF">
        <w:rPr>
          <w:rFonts w:ascii="Times New Roman" w:hAnsi="Times New Roman" w:cs="Times New Roman"/>
        </w:rPr>
        <w:t>∆∆</w:t>
      </w:r>
      <w:proofErr w:type="spellStart"/>
      <w:r w:rsidR="00247D42" w:rsidRPr="004100CF">
        <w:rPr>
          <w:rFonts w:ascii="Times New Roman" w:hAnsi="Times New Roman" w:cs="Times New Roman"/>
        </w:rPr>
        <w:t>E</w:t>
      </w:r>
      <w:r w:rsidR="00247D42" w:rsidRPr="004100CF">
        <w:rPr>
          <w:rFonts w:ascii="Times New Roman" w:hAnsi="Times New Roman" w:cs="Times New Roman"/>
          <w:vertAlign w:val="subscript"/>
        </w:rPr>
        <w:t>Total</w:t>
      </w:r>
      <w:proofErr w:type="spellEnd"/>
      <w:r w:rsidR="00247D42" w:rsidRPr="004100CF">
        <w:rPr>
          <w:rFonts w:ascii="Times New Roman" w:hAnsi="Times New Roman" w:cs="Times New Roman"/>
        </w:rPr>
        <w:t xml:space="preserve"> values typically showed larger error bars than ∆∆</w:t>
      </w:r>
      <w:proofErr w:type="spellStart"/>
      <w:r w:rsidR="00247D42" w:rsidRPr="004100CF">
        <w:rPr>
          <w:rFonts w:ascii="Times New Roman" w:hAnsi="Times New Roman" w:cs="Times New Roman"/>
        </w:rPr>
        <w:t>G</w:t>
      </w:r>
      <w:r w:rsidR="00247D42" w:rsidRPr="004100CF">
        <w:rPr>
          <w:rFonts w:ascii="Times New Roman" w:hAnsi="Times New Roman" w:cs="Times New Roman"/>
          <w:vertAlign w:val="subscript"/>
        </w:rPr>
        <w:t>bind</w:t>
      </w:r>
      <w:proofErr w:type="spellEnd"/>
      <w:r w:rsidR="00247D42" w:rsidRPr="004100CF">
        <w:rPr>
          <w:rFonts w:ascii="Times New Roman" w:hAnsi="Times New Roman" w:cs="Times New Roman"/>
        </w:rPr>
        <w:t xml:space="preserve">. This observation is not due to </w:t>
      </w:r>
      <w:r w:rsidR="00247D42" w:rsidRPr="004100CF">
        <w:rPr>
          <w:rFonts w:ascii="Times New Roman" w:hAnsi="Times New Roman" w:cs="Times New Roman"/>
        </w:rPr>
        <w:lastRenderedPageBreak/>
        <w:t xml:space="preserve">incomplete convergence of the </w:t>
      </w:r>
      <w:r w:rsidRPr="004100CF">
        <w:rPr>
          <w:rFonts w:ascii="Times New Roman" w:hAnsi="Times New Roman" w:cs="Times New Roman"/>
        </w:rPr>
        <w:t xml:space="preserve">equilibrium </w:t>
      </w:r>
      <w:r w:rsidR="00247D42" w:rsidRPr="004100CF">
        <w:rPr>
          <w:rFonts w:ascii="Times New Roman" w:hAnsi="Times New Roman" w:cs="Times New Roman"/>
        </w:rPr>
        <w:t>simulations (Supplementary Figure 1), rather intrinsic noise in the MM/GBSA approach for large and complex systems</w:t>
      </w:r>
      <w:r w:rsidRPr="004100CF">
        <w:rPr>
          <w:rFonts w:ascii="Times New Roman" w:hAnsi="Times New Roman" w:cs="Times New Roman"/>
        </w:rPr>
        <w:t xml:space="preserve"> (Supplementary Table 3)</w:t>
      </w:r>
      <w:r w:rsidR="00247D42" w:rsidRPr="004100CF">
        <w:rPr>
          <w:rFonts w:ascii="Times New Roman" w:hAnsi="Times New Roman" w:cs="Times New Roman"/>
        </w:rPr>
        <w:t xml:space="preserve">. This noise can be mitigated by </w:t>
      </w:r>
      <w:r w:rsidRPr="004100CF">
        <w:rPr>
          <w:rFonts w:ascii="Times New Roman" w:hAnsi="Times New Roman" w:cs="Times New Roman"/>
        </w:rPr>
        <w:t xml:space="preserve">(i) </w:t>
      </w:r>
      <w:r w:rsidR="00247D42" w:rsidRPr="004100CF">
        <w:rPr>
          <w:rFonts w:ascii="Times New Roman" w:hAnsi="Times New Roman" w:cs="Times New Roman"/>
        </w:rPr>
        <w:t>increasing the number of replicates</w:t>
      </w:r>
      <w:r w:rsidRPr="004100CF">
        <w:rPr>
          <w:rFonts w:ascii="Times New Roman" w:hAnsi="Times New Roman" w:cs="Times New Roman"/>
        </w:rPr>
        <w:t xml:space="preserve"> for each simulation </w:t>
      </w:r>
      <w:r w:rsidR="00F21F97" w:rsidRPr="004100CF">
        <w:rPr>
          <w:rFonts w:ascii="Times New Roman" w:hAnsi="Times New Roman" w:cs="Times New Roman"/>
        </w:rPr>
        <w:t>and</w:t>
      </w:r>
      <w:r w:rsidRPr="004100CF">
        <w:rPr>
          <w:rFonts w:ascii="Times New Roman" w:hAnsi="Times New Roman" w:cs="Times New Roman"/>
        </w:rPr>
        <w:t xml:space="preserve"> (ii) freezing or truncating the atoms far from the binding pocket</w:t>
      </w:r>
      <w:r w:rsidR="00247D42" w:rsidRPr="004100CF">
        <w:rPr>
          <w:rFonts w:ascii="Times New Roman" w:hAnsi="Times New Roman" w:cs="Times New Roman"/>
        </w:rPr>
        <w:t>.</w:t>
      </w:r>
    </w:p>
    <w:p w14:paraId="17132AAB" w14:textId="1B3B217F" w:rsidR="000C66C6" w:rsidRPr="004100CF" w:rsidRDefault="000C66C6" w:rsidP="000C66C6">
      <w:pPr>
        <w:spacing w:after="240"/>
        <w:rPr>
          <w:rFonts w:ascii="Times New Roman" w:hAnsi="Times New Roman" w:cs="Times New Roman"/>
        </w:rPr>
      </w:pPr>
      <w:r w:rsidRPr="004100CF">
        <w:rPr>
          <w:rFonts w:ascii="Times New Roman" w:hAnsi="Times New Roman" w:cs="Times New Roman"/>
        </w:rPr>
        <w:t xml:space="preserve">Since the </w:t>
      </w:r>
      <w:r w:rsidR="00896543" w:rsidRPr="004100CF">
        <w:rPr>
          <w:rFonts w:ascii="Times New Roman" w:hAnsi="Times New Roman" w:cs="Times New Roman"/>
        </w:rPr>
        <w:t>nonequilibrium</w:t>
      </w:r>
      <w:r w:rsidRPr="004100CF">
        <w:rPr>
          <w:rFonts w:ascii="Times New Roman" w:hAnsi="Times New Roman" w:cs="Times New Roman"/>
        </w:rPr>
        <w:t xml:space="preserve"> FEP method involved </w:t>
      </w:r>
      <w:r w:rsidR="00896543" w:rsidRPr="004100CF">
        <w:rPr>
          <w:rFonts w:ascii="Times New Roman" w:hAnsi="Times New Roman" w:cs="Times New Roman"/>
        </w:rPr>
        <w:t>energy dissipation (Supplementary Figure 2)</w:t>
      </w:r>
      <w:r w:rsidRPr="004100CF">
        <w:rPr>
          <w:rFonts w:ascii="Times New Roman" w:hAnsi="Times New Roman" w:cs="Times New Roman"/>
        </w:rPr>
        <w:t xml:space="preserve">, </w:t>
      </w:r>
      <w:r w:rsidR="00896543" w:rsidRPr="004100CF">
        <w:rPr>
          <w:rFonts w:ascii="Times New Roman" w:hAnsi="Times New Roman" w:cs="Times New Roman"/>
        </w:rPr>
        <w:t>charge-changing transitions, e.g. Lys</w:t>
      </w:r>
      <w:r w:rsidR="00D620D9" w:rsidRPr="004100CF">
        <w:rPr>
          <w:rFonts w:ascii="Times New Roman" w:hAnsi="Times New Roman" w:cs="Times New Roman"/>
          <w:vertAlign w:val="superscript"/>
        </w:rPr>
        <w:t>+1</w:t>
      </w:r>
      <w:r w:rsidR="00896543" w:rsidRPr="004100CF">
        <w:rPr>
          <w:rFonts w:ascii="Times New Roman" w:hAnsi="Times New Roman" w:cs="Times New Roman"/>
        </w:rPr>
        <w:t xml:space="preserve"> to Asn</w:t>
      </w:r>
      <w:r w:rsidR="00D620D9" w:rsidRPr="004100CF">
        <w:rPr>
          <w:rFonts w:ascii="Times New Roman" w:hAnsi="Times New Roman" w:cs="Times New Roman"/>
          <w:vertAlign w:val="superscript"/>
        </w:rPr>
        <w:t>0</w:t>
      </w:r>
      <w:r w:rsidR="00896543" w:rsidRPr="004100CF">
        <w:rPr>
          <w:rFonts w:ascii="Times New Roman" w:hAnsi="Times New Roman" w:cs="Times New Roman"/>
        </w:rPr>
        <w:t xml:space="preserve"> in K103N or Gly</w:t>
      </w:r>
      <w:r w:rsidR="00D620D9" w:rsidRPr="004100CF">
        <w:rPr>
          <w:rFonts w:ascii="Times New Roman" w:hAnsi="Times New Roman" w:cs="Times New Roman"/>
          <w:vertAlign w:val="superscript"/>
        </w:rPr>
        <w:t>0</w:t>
      </w:r>
      <w:r w:rsidR="00896543" w:rsidRPr="004100CF">
        <w:rPr>
          <w:rFonts w:ascii="Times New Roman" w:hAnsi="Times New Roman" w:cs="Times New Roman"/>
        </w:rPr>
        <w:t xml:space="preserve"> to Glu</w:t>
      </w:r>
      <w:r w:rsidR="00D620D9" w:rsidRPr="004100CF">
        <w:rPr>
          <w:rFonts w:ascii="Times New Roman" w:hAnsi="Times New Roman" w:cs="Times New Roman"/>
          <w:vertAlign w:val="superscript"/>
        </w:rPr>
        <w:t>+1</w:t>
      </w:r>
      <w:r w:rsidR="00896543" w:rsidRPr="004100CF">
        <w:rPr>
          <w:rFonts w:ascii="Times New Roman" w:hAnsi="Times New Roman" w:cs="Times New Roman"/>
        </w:rPr>
        <w:t xml:space="preserve"> in G190E, incurred </w:t>
      </w:r>
      <w:r w:rsidR="00D620D9" w:rsidRPr="004100CF">
        <w:rPr>
          <w:rFonts w:ascii="Times New Roman" w:hAnsi="Times New Roman" w:cs="Times New Roman"/>
        </w:rPr>
        <w:t>especially dissipative switches</w:t>
      </w:r>
      <w:r w:rsidR="00E62ECA" w:rsidRPr="004100CF">
        <w:rPr>
          <w:rFonts w:ascii="Times New Roman" w:hAnsi="Times New Roman" w:cs="Times New Roman"/>
        </w:rPr>
        <w:t xml:space="preserve"> (</w:t>
      </w:r>
      <w:r w:rsidR="00E62ECA" w:rsidRPr="004100CF">
        <w:rPr>
          <w:rFonts w:ascii="Cambria Math" w:hAnsi="Cambria Math" w:cs="Cambria Math"/>
          <w:szCs w:val="24"/>
        </w:rPr>
        <w:t>⟨</w:t>
      </w:r>
      <w:proofErr w:type="spellStart"/>
      <w:r w:rsidR="00E62ECA" w:rsidRPr="004100CF">
        <w:rPr>
          <w:rFonts w:ascii="Times New Roman" w:hAnsi="Times New Roman" w:cs="Times New Roman"/>
          <w:szCs w:val="24"/>
        </w:rPr>
        <w:t>W</w:t>
      </w:r>
      <w:r w:rsidR="00E62ECA" w:rsidRPr="004100CF">
        <w:rPr>
          <w:rFonts w:ascii="Times New Roman" w:hAnsi="Times New Roman" w:cs="Times New Roman"/>
          <w:szCs w:val="24"/>
          <w:vertAlign w:val="subscript"/>
        </w:rPr>
        <w:t>f</w:t>
      </w:r>
      <w:proofErr w:type="spellEnd"/>
      <w:r w:rsidR="00E62ECA" w:rsidRPr="004100CF">
        <w:rPr>
          <w:rFonts w:ascii="Cambria Math" w:hAnsi="Cambria Math" w:cs="Cambria Math"/>
          <w:szCs w:val="24"/>
        </w:rPr>
        <w:t>⟩</w:t>
      </w:r>
      <w:r w:rsidR="00E62ECA" w:rsidRPr="004100CF">
        <w:rPr>
          <w:rFonts w:ascii="Times New Roman" w:hAnsi="Times New Roman" w:cs="Times New Roman"/>
          <w:szCs w:val="24"/>
        </w:rPr>
        <w:t xml:space="preserve"> - </w:t>
      </w:r>
      <w:r w:rsidR="00E62ECA" w:rsidRPr="004100CF">
        <w:rPr>
          <w:rFonts w:ascii="Cambria Math" w:hAnsi="Cambria Math" w:cs="Cambria Math"/>
          <w:szCs w:val="24"/>
        </w:rPr>
        <w:t>⟨</w:t>
      </w:r>
      <w:proofErr w:type="spellStart"/>
      <w:r w:rsidR="00E62ECA" w:rsidRPr="004100CF">
        <w:rPr>
          <w:rFonts w:ascii="Times New Roman" w:hAnsi="Times New Roman" w:cs="Times New Roman"/>
          <w:szCs w:val="24"/>
        </w:rPr>
        <w:t>W</w:t>
      </w:r>
      <w:r w:rsidR="00E62ECA" w:rsidRPr="004100CF">
        <w:rPr>
          <w:rFonts w:ascii="Times New Roman" w:hAnsi="Times New Roman" w:cs="Times New Roman"/>
          <w:szCs w:val="24"/>
          <w:vertAlign w:val="subscript"/>
        </w:rPr>
        <w:t>r</w:t>
      </w:r>
      <w:proofErr w:type="spellEnd"/>
      <w:r w:rsidR="00E62ECA" w:rsidRPr="004100CF">
        <w:rPr>
          <w:rFonts w:ascii="Cambria Math" w:hAnsi="Cambria Math" w:cs="Cambria Math"/>
          <w:szCs w:val="24"/>
        </w:rPr>
        <w:t>⟩</w:t>
      </w:r>
      <w:r w:rsidR="00E62ECA" w:rsidRPr="004100CF">
        <w:rPr>
          <w:rFonts w:ascii="Times New Roman" w:hAnsi="Times New Roman" w:cs="Times New Roman"/>
          <w:szCs w:val="24"/>
        </w:rPr>
        <w:t xml:space="preserve"> </w:t>
      </w:r>
      <w:r w:rsidR="00E62ECA" w:rsidRPr="004100CF">
        <w:rPr>
          <w:rFonts w:ascii="Times New Roman" w:hAnsi="Times New Roman" w:cs="Times New Roman"/>
        </w:rPr>
        <w:t xml:space="preserve">&gt; 10kcal/mol). These cases and others required longer (500ps vs 100ps) switching protocols to obtain reasonable overlap between Work distributions. However, in some cases (e.g. G190E), this was not enough to mitigate the errors. </w:t>
      </w:r>
      <w:r w:rsidR="00F21F97" w:rsidRPr="004100CF">
        <w:rPr>
          <w:rFonts w:ascii="Times New Roman" w:hAnsi="Times New Roman" w:cs="Times New Roman"/>
        </w:rPr>
        <w:t>In such cases, errors can be mitigated by (i) increasing number of replicates and (ii) increasing length of switching protocol.</w:t>
      </w:r>
    </w:p>
    <w:p w14:paraId="789889F9" w14:textId="7322CA4D" w:rsidR="00CA031B" w:rsidRPr="004100CF" w:rsidRDefault="000C3A23" w:rsidP="00B813C0">
      <w:pPr>
        <w:spacing w:after="240"/>
        <w:rPr>
          <w:rFonts w:ascii="Times New Roman" w:hAnsi="Times New Roman" w:cs="Times New Roman"/>
        </w:rPr>
      </w:pPr>
      <w:r w:rsidRPr="004100CF">
        <w:rPr>
          <w:rFonts w:ascii="Times New Roman" w:hAnsi="Times New Roman" w:cs="Times New Roman"/>
        </w:rPr>
        <w:t xml:space="preserve">Beyond error mitigation, there is a fundamental gap in comparing </w:t>
      </w:r>
      <w:r w:rsidRPr="004100CF">
        <w:rPr>
          <w:rFonts w:ascii="Times New Roman" w:hAnsi="Times New Roman" w:cs="Times New Roman"/>
          <w:i/>
          <w:iCs/>
        </w:rPr>
        <w:t xml:space="preserve">in silico </w:t>
      </w:r>
      <w:r w:rsidRPr="004100CF">
        <w:rPr>
          <w:rFonts w:ascii="Times New Roman" w:hAnsi="Times New Roman" w:cs="Times New Roman"/>
        </w:rPr>
        <w:t xml:space="preserve">binding </w:t>
      </w:r>
      <w:r w:rsidR="004B4FAC" w:rsidRPr="004100CF">
        <w:rPr>
          <w:rFonts w:ascii="Times New Roman" w:hAnsi="Times New Roman" w:cs="Times New Roman"/>
        </w:rPr>
        <w:t xml:space="preserve">free </w:t>
      </w:r>
      <w:r w:rsidRPr="004100CF">
        <w:rPr>
          <w:rFonts w:ascii="Times New Roman" w:hAnsi="Times New Roman" w:cs="Times New Roman"/>
        </w:rPr>
        <w:t xml:space="preserve">energy calculations with drug susceptibility changes observed in the laboratory. </w:t>
      </w:r>
      <w:r w:rsidR="005F2C5F" w:rsidRPr="004100CF">
        <w:rPr>
          <w:rFonts w:ascii="Times New Roman" w:hAnsi="Times New Roman" w:cs="Times New Roman"/>
        </w:rPr>
        <w:t xml:space="preserve">Drug resistance could occur via a variety of mechanisms, including impacting </w:t>
      </w:r>
      <w:r w:rsidR="004B4FAC" w:rsidRPr="004100CF">
        <w:rPr>
          <w:rFonts w:ascii="Times New Roman" w:hAnsi="Times New Roman" w:cs="Times New Roman"/>
        </w:rPr>
        <w:t xml:space="preserve">interactions between the drug and the pocket residues, opening/closing of drug pocket in the </w:t>
      </w:r>
      <w:r w:rsidR="004B4FAC" w:rsidRPr="004100CF">
        <w:rPr>
          <w:rFonts w:ascii="Times New Roman" w:hAnsi="Times New Roman" w:cs="Times New Roman"/>
          <w:i/>
          <w:iCs/>
        </w:rPr>
        <w:t xml:space="preserve">apo </w:t>
      </w:r>
      <w:r w:rsidR="004B4FAC" w:rsidRPr="004100CF">
        <w:rPr>
          <w:rFonts w:ascii="Times New Roman" w:hAnsi="Times New Roman" w:cs="Times New Roman"/>
        </w:rPr>
        <w:t>configuration, perturbing enzyme activity/fitness, etc</w:t>
      </w:r>
      <w:r w:rsidR="007C27D8" w:rsidRPr="004100CF">
        <w:rPr>
          <w:rFonts w:ascii="Times New Roman" w:hAnsi="Times New Roman" w:cs="Times New Roman"/>
        </w:rPr>
        <w:t>., and not all of these mechanisms are captured in our calculations.</w:t>
      </w:r>
      <w:r w:rsidR="00785447" w:rsidRPr="004100CF">
        <w:rPr>
          <w:rFonts w:ascii="Times New Roman" w:hAnsi="Times New Roman" w:cs="Times New Roman"/>
        </w:rPr>
        <w:t xml:space="preserve"> These, however, can be taken into account through more advanced computational approaches</w:t>
      </w:r>
      <w:r w:rsidR="005F4A15" w:rsidRPr="004100CF">
        <w:rPr>
          <w:rFonts w:ascii="Times New Roman" w:hAnsi="Times New Roman" w:cs="Times New Roman"/>
        </w:rPr>
        <w:t xml:space="preserve">, such as </w:t>
      </w:r>
      <w:r w:rsidR="00A56C40" w:rsidRPr="004100CF">
        <w:rPr>
          <w:rFonts w:ascii="Times New Roman" w:hAnsi="Times New Roman" w:cs="Times New Roman"/>
        </w:rPr>
        <w:t>hybrid QM/MM approaches,</w:t>
      </w:r>
      <w:r w:rsidR="00793866" w:rsidRPr="004100CF">
        <w:rPr>
          <w:rFonts w:ascii="Times New Roman" w:hAnsi="Times New Roman" w:cs="Times New Roman"/>
        </w:rPr>
        <w:fldChar w:fldCharType="begin"/>
      </w:r>
      <w:r w:rsidR="00793866" w:rsidRPr="004100CF">
        <w:rPr>
          <w:rFonts w:ascii="Times New Roman" w:hAnsi="Times New Roman" w:cs="Times New Roman"/>
        </w:rPr>
        <w:instrText xml:space="preserve"> ADDIN ZOTERO_ITEM CSL_CITATION {"citationID":"sLjTkXhC","properties":{"unsorted":true,"formattedCitation":"\\super 69,70\\nosupersub{}","plainCitation":"69,70","noteIndex":0},"citationItems":[{"id":338,"uris":["http://zotero.org/users/19404620/items/GTRLFGP9"],"itemData":{"id":338,"type":"article-journal","abstract":"Computational\nenzymology is a rapidly maturing field that is increasingly\nintegral to understanding mechanisms of enzyme-catalyzed reactions and their practical applications. Combined quantum mechanics/molecular mechanics (QM/MM) methods are important in this field. By treating the reacting species with a quantum mechanical method (i.e., a method that calculates the electronic structure of the active site) and including the enzyme environment with simpler molecular mechanical methods, enzyme reactions can be modeled. Here, we review QM/MM methods and their application to enzyme-catalyzed reactions to investigate fundamental and practical problems in enzymology. A range of QM/MM methods is available, from cheaper and more approximate methods, which can be used for molecular dynamics simulations, to highly accurate electronic structure methods. We discuss how modeling of reactions using such methods can provide detailed insight into enzyme mechanisms and illustrate this by reviewing some recent applications. We outline some practical considerations for such simulations. Further, we highlight applications that show how QM/MM methods can contribute to the practical development and application of enzymology, e.g., in the interpretation and prediction of the effects of mutagenesis and in drug and catalyst design.","container-title":"Biochemistry","DOI":"10.1021/bi400215w","ISSN":"0006-2960","issue":"16","journalAbbreviation":"Biochemistry","page":"2708-2728","source":"Silverchair","title":"Combined Quantum Mechanics/Molecular Mechanics (QM/MM) Methods in Computational Enzymology","volume":"52","author":[{"family":"Kamp","given":"Marc W.","non-dropping-particle":"van der"},{"family":"Mulholland","given":"Adrian J."}],"issued":{"date-parts":[["2013",4,4]]}}},{"id":340,"uris":["http://zotero.org/users/19404620/items/2JIEDPSK"],"itemData":{"id":340,"type":"article-journal","abstract":"A human immunodeficiency virus-1\n(HIV-1) protease is a homodimeric\naspartic protease essential for the replication of HIV. The HIV-1 protease is a target protein in drug discovery for antiretroviral therapy, and various inhibitor molecules of transition state analogues have been developed. However, serious drug-resistant mutants have emerged. For understanding the molecular mechanism of the drug resistance, an accurate examination of the impacts of the mutations on ligand binding and enzymatic activity is necessary. Here, we present a molecular simulation study on the ligand binding of indinavir, a potent transition state analogue inhibitor, to the wild-type protein and a V82T/I84V drug-resistant mutant of the HIV-1 protease. We employed a hybrid ab initio quantum mechanical/molecular mechanical (QM/MM) free-energy optimization technique which combines a highly accurate QM description of the ligand molecule and its interaction with statistically ample conformational sampling of the MM protein environment by long-time molecular dynamics simulations. Through the free-energy calculations of protonation states of catalytic groups at the binding pocket and of the ligand-binding affinity changes upon the mutations, we successfully reproduced the experimentally observed significant reduction of the binding affinity upon the drug-resistant mutations and elucidated the underlying molecular mechanism. The present study opens the way for understanding the molecular mechanism of drug resistance through the direct quantitative comparison of ligand binding and enzymatic reaction with the same accuracy.","container-title":"Journal of Chemical Information and Modeling","DOI":"10.1021/acs.jcim.1c01193","ISSN":"1549-9596","issue":"5","journalAbbreviation":"J. Chem. Inf. Model.","page":"1328-1344","source":"Silverchair","title":"Hybrid QM/MM Free-Energy Evaluation of Drug-Resistant Mutational Effect on the Binding of an Inhibitor Indinavir to HIV‑1 Protease","volume":"62","author":[{"family":"Taguchi","given":"Masahiko"},{"family":"Oyama","given":"Ryo"},{"family":"Kaneso","given":"Masahiro"},{"family":"Hayashi","given":"Shigehiko"}],"issued":{"date-parts":[["2022",2,25]]}}}],"schema":"https://github.com/citation-style-language/schema/raw/master/csl-citation.json"} </w:instrText>
      </w:r>
      <w:r w:rsidR="00793866" w:rsidRPr="004100CF">
        <w:rPr>
          <w:rFonts w:ascii="Times New Roman" w:hAnsi="Times New Roman" w:cs="Times New Roman"/>
        </w:rPr>
        <w:fldChar w:fldCharType="separate"/>
      </w:r>
      <w:r w:rsidR="00793866" w:rsidRPr="004100CF">
        <w:rPr>
          <w:rFonts w:ascii="Times New Roman" w:hAnsi="Times New Roman" w:cs="Times New Roman"/>
          <w:szCs w:val="24"/>
          <w:vertAlign w:val="superscript"/>
        </w:rPr>
        <w:t>69,70</w:t>
      </w:r>
      <w:r w:rsidR="00793866" w:rsidRPr="004100CF">
        <w:rPr>
          <w:rFonts w:ascii="Times New Roman" w:hAnsi="Times New Roman" w:cs="Times New Roman"/>
        </w:rPr>
        <w:fldChar w:fldCharType="end"/>
      </w:r>
      <w:r w:rsidR="00A56C40" w:rsidRPr="004100CF">
        <w:rPr>
          <w:rFonts w:ascii="Times New Roman" w:hAnsi="Times New Roman" w:cs="Times New Roman"/>
        </w:rPr>
        <w:t xml:space="preserve"> </w:t>
      </w:r>
      <w:r w:rsidR="005F4A15" w:rsidRPr="004100CF">
        <w:rPr>
          <w:rFonts w:ascii="Times New Roman" w:hAnsi="Times New Roman" w:cs="Times New Roman"/>
        </w:rPr>
        <w:t>enhanced sampling techniques</w:t>
      </w:r>
      <w:r w:rsidR="00A56C40" w:rsidRPr="004100CF">
        <w:rPr>
          <w:rFonts w:ascii="Times New Roman" w:hAnsi="Times New Roman" w:cs="Times New Roman"/>
        </w:rPr>
        <w:t>,</w:t>
      </w:r>
      <w:r w:rsidR="00793866" w:rsidRPr="004100CF">
        <w:rPr>
          <w:rFonts w:ascii="Times New Roman" w:hAnsi="Times New Roman" w:cs="Times New Roman"/>
        </w:rPr>
        <w:fldChar w:fldCharType="begin"/>
      </w:r>
      <w:r w:rsidR="00793866" w:rsidRPr="004100CF">
        <w:rPr>
          <w:rFonts w:ascii="Times New Roman" w:hAnsi="Times New Roman" w:cs="Times New Roman"/>
        </w:rPr>
        <w:instrText xml:space="preserve"> ADDIN ZOTERO_ITEM CSL_CITATION {"citationID":"rSbnknBS","properties":{"unsorted":true,"formattedCitation":"\\super 71\\uc0\\u8211{}73\\nosupersub{}","plainCitation":"71–73","noteIndex":0},"citationItems":[{"id":344,"uris":["http://zotero.org/users/19404620/items/LYV9Y28D"],"itemData":{"id":344,"type":"article-journal","abstract":"Understanding the structural mechanisms of protein–ligand binding and their dependence on protein sequence and conformation is of fundamental importance for biomedical research. Here we investigate the interplay of conformational change and ligand-binding kinetics for the serine protease Trypsin and its competitive inhibitor Benzamidine with an extensive set of 150 μs molecular dynamics simulation data, analysed using a Markov state model. Seven metastable conformations with different binding pocket structures are found that interconvert at timescales of tens of microseconds. These conformations differ in their substrate-binding affinities and binding/dissociation rates. For each metastable state, corresponding solved structures of Trypsin mutants or similar serine proteases are contained in the protein data bank. Thus, our wild-type simulations explore a space of conformations that can be individually stabilized by adding ligands or making suitable changes in protein sequence. These findings provide direct evidence of conformational plasticity in receptors.","container-title":"Nature Communications","DOI":"10.1038/ncomms8653","ISSN":"2041-1723","issue":"1","journalAbbreviation":"Nat Commun","language":"en","license":"2015 The Author(s)","page":"7653","publisher":"Nature Publishing Group","source":"www-nature-com.stanford.idm.oclc.org","title":"Protein conformational plasticity and complex ligand-binding kinetics explored by atomistic simulations and Markov models","volume":"6","author":[{"family":"Plattner","given":"Nuria"},{"family":"Noé","given":"Frank"}],"issued":{"date-parts":[["2015",7,2]]}}},{"id":342,"uris":["http://zotero.org/users/19404620/items/QEBNVLBI"],"itemData":{"id":342,"type":"article-journal","abstract":"The ability to predict the mechanisms and the associated rate constants of protein–ligand unbinding is of great practical importance in drug design. In this work we demonstrate how a recently introduced metadynamics-based approach allows exploration of the unbinding pathways, estimation of the rates, and determination of the rate-limiting steps in the paradigmatic case of the trypsin–benzamidine system. Protein, ligand, and solvent are described with full atomic resolution. Using metadynamics, multiple unbinding trajectories that start with the ligand in the crystallographic binding pose and end with the ligand in the fully solvated state are generated. The unbinding rate koff is computed from the mean residence time of the ligand. Using our previously computed binding affinity we also obtain the binding rate kon. Both rates are in agreement with reported experimental values. We uncover the complex pathways of unbinding trajectories and describe the critical rate-limiting steps with unprecedented detail. Our findings illuminate the role played by the coupling between subtle protein backbone fluctuations and the solvation by water molecules that enter the binding pocket and assist in the breaking of the shielded hydrogen bonds. We expect our approach to be useful in calculating rates for general protein–ligand systems and a valid support for drug design.","container-title":"Proceedings of the National Academy of Sciences","DOI":"10.1073/pnas.1424461112","issue":"5","page":"E386-E391","publisher":"Proceedings of the National Academy of Sciences","source":"www-pnas-org.stanford.idm.oclc.org (Atypon)","title":"Kinetics of protein–ligand unbinding: Predicting pathways, rates, and rate-limiting steps","title-short":"Kinetics of protein–ligand unbinding","volume":"112","author":[{"family":"Tiwary","given":"Pratyush"},{"family":"Limongelli","given":"Vittorio"},{"family":"Salvalaglio","given":"Matteo"},{"family":"Parrinello","given":"Michele"}],"issued":{"date-parts":[["2015",2,3]]}}},{"id":346,"uris":["http://zotero.org/users/19404620/items/DEN4ZGH3"],"itemData":{"id":346,"type":"article-journal","abstract":"Accurate and efficient\ncomputational predictions of ligand binding\nkinetics can be useful to inform drug discovery campaigns, particularly in the screening and lead optimization phases. Simulation enabled estimation of kinetic rates (SEEKR) is a multiscale molecular dynamics, Brownian dynamics, and milestoning simulation approach for calculating receptor–ligand association and dissociation rates. Here, we\npresent the implementation of a Markovian milestoning with Voronoi tessellations approach that significantly reduces the simulation cost of calculations as well as further improving their parallelizability. The new approach is applied to a host–guest system to assess\nits effectiveness for rank-ordering compounds by kinetic rates and to the model protein system, trypsin, with the noncovalent inhibitor benzamidine. For both applications, we demonstrate that the new approach requires up to a factor of 10 less simulation time to achieve results with comparable or increased accuracy.","container-title":"Journal of Chemical Theory and Computation","DOI":"10.1021/acs.jctc.0c00495","ISSN":"1549-9618","issue":"8","journalAbbreviation":"J. Chem. Theory Comput.","page":"5348-5357","source":"Silverchair","title":"Predicting Ligand Binding Kinetics Using a Markovian Milestoning with Voronoi Tessellations Multiscale Approach","volume":"16","author":[{"family":"Jagger","given":"Benjamin R."},{"family":"Ojha","given":"Anupam A."},{"family":"Amaro","given":"Rommie E."}],"issued":{"date-parts":[["2020",6,24]]}}}],"schema":"https://github.com/citation-style-language/schema/raw/master/csl-citation.json"} </w:instrText>
      </w:r>
      <w:r w:rsidR="00793866" w:rsidRPr="004100CF">
        <w:rPr>
          <w:rFonts w:ascii="Times New Roman" w:hAnsi="Times New Roman" w:cs="Times New Roman"/>
        </w:rPr>
        <w:fldChar w:fldCharType="separate"/>
      </w:r>
      <w:r w:rsidR="00793866" w:rsidRPr="004100CF">
        <w:rPr>
          <w:rFonts w:ascii="Times New Roman" w:hAnsi="Times New Roman" w:cs="Times New Roman"/>
          <w:szCs w:val="24"/>
          <w:vertAlign w:val="superscript"/>
        </w:rPr>
        <w:t>71–73</w:t>
      </w:r>
      <w:r w:rsidR="00793866" w:rsidRPr="004100CF">
        <w:rPr>
          <w:rFonts w:ascii="Times New Roman" w:hAnsi="Times New Roman" w:cs="Times New Roman"/>
        </w:rPr>
        <w:fldChar w:fldCharType="end"/>
      </w:r>
      <w:r w:rsidR="005F4A15" w:rsidRPr="004100CF">
        <w:rPr>
          <w:rFonts w:ascii="Times New Roman" w:hAnsi="Times New Roman" w:cs="Times New Roman"/>
        </w:rPr>
        <w:t xml:space="preserve"> and</w:t>
      </w:r>
      <w:r w:rsidR="00785447" w:rsidRPr="004100CF">
        <w:rPr>
          <w:rFonts w:ascii="Times New Roman" w:hAnsi="Times New Roman" w:cs="Times New Roman"/>
        </w:rPr>
        <w:t xml:space="preserve"> </w:t>
      </w:r>
      <w:r w:rsidR="005F4A15" w:rsidRPr="004100CF">
        <w:rPr>
          <w:rFonts w:ascii="Times New Roman" w:hAnsi="Times New Roman" w:cs="Times New Roman"/>
        </w:rPr>
        <w:t>machine learning</w:t>
      </w:r>
      <w:r w:rsidR="00785447" w:rsidRPr="004100CF">
        <w:rPr>
          <w:rFonts w:ascii="Times New Roman" w:hAnsi="Times New Roman" w:cs="Times New Roman"/>
        </w:rPr>
        <w:t>.</w:t>
      </w:r>
      <w:r w:rsidR="00793866" w:rsidRPr="004100CF">
        <w:rPr>
          <w:rFonts w:ascii="Times New Roman" w:hAnsi="Times New Roman" w:cs="Times New Roman"/>
        </w:rPr>
        <w:fldChar w:fldCharType="begin"/>
      </w:r>
      <w:r w:rsidR="00793866" w:rsidRPr="004100CF">
        <w:rPr>
          <w:rFonts w:ascii="Times New Roman" w:hAnsi="Times New Roman" w:cs="Times New Roman"/>
        </w:rPr>
        <w:instrText xml:space="preserve"> ADDIN ZOTERO_ITEM CSL_CITATION {"citationID":"QwpykdhK","properties":{"unsorted":false,"formattedCitation":"\\super 74\\uc0\\u8211{}76\\nosupersub{}","plainCitation":"74–76","noteIndex":0},"citationItems":[{"id":352,"uris":["http://zotero.org/users/19404620/items/ZQMDXA4E"],"itemData":{"id":352,"type":"article","abstract":"Predicting the binding structure of a small molecule ligand to a protein -- a task known as molecular docking -- is critical to drug design. Recent deep learning methods that treat docking as a regression problem have decreased runtime compared to traditional search-based methods but have yet to offer substantial improvements in accuracy. We instead frame molecular docking as a generative modeling problem and develop DiffDock, a diffusion generative model over the non-Euclidean manifold of ligand poses. To do so, we map this manifold to the product space of the degrees of freedom (translational, rotational, and torsional) involved in docking and develop an efficient diffusion process on this space. Empirically, DiffDock obtains a 38% top-1 success rate (RMSD&lt;2A) on PDBBind, significantly outperforming the previous state-of-the-art of traditional docking (23%) and deep learning (20%) methods. Moreover, while previous methods are not able to dock on computationally folded structures (maximum accuracy 10.4%), DiffDock maintains significantly higher precision (21.7%). Finally, DiffDock has fast inference times and provides confidence estimates with high selective accuracy.","DOI":"10.48550/arXiv.2210.01776","note":"arXiv:2210.01776 [q-bio.BM]","number":"arXiv:2210.01776","publisher":"arXiv","source":"arXiv.org","title":"DiffDock: Diffusion Steps, Twists, and Turns for Molecular Docking","title-short":"DiffDock","URL":"http://arxiv.org/abs/2210.01776","author":[{"family":"Corso","given":"Gabriele"},{"family":"Stärk","given":"Hannes"},{"family":"Jing","given":"Bowen"},{"family":"Barzilay","given":"Regina"},{"family":"Jaakkola","given":"Tommi"}],"accessed":{"date-parts":[["2026",8,20]]},"issued":{"date-parts":[["2023",2,11]]}}},{"id":348,"uris":["http://zotero.org/users/19404620/items/KQKRH3EP"],"itemData":{"id":348,"type":"article","abstract":"Understanding biomolecular interactions is fundamental to advancing fields like drug discovery and protein design. In this paper, we introduce Boltz-1, an open-source deep learning model incorporating innovations in model architecture, speed optimization, and data processing achieving AlphaFold3-level accuracy in predicting the 3D structures of biomolecular complexes. Boltz-1 demonstrates a performance on-par with state-of-the-art commercial models on a range of diverse benchmarks, setting a new benchmark for commercially accessible tools in structural biology. Further, we push the boundary of capabilities of these models with Boltz-steering, a new inference time steering technique that is able to fix hallucinations and non-physical predictions from the models. By releasing the training and inference code, model weights, datasets, and benchmarks under the MIT open license, we aim to foster global collaboration, accelerate discoveries, and provide a robust platform for advancing biomolecular modeling.","DOI":"10.1101/2024.11.19.624167","language":"en","license":"© 2025, Posted by Cold Spring Harbor Laboratory. This pre-print is available under a Creative Commons License (Attribution 4.0 International), CC BY 4.0, as described at http://creativecommons.org/licenses/by/4.0/","note":"page: 2024.11.19.624167\nsection: New Results","publisher":"bioRxiv","source":"bioRxiv","title":"Boltz-1 Democratizing Biomolecular Interaction Modeling","URL":"https://www.biorxiv.org/content/10.1101/2024.11.19.624167v4","author":[{"family":"Wohlwend","given":"Jeremy"},{"family":"Corso","given":"Gabriele"},{"family":"Passaro","given":"Saro"},{"family":"Getz","given":"Noah"},{"family":"Reveiz","given":"Mateo"},{"family":"Leidal","given":"Ken"},{"family":"Swiderski","given":"Wojtek"},{"family":"Atkinson","given":"Liam"},{"family":"Portnoi","given":"Tally"},{"family":"Chinn","given":"Itamar"},{"family":"Silterra","given":"Jacob"},{"family":"Jaakkola","given":"Tommi"},{"family":"Barzilay","given":"Regina"}],"accessed":{"date-parts":[["2026",8,20]]},"issued":{"date-parts":[["2025",5,6]]}}},{"id":350,"uris":["http://zotero.org/users/19404620/items/A8UIUTHT"],"itemData":{"id":350,"type":"article","abstract":"Accurately modeling biomolecular interactions is a central challenge in modern biology. While recent advances, such as AlphaFold3 and Boltz-1, have substantially improved our ability to predict biomolecular complex structures, these models still fall short in predicting binding affinity, a critical property underlying molecular function and therapeutic efficacy. Here, we present Boltz-2, a new structural biology foundation model that exhibits strong performance for both structure and affinity prediction. Boltz-2 introduces controllability features including experimental method conditioning, distance constraints, and multi-chain template integration for structure prediction, and is, to our knowledge, the first AI model to approach the performance of free-energy perturbation (FEP) methods in estimating small molecule–protein binding affinity. Crucially, it achieves strong correlation with experimental readouts on many benchmarks, while being at least 1000× more computationally efficient than FEP. By coupling Boltz-2 with a generative model for small molecules, we demonstrate an effective workflow to find diverse, synthesizable, high-affinity binders, as estimated by absolute FEP simulations on the TYK2 target. To foster broad adoption and further innovation at the intersection of machine learning and biology, we are releasing Boltz-2 weights, inference, and training code 1 under a permissive open license, providing a robust and extensible foundation for both academic and industrial research.","DOI":"10.1101/2025.06.14.659707","language":"en","license":"© 2025, Posted by Cold Spring Harbor Laboratory. This pre-print is available under a Creative Commons License (Attribution 4.0 International), CC BY 4.0, as described at http://creativecommons.org/licenses/by/4.0/","note":"page: 2025.06.14.659707\nsection: New Results","publisher":"bioRxiv","source":"bioRxiv","title":"Boltz-2: Towards Accurate and Efficient Binding Affinity Prediction","title-short":"Boltz-2","URL":"https://www.biorxiv.org/content/10.1101/2025.06.14.659707v1","author":[{"family":"Passaro","given":"Saro"},{"family":"Corso","given":"Gabriele"},{"family":"Wohlwend","given":"Jeremy"},{"family":"Reveiz","given":"Mateo"},{"family":"Thaler","given":"Stephan"},{"family":"Somnath","given":"Vignesh Ram"},{"family":"Getz","given":"Noah"},{"family":"Portnoi","given":"Tally"},{"family":"Roy","given":"Julien"},{"family":"Stark","given":"Hannes"},{"family":"Kwabi-Addo","given":"David"},{"family":"Beaini","given":"Dominique"},{"family":"Jaakkola","given":"Tommi"},{"family":"Barzilay","given":"Regina"}],"accessed":{"date-parts":[["2026",8,20]]},"issued":{"date-parts":[["2025",6,18]]}}}],"schema":"https://github.com/citation-style-language/schema/raw/master/csl-citation.json"} </w:instrText>
      </w:r>
      <w:r w:rsidR="00793866" w:rsidRPr="004100CF">
        <w:rPr>
          <w:rFonts w:ascii="Times New Roman" w:hAnsi="Times New Roman" w:cs="Times New Roman"/>
        </w:rPr>
        <w:fldChar w:fldCharType="separate"/>
      </w:r>
      <w:r w:rsidR="00793866" w:rsidRPr="004100CF">
        <w:rPr>
          <w:rFonts w:ascii="Times New Roman" w:hAnsi="Times New Roman" w:cs="Times New Roman"/>
          <w:szCs w:val="24"/>
          <w:vertAlign w:val="superscript"/>
        </w:rPr>
        <w:t>74–76</w:t>
      </w:r>
      <w:r w:rsidR="00793866" w:rsidRPr="004100CF">
        <w:rPr>
          <w:rFonts w:ascii="Times New Roman" w:hAnsi="Times New Roman" w:cs="Times New Roman"/>
        </w:rPr>
        <w:fldChar w:fldCharType="end"/>
      </w:r>
    </w:p>
    <w:p w14:paraId="2B7699C5" w14:textId="2C5DD09F" w:rsidR="00574C6E" w:rsidRPr="004100CF" w:rsidRDefault="00574C6E" w:rsidP="00574C6E">
      <w:pPr>
        <w:rPr>
          <w:rFonts w:ascii="Times New Roman" w:hAnsi="Times New Roman" w:cs="Times New Roman"/>
          <w:b/>
          <w:bCs/>
          <w:sz w:val="28"/>
          <w:szCs w:val="22"/>
        </w:rPr>
      </w:pPr>
      <w:r w:rsidRPr="004100CF">
        <w:rPr>
          <w:rFonts w:ascii="Times New Roman" w:hAnsi="Times New Roman" w:cs="Times New Roman"/>
          <w:b/>
          <w:bCs/>
          <w:sz w:val="28"/>
          <w:szCs w:val="22"/>
        </w:rPr>
        <w:t>References</w:t>
      </w:r>
    </w:p>
    <w:p w14:paraId="22661414" w14:textId="77777777" w:rsidR="00793866" w:rsidRPr="004100CF" w:rsidRDefault="00574C6E" w:rsidP="00793866">
      <w:pPr>
        <w:pStyle w:val="Bibliography"/>
        <w:rPr>
          <w:rFonts w:ascii="Times New Roman" w:hAnsi="Times New Roman" w:cs="Times New Roman"/>
        </w:rPr>
      </w:pPr>
      <w:r w:rsidRPr="004100CF">
        <w:rPr>
          <w:rFonts w:ascii="Times New Roman" w:hAnsi="Times New Roman" w:cs="Times New Roman"/>
        </w:rPr>
        <w:fldChar w:fldCharType="begin"/>
      </w:r>
      <w:r w:rsidRPr="004100CF">
        <w:rPr>
          <w:rFonts w:ascii="Times New Roman" w:hAnsi="Times New Roman" w:cs="Times New Roman"/>
        </w:rPr>
        <w:instrText xml:space="preserve"> ADDIN ZOTERO_BIBL {"uncited":[],"omitted":[],"custom":[]} CSL_BIBLIOGRAPHY </w:instrText>
      </w:r>
      <w:r w:rsidRPr="004100CF">
        <w:rPr>
          <w:rFonts w:ascii="Times New Roman" w:hAnsi="Times New Roman" w:cs="Times New Roman"/>
        </w:rPr>
        <w:fldChar w:fldCharType="separate"/>
      </w:r>
      <w:r w:rsidR="00793866" w:rsidRPr="004100CF">
        <w:rPr>
          <w:rFonts w:ascii="Times New Roman" w:hAnsi="Times New Roman" w:cs="Times New Roman"/>
        </w:rPr>
        <w:t>(1)</w:t>
      </w:r>
      <w:r w:rsidR="00793866" w:rsidRPr="004100CF">
        <w:rPr>
          <w:rFonts w:ascii="Times New Roman" w:hAnsi="Times New Roman" w:cs="Times New Roman"/>
        </w:rPr>
        <w:tab/>
      </w:r>
      <w:proofErr w:type="spellStart"/>
      <w:r w:rsidR="00793866" w:rsidRPr="004100CF">
        <w:rPr>
          <w:rFonts w:ascii="Times New Roman" w:hAnsi="Times New Roman" w:cs="Times New Roman"/>
        </w:rPr>
        <w:t>Kohlstaedt</w:t>
      </w:r>
      <w:proofErr w:type="spellEnd"/>
      <w:r w:rsidR="00793866" w:rsidRPr="004100CF">
        <w:rPr>
          <w:rFonts w:ascii="Times New Roman" w:hAnsi="Times New Roman" w:cs="Times New Roman"/>
        </w:rPr>
        <w:t xml:space="preserve">, L. A.; Wang, J.; Friedman, J. M.; Rice, P. A.; Steitz, T. A. Crystal Structure at 3.5 Å Resolution of HIV-1 Reverse Transcriptase Complexed with an Inhibitor. </w:t>
      </w:r>
      <w:r w:rsidR="00793866" w:rsidRPr="004100CF">
        <w:rPr>
          <w:rFonts w:ascii="Times New Roman" w:hAnsi="Times New Roman" w:cs="Times New Roman"/>
          <w:i/>
          <w:iCs/>
        </w:rPr>
        <w:t>Science</w:t>
      </w:r>
      <w:r w:rsidR="00793866" w:rsidRPr="004100CF">
        <w:rPr>
          <w:rFonts w:ascii="Times New Roman" w:hAnsi="Times New Roman" w:cs="Times New Roman"/>
        </w:rPr>
        <w:t xml:space="preserve"> </w:t>
      </w:r>
      <w:r w:rsidR="00793866" w:rsidRPr="004100CF">
        <w:rPr>
          <w:rFonts w:ascii="Times New Roman" w:hAnsi="Times New Roman" w:cs="Times New Roman"/>
          <w:b/>
          <w:bCs/>
        </w:rPr>
        <w:t>1992</w:t>
      </w:r>
      <w:r w:rsidR="00793866" w:rsidRPr="004100CF">
        <w:rPr>
          <w:rFonts w:ascii="Times New Roman" w:hAnsi="Times New Roman" w:cs="Times New Roman"/>
        </w:rPr>
        <w:t xml:space="preserve">, </w:t>
      </w:r>
      <w:r w:rsidR="00793866" w:rsidRPr="004100CF">
        <w:rPr>
          <w:rFonts w:ascii="Times New Roman" w:hAnsi="Times New Roman" w:cs="Times New Roman"/>
          <w:i/>
          <w:iCs/>
        </w:rPr>
        <w:t>256</w:t>
      </w:r>
      <w:r w:rsidR="00793866" w:rsidRPr="004100CF">
        <w:rPr>
          <w:rFonts w:ascii="Times New Roman" w:hAnsi="Times New Roman" w:cs="Times New Roman"/>
        </w:rPr>
        <w:t xml:space="preserve"> (5065), 1783–1790. https://doi.org/10.1126/science.1377403.</w:t>
      </w:r>
    </w:p>
    <w:p w14:paraId="411D1AB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w:t>
      </w:r>
      <w:r w:rsidRPr="004100CF">
        <w:rPr>
          <w:rFonts w:ascii="Times New Roman" w:hAnsi="Times New Roman" w:cs="Times New Roman"/>
        </w:rPr>
        <w:tab/>
        <w:t xml:space="preserve">Spence, R. A.; Kati, W. M.; Anderson, K. S.; Johnson, K. A. Mechanism of Inhibition of HIV-1 Reverse Transcriptase by Nonnucleoside Inhibitors. </w:t>
      </w:r>
      <w:r w:rsidRPr="004100CF">
        <w:rPr>
          <w:rFonts w:ascii="Times New Roman" w:hAnsi="Times New Roman" w:cs="Times New Roman"/>
          <w:i/>
          <w:iCs/>
        </w:rPr>
        <w:t>Science</w:t>
      </w:r>
      <w:r w:rsidRPr="004100CF">
        <w:rPr>
          <w:rFonts w:ascii="Times New Roman" w:hAnsi="Times New Roman" w:cs="Times New Roman"/>
        </w:rPr>
        <w:t xml:space="preserve"> </w:t>
      </w:r>
      <w:r w:rsidRPr="004100CF">
        <w:rPr>
          <w:rFonts w:ascii="Times New Roman" w:hAnsi="Times New Roman" w:cs="Times New Roman"/>
          <w:b/>
          <w:bCs/>
        </w:rPr>
        <w:t>1995</w:t>
      </w:r>
      <w:r w:rsidRPr="004100CF">
        <w:rPr>
          <w:rFonts w:ascii="Times New Roman" w:hAnsi="Times New Roman" w:cs="Times New Roman"/>
        </w:rPr>
        <w:t xml:space="preserve">, </w:t>
      </w:r>
      <w:r w:rsidRPr="004100CF">
        <w:rPr>
          <w:rFonts w:ascii="Times New Roman" w:hAnsi="Times New Roman" w:cs="Times New Roman"/>
          <w:i/>
          <w:iCs/>
        </w:rPr>
        <w:t>267</w:t>
      </w:r>
      <w:r w:rsidRPr="004100CF">
        <w:rPr>
          <w:rFonts w:ascii="Times New Roman" w:hAnsi="Times New Roman" w:cs="Times New Roman"/>
        </w:rPr>
        <w:t xml:space="preserve"> (5200), 988–993. https://doi.org/10.1126/science.7532321.</w:t>
      </w:r>
    </w:p>
    <w:p w14:paraId="14966A9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w:t>
      </w:r>
      <w:r w:rsidRPr="004100CF">
        <w:rPr>
          <w:rFonts w:ascii="Times New Roman" w:hAnsi="Times New Roman" w:cs="Times New Roman"/>
        </w:rPr>
        <w:tab/>
        <w:t xml:space="preserve">Rodgers, D. W.; Gamblin, S. J.; Harris, B. A.; Ray, S.; Culp, J. S.; </w:t>
      </w:r>
      <w:proofErr w:type="spellStart"/>
      <w:r w:rsidRPr="004100CF">
        <w:rPr>
          <w:rFonts w:ascii="Times New Roman" w:hAnsi="Times New Roman" w:cs="Times New Roman"/>
        </w:rPr>
        <w:t>Hellmig</w:t>
      </w:r>
      <w:proofErr w:type="spellEnd"/>
      <w:r w:rsidRPr="004100CF">
        <w:rPr>
          <w:rFonts w:ascii="Times New Roman" w:hAnsi="Times New Roman" w:cs="Times New Roman"/>
        </w:rPr>
        <w:t xml:space="preserve">, B.; Woolf, D. J.; </w:t>
      </w:r>
      <w:proofErr w:type="spellStart"/>
      <w:r w:rsidRPr="004100CF">
        <w:rPr>
          <w:rFonts w:ascii="Times New Roman" w:hAnsi="Times New Roman" w:cs="Times New Roman"/>
        </w:rPr>
        <w:t>Debouck</w:t>
      </w:r>
      <w:proofErr w:type="spellEnd"/>
      <w:r w:rsidRPr="004100CF">
        <w:rPr>
          <w:rFonts w:ascii="Times New Roman" w:hAnsi="Times New Roman" w:cs="Times New Roman"/>
        </w:rPr>
        <w:t xml:space="preserve">, C.; Harrison, S. C. The Structure of Unliganded Reverse Transcriptase from the Human Immunodeficiency Virus Type 1. </w:t>
      </w:r>
      <w:r w:rsidRPr="004100CF">
        <w:rPr>
          <w:rFonts w:ascii="Times New Roman" w:hAnsi="Times New Roman" w:cs="Times New Roman"/>
          <w:i/>
          <w:iCs/>
        </w:rPr>
        <w:t>Proceedings of the National Academy of Sciences</w:t>
      </w:r>
      <w:r w:rsidRPr="004100CF">
        <w:rPr>
          <w:rFonts w:ascii="Times New Roman" w:hAnsi="Times New Roman" w:cs="Times New Roman"/>
        </w:rPr>
        <w:t xml:space="preserve"> </w:t>
      </w:r>
      <w:r w:rsidRPr="004100CF">
        <w:rPr>
          <w:rFonts w:ascii="Times New Roman" w:hAnsi="Times New Roman" w:cs="Times New Roman"/>
          <w:b/>
          <w:bCs/>
        </w:rPr>
        <w:t>1995</w:t>
      </w:r>
      <w:r w:rsidRPr="004100CF">
        <w:rPr>
          <w:rFonts w:ascii="Times New Roman" w:hAnsi="Times New Roman" w:cs="Times New Roman"/>
        </w:rPr>
        <w:t xml:space="preserve">, </w:t>
      </w:r>
      <w:r w:rsidRPr="004100CF">
        <w:rPr>
          <w:rFonts w:ascii="Times New Roman" w:hAnsi="Times New Roman" w:cs="Times New Roman"/>
          <w:i/>
          <w:iCs/>
        </w:rPr>
        <w:t>92</w:t>
      </w:r>
      <w:r w:rsidRPr="004100CF">
        <w:rPr>
          <w:rFonts w:ascii="Times New Roman" w:hAnsi="Times New Roman" w:cs="Times New Roman"/>
        </w:rPr>
        <w:t xml:space="preserve"> (4), 1222–1226. https://doi.org/10.1073/pnas.92.4.1222.</w:t>
      </w:r>
    </w:p>
    <w:p w14:paraId="69851992"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w:t>
      </w:r>
      <w:r w:rsidRPr="004100CF">
        <w:rPr>
          <w:rFonts w:ascii="Times New Roman" w:hAnsi="Times New Roman" w:cs="Times New Roman"/>
        </w:rPr>
        <w:tab/>
      </w:r>
      <w:proofErr w:type="spellStart"/>
      <w:r w:rsidRPr="004100CF">
        <w:rPr>
          <w:rFonts w:ascii="Times New Roman" w:hAnsi="Times New Roman" w:cs="Times New Roman"/>
        </w:rPr>
        <w:t>Hsiou</w:t>
      </w:r>
      <w:proofErr w:type="spellEnd"/>
      <w:r w:rsidRPr="004100CF">
        <w:rPr>
          <w:rFonts w:ascii="Times New Roman" w:hAnsi="Times New Roman" w:cs="Times New Roman"/>
        </w:rPr>
        <w:t xml:space="preserve">, Y.; Ding, J.; Das, K.; AD Clark, J.; Hughes, S. H.; Arnold, E. Structure of Unliganded HIV-1 Reverse Transcriptase at 2.7 å Resolution: Implications of Conformational Changes for Polymerization and Inhibition Mechanisms. </w:t>
      </w:r>
      <w:r w:rsidRPr="004100CF">
        <w:rPr>
          <w:rFonts w:ascii="Times New Roman" w:hAnsi="Times New Roman" w:cs="Times New Roman"/>
          <w:i/>
          <w:iCs/>
        </w:rPr>
        <w:t>Structure</w:t>
      </w:r>
      <w:r w:rsidRPr="004100CF">
        <w:rPr>
          <w:rFonts w:ascii="Times New Roman" w:hAnsi="Times New Roman" w:cs="Times New Roman"/>
        </w:rPr>
        <w:t xml:space="preserve"> </w:t>
      </w:r>
      <w:r w:rsidRPr="004100CF">
        <w:rPr>
          <w:rFonts w:ascii="Times New Roman" w:hAnsi="Times New Roman" w:cs="Times New Roman"/>
          <w:b/>
          <w:bCs/>
        </w:rPr>
        <w:t>1996</w:t>
      </w:r>
      <w:r w:rsidRPr="004100CF">
        <w:rPr>
          <w:rFonts w:ascii="Times New Roman" w:hAnsi="Times New Roman" w:cs="Times New Roman"/>
        </w:rPr>
        <w:t xml:space="preserve">, </w:t>
      </w:r>
      <w:r w:rsidRPr="004100CF">
        <w:rPr>
          <w:rFonts w:ascii="Times New Roman" w:hAnsi="Times New Roman" w:cs="Times New Roman"/>
          <w:i/>
          <w:iCs/>
        </w:rPr>
        <w:t>4</w:t>
      </w:r>
      <w:r w:rsidRPr="004100CF">
        <w:rPr>
          <w:rFonts w:ascii="Times New Roman" w:hAnsi="Times New Roman" w:cs="Times New Roman"/>
        </w:rPr>
        <w:t xml:space="preserve"> (7), 853–860. https://doi.org/10.1016/S0969-2126(96)00091-3.</w:t>
      </w:r>
    </w:p>
    <w:p w14:paraId="3232DEA4"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w:t>
      </w:r>
      <w:r w:rsidRPr="004100CF">
        <w:rPr>
          <w:rFonts w:ascii="Times New Roman" w:hAnsi="Times New Roman" w:cs="Times New Roman"/>
        </w:rPr>
        <w:tab/>
        <w:t xml:space="preserve">Arts, E. J.; Hazuda, D. J. HIV-1 Antiretroviral Drug Therapy. </w:t>
      </w:r>
      <w:r w:rsidRPr="004100CF">
        <w:rPr>
          <w:rFonts w:ascii="Times New Roman" w:hAnsi="Times New Roman" w:cs="Times New Roman"/>
          <w:i/>
          <w:iCs/>
        </w:rPr>
        <w:t xml:space="preserve">Cold Spring Harb </w:t>
      </w:r>
      <w:proofErr w:type="spellStart"/>
      <w:r w:rsidRPr="004100CF">
        <w:rPr>
          <w:rFonts w:ascii="Times New Roman" w:hAnsi="Times New Roman" w:cs="Times New Roman"/>
          <w:i/>
          <w:iCs/>
        </w:rPr>
        <w:t>Perspect</w:t>
      </w:r>
      <w:proofErr w:type="spellEnd"/>
      <w:r w:rsidRPr="004100CF">
        <w:rPr>
          <w:rFonts w:ascii="Times New Roman" w:hAnsi="Times New Roman" w:cs="Times New Roman"/>
          <w:i/>
          <w:iCs/>
        </w:rPr>
        <w:t xml:space="preserve"> Med</w:t>
      </w:r>
      <w:r w:rsidRPr="004100CF">
        <w:rPr>
          <w:rFonts w:ascii="Times New Roman" w:hAnsi="Times New Roman" w:cs="Times New Roman"/>
        </w:rPr>
        <w:t xml:space="preserve"> </w:t>
      </w:r>
      <w:r w:rsidRPr="004100CF">
        <w:rPr>
          <w:rFonts w:ascii="Times New Roman" w:hAnsi="Times New Roman" w:cs="Times New Roman"/>
          <w:b/>
          <w:bCs/>
        </w:rPr>
        <w:t>2012</w:t>
      </w:r>
      <w:r w:rsidRPr="004100CF">
        <w:rPr>
          <w:rFonts w:ascii="Times New Roman" w:hAnsi="Times New Roman" w:cs="Times New Roman"/>
        </w:rPr>
        <w:t xml:space="preserve">, </w:t>
      </w:r>
      <w:r w:rsidRPr="004100CF">
        <w:rPr>
          <w:rFonts w:ascii="Times New Roman" w:hAnsi="Times New Roman" w:cs="Times New Roman"/>
          <w:i/>
          <w:iCs/>
        </w:rPr>
        <w:t>2</w:t>
      </w:r>
      <w:r w:rsidRPr="004100CF">
        <w:rPr>
          <w:rFonts w:ascii="Times New Roman" w:hAnsi="Times New Roman" w:cs="Times New Roman"/>
        </w:rPr>
        <w:t xml:space="preserve"> (4), a007161. https://doi.org/10.1101/cshperspect.a007161.</w:t>
      </w:r>
    </w:p>
    <w:p w14:paraId="649402EE"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w:t>
      </w:r>
      <w:r w:rsidRPr="004100CF">
        <w:rPr>
          <w:rFonts w:ascii="Times New Roman" w:hAnsi="Times New Roman" w:cs="Times New Roman"/>
        </w:rPr>
        <w:tab/>
        <w:t xml:space="preserve">Cilento, M. E.; Kirby, K. A.; </w:t>
      </w:r>
      <w:proofErr w:type="spellStart"/>
      <w:r w:rsidRPr="004100CF">
        <w:rPr>
          <w:rFonts w:ascii="Times New Roman" w:hAnsi="Times New Roman" w:cs="Times New Roman"/>
        </w:rPr>
        <w:t>Sarafianos</w:t>
      </w:r>
      <w:proofErr w:type="spellEnd"/>
      <w:r w:rsidRPr="004100CF">
        <w:rPr>
          <w:rFonts w:ascii="Times New Roman" w:hAnsi="Times New Roman" w:cs="Times New Roman"/>
        </w:rPr>
        <w:t xml:space="preserve">, S. G. Avoiding Drug Resistance in HIV Reverse Transcriptase. </w:t>
      </w:r>
      <w:r w:rsidRPr="004100CF">
        <w:rPr>
          <w:rFonts w:ascii="Times New Roman" w:hAnsi="Times New Roman" w:cs="Times New Roman"/>
          <w:i/>
          <w:iCs/>
        </w:rPr>
        <w:t>Chem. Rev.</w:t>
      </w:r>
      <w:r w:rsidRPr="004100CF">
        <w:rPr>
          <w:rFonts w:ascii="Times New Roman" w:hAnsi="Times New Roman" w:cs="Times New Roman"/>
        </w:rPr>
        <w:t xml:space="preserve"> </w:t>
      </w:r>
      <w:r w:rsidRPr="004100CF">
        <w:rPr>
          <w:rFonts w:ascii="Times New Roman" w:hAnsi="Times New Roman" w:cs="Times New Roman"/>
          <w:b/>
          <w:bCs/>
        </w:rPr>
        <w:t>2021</w:t>
      </w:r>
      <w:r w:rsidRPr="004100CF">
        <w:rPr>
          <w:rFonts w:ascii="Times New Roman" w:hAnsi="Times New Roman" w:cs="Times New Roman"/>
        </w:rPr>
        <w:t xml:space="preserve">, </w:t>
      </w:r>
      <w:r w:rsidRPr="004100CF">
        <w:rPr>
          <w:rFonts w:ascii="Times New Roman" w:hAnsi="Times New Roman" w:cs="Times New Roman"/>
          <w:i/>
          <w:iCs/>
        </w:rPr>
        <w:t>121</w:t>
      </w:r>
      <w:r w:rsidRPr="004100CF">
        <w:rPr>
          <w:rFonts w:ascii="Times New Roman" w:hAnsi="Times New Roman" w:cs="Times New Roman"/>
        </w:rPr>
        <w:t xml:space="preserve"> (6), 3271–3296. https://doi.org/10.1021/acs.chemrev.0c00967.</w:t>
      </w:r>
    </w:p>
    <w:p w14:paraId="1D415DF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w:t>
      </w:r>
      <w:r w:rsidRPr="004100CF">
        <w:rPr>
          <w:rFonts w:ascii="Times New Roman" w:hAnsi="Times New Roman" w:cs="Times New Roman"/>
        </w:rPr>
        <w:tab/>
        <w:t xml:space="preserve">Tantillo, C.; Ding, J.; Jacobo-Molina, A.; Nanni, R. G.; Boyer, P. L.; Hughes, S. H.; Pauwels, R.; Andries, K.; Janssen, P. A. J.; Arnold, E. Locations of Anti-AIDS Drug Binding Sites and Resistance Mutations in the Three-Dimensional Structure of HIV-1 Reverse Transcriptase: Implications for Mechanisms of Drug Inhibition and Resistance. </w:t>
      </w:r>
      <w:r w:rsidRPr="004100CF">
        <w:rPr>
          <w:rFonts w:ascii="Times New Roman" w:hAnsi="Times New Roman" w:cs="Times New Roman"/>
          <w:i/>
          <w:iCs/>
        </w:rPr>
        <w:t>Journal of Molecular Biology</w:t>
      </w:r>
      <w:r w:rsidRPr="004100CF">
        <w:rPr>
          <w:rFonts w:ascii="Times New Roman" w:hAnsi="Times New Roman" w:cs="Times New Roman"/>
        </w:rPr>
        <w:t xml:space="preserve"> </w:t>
      </w:r>
      <w:r w:rsidRPr="004100CF">
        <w:rPr>
          <w:rFonts w:ascii="Times New Roman" w:hAnsi="Times New Roman" w:cs="Times New Roman"/>
          <w:b/>
          <w:bCs/>
        </w:rPr>
        <w:t>1994</w:t>
      </w:r>
      <w:r w:rsidRPr="004100CF">
        <w:rPr>
          <w:rFonts w:ascii="Times New Roman" w:hAnsi="Times New Roman" w:cs="Times New Roman"/>
        </w:rPr>
        <w:t xml:space="preserve">, </w:t>
      </w:r>
      <w:r w:rsidRPr="004100CF">
        <w:rPr>
          <w:rFonts w:ascii="Times New Roman" w:hAnsi="Times New Roman" w:cs="Times New Roman"/>
          <w:i/>
          <w:iCs/>
        </w:rPr>
        <w:t>243</w:t>
      </w:r>
      <w:r w:rsidRPr="004100CF">
        <w:rPr>
          <w:rFonts w:ascii="Times New Roman" w:hAnsi="Times New Roman" w:cs="Times New Roman"/>
        </w:rPr>
        <w:t xml:space="preserve"> (3), 369–387. https://doi.org/10.1006/jmbi.1994.1665.</w:t>
      </w:r>
    </w:p>
    <w:p w14:paraId="6FBFCAF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lastRenderedPageBreak/>
        <w:t>(8)</w:t>
      </w:r>
      <w:r w:rsidRPr="004100CF">
        <w:rPr>
          <w:rFonts w:ascii="Times New Roman" w:hAnsi="Times New Roman" w:cs="Times New Roman"/>
        </w:rPr>
        <w:tab/>
        <w:t xml:space="preserve">Schauer, G. D.; Huber, K. D.; Leuba, S. H.; Sluis-Cremer, N. Mechanism of Allosteric Inhibition of HIV-1 Reverse Transcriptase Revealed by Single-Molecule and Ensemble Fluorescence. </w:t>
      </w:r>
      <w:r w:rsidRPr="004100CF">
        <w:rPr>
          <w:rFonts w:ascii="Times New Roman" w:hAnsi="Times New Roman" w:cs="Times New Roman"/>
          <w:i/>
          <w:iCs/>
        </w:rPr>
        <w:t>Nucleic Acids Res</w:t>
      </w:r>
      <w:r w:rsidRPr="004100CF">
        <w:rPr>
          <w:rFonts w:ascii="Times New Roman" w:hAnsi="Times New Roman" w:cs="Times New Roman"/>
        </w:rPr>
        <w:t xml:space="preserve"> </w:t>
      </w:r>
      <w:r w:rsidRPr="004100CF">
        <w:rPr>
          <w:rFonts w:ascii="Times New Roman" w:hAnsi="Times New Roman" w:cs="Times New Roman"/>
          <w:b/>
          <w:bCs/>
        </w:rPr>
        <w:t>2014</w:t>
      </w:r>
      <w:r w:rsidRPr="004100CF">
        <w:rPr>
          <w:rFonts w:ascii="Times New Roman" w:hAnsi="Times New Roman" w:cs="Times New Roman"/>
        </w:rPr>
        <w:t xml:space="preserve">, </w:t>
      </w:r>
      <w:r w:rsidRPr="004100CF">
        <w:rPr>
          <w:rFonts w:ascii="Times New Roman" w:hAnsi="Times New Roman" w:cs="Times New Roman"/>
          <w:i/>
          <w:iCs/>
        </w:rPr>
        <w:t>42</w:t>
      </w:r>
      <w:r w:rsidRPr="004100CF">
        <w:rPr>
          <w:rFonts w:ascii="Times New Roman" w:hAnsi="Times New Roman" w:cs="Times New Roman"/>
        </w:rPr>
        <w:t xml:space="preserve"> (18), 11687–11696. https://doi.org/10.1093/nar/gku819.</w:t>
      </w:r>
    </w:p>
    <w:p w14:paraId="2BD9481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(9)</w:t>
      </w:r>
      <w:r w:rsidRPr="004100CF">
        <w:rPr>
          <w:rFonts w:ascii="Times New Roman" w:hAnsi="Times New Roman" w:cs="Times New Roman"/>
        </w:rPr>
        <w:tab/>
      </w:r>
      <w:proofErr w:type="spellStart"/>
      <w:r w:rsidRPr="004100CF">
        <w:rPr>
          <w:rFonts w:ascii="Times New Roman" w:hAnsi="Times New Roman" w:cs="Times New Roman"/>
        </w:rPr>
        <w:t>Hsiou</w:t>
      </w:r>
      <w:proofErr w:type="spellEnd"/>
      <w:r w:rsidRPr="004100CF">
        <w:rPr>
          <w:rFonts w:ascii="Times New Roman" w:hAnsi="Times New Roman" w:cs="Times New Roman"/>
        </w:rPr>
        <w:t xml:space="preserve">, Y.; Ding, J.; Das, K.; Clark, A. D.; Boyer, P. L.; Lewi, P.; Janssen, P. A. J.; Kleim, J.-P.; </w:t>
      </w:r>
      <w:proofErr w:type="spellStart"/>
      <w:r w:rsidRPr="004100CF">
        <w:rPr>
          <w:rFonts w:ascii="Times New Roman" w:hAnsi="Times New Roman" w:cs="Times New Roman"/>
        </w:rPr>
        <w:t>Rösner</w:t>
      </w:r>
      <w:proofErr w:type="spellEnd"/>
      <w:r w:rsidRPr="004100CF">
        <w:rPr>
          <w:rFonts w:ascii="Times New Roman" w:hAnsi="Times New Roman" w:cs="Times New Roman"/>
        </w:rPr>
        <w:t xml:space="preserve">, M.; Hughes, S. H.; Arnold, E. The Lys103Asn Mutation of HIV-1 RT: A Novel Mechanism of Drug Resistance. </w:t>
      </w:r>
      <w:r w:rsidRPr="004100CF">
        <w:rPr>
          <w:rFonts w:ascii="Times New Roman" w:hAnsi="Times New Roman" w:cs="Times New Roman"/>
          <w:i/>
          <w:iCs/>
        </w:rPr>
        <w:t>Journal of Molecular Biology</w:t>
      </w:r>
      <w:r w:rsidRPr="004100CF">
        <w:rPr>
          <w:rFonts w:ascii="Times New Roman" w:hAnsi="Times New Roman" w:cs="Times New Roman"/>
        </w:rPr>
        <w:t xml:space="preserve"> </w:t>
      </w:r>
      <w:r w:rsidRPr="004100CF">
        <w:rPr>
          <w:rFonts w:ascii="Times New Roman" w:hAnsi="Times New Roman" w:cs="Times New Roman"/>
          <w:b/>
          <w:bCs/>
        </w:rPr>
        <w:t>2001</w:t>
      </w:r>
      <w:r w:rsidRPr="004100CF">
        <w:rPr>
          <w:rFonts w:ascii="Times New Roman" w:hAnsi="Times New Roman" w:cs="Times New Roman"/>
        </w:rPr>
        <w:t xml:space="preserve">, </w:t>
      </w:r>
      <w:r w:rsidRPr="004100CF">
        <w:rPr>
          <w:rFonts w:ascii="Times New Roman" w:hAnsi="Times New Roman" w:cs="Times New Roman"/>
          <w:i/>
          <w:iCs/>
        </w:rPr>
        <w:t>309</w:t>
      </w:r>
      <w:r w:rsidRPr="004100CF">
        <w:rPr>
          <w:rFonts w:ascii="Times New Roman" w:hAnsi="Times New Roman" w:cs="Times New Roman"/>
        </w:rPr>
        <w:t xml:space="preserve"> (2), 437–445. https://doi.org/10.1006/jmbi.2001.4648.</w:t>
      </w:r>
    </w:p>
    <w:p w14:paraId="49AF20E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(10)</w:t>
      </w:r>
      <w:r w:rsidRPr="004100CF">
        <w:rPr>
          <w:rFonts w:ascii="Times New Roman" w:hAnsi="Times New Roman" w:cs="Times New Roman"/>
        </w:rPr>
        <w:tab/>
        <w:t xml:space="preserve">Lai, M.-T.; Munshi, V.; Lu, M.; Feng, M.; Hrin-Solt, R.; McKenna, P. M.; Hazuda, D. J.; Miller, M. D. Mechanistic Study of Common Non-Nucleoside Reverse Transcriptase Inhibitor-Resistant Mutations with K103N and Y181C Substitutions. </w:t>
      </w:r>
      <w:r w:rsidRPr="004100CF">
        <w:rPr>
          <w:rFonts w:ascii="Times New Roman" w:hAnsi="Times New Roman" w:cs="Times New Roman"/>
          <w:i/>
          <w:iCs/>
        </w:rPr>
        <w:t>Viruses</w:t>
      </w:r>
      <w:r w:rsidRPr="004100CF">
        <w:rPr>
          <w:rFonts w:ascii="Times New Roman" w:hAnsi="Times New Roman" w:cs="Times New Roman"/>
        </w:rPr>
        <w:t xml:space="preserve"> </w:t>
      </w:r>
      <w:r w:rsidRPr="004100CF">
        <w:rPr>
          <w:rFonts w:ascii="Times New Roman" w:hAnsi="Times New Roman" w:cs="Times New Roman"/>
          <w:b/>
          <w:bCs/>
        </w:rPr>
        <w:t>2016</w:t>
      </w:r>
      <w:r w:rsidRPr="004100CF">
        <w:rPr>
          <w:rFonts w:ascii="Times New Roman" w:hAnsi="Times New Roman" w:cs="Times New Roman"/>
        </w:rPr>
        <w:t xml:space="preserve">, </w:t>
      </w:r>
      <w:r w:rsidRPr="004100CF">
        <w:rPr>
          <w:rFonts w:ascii="Times New Roman" w:hAnsi="Times New Roman" w:cs="Times New Roman"/>
          <w:i/>
          <w:iCs/>
        </w:rPr>
        <w:t>8</w:t>
      </w:r>
      <w:r w:rsidRPr="004100CF">
        <w:rPr>
          <w:rFonts w:ascii="Times New Roman" w:hAnsi="Times New Roman" w:cs="Times New Roman"/>
        </w:rPr>
        <w:t xml:space="preserve"> (10), 263. https://doi.org/10.3390/v8100263.</w:t>
      </w:r>
    </w:p>
    <w:p w14:paraId="5E8D03A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(11)</w:t>
      </w:r>
      <w:r w:rsidRPr="004100CF">
        <w:rPr>
          <w:rFonts w:ascii="Times New Roman" w:hAnsi="Times New Roman" w:cs="Times New Roman"/>
        </w:rPr>
        <w:tab/>
        <w:t xml:space="preserve">Ren, J.; Nichols, C.; Bird, L.; Chamberlain, P.; Weaver, K.; Short, S.; Stuart, D. I.; Stammers, D. K. Structural Mechanisms of Drug Resistance for Mutations at Codons 181 and 188 in HIV-1 Reverse Transcriptase and the Improved Resilience of Second Generation Non-Nucleoside Inhibitors1. </w:t>
      </w:r>
      <w:r w:rsidRPr="004100CF">
        <w:rPr>
          <w:rFonts w:ascii="Times New Roman" w:hAnsi="Times New Roman" w:cs="Times New Roman"/>
          <w:i/>
          <w:iCs/>
        </w:rPr>
        <w:t>Journal of Molecular Biology</w:t>
      </w:r>
      <w:r w:rsidRPr="004100CF">
        <w:rPr>
          <w:rFonts w:ascii="Times New Roman" w:hAnsi="Times New Roman" w:cs="Times New Roman"/>
        </w:rPr>
        <w:t xml:space="preserve"> </w:t>
      </w:r>
      <w:r w:rsidRPr="004100CF">
        <w:rPr>
          <w:rFonts w:ascii="Times New Roman" w:hAnsi="Times New Roman" w:cs="Times New Roman"/>
          <w:b/>
          <w:bCs/>
        </w:rPr>
        <w:t>2001</w:t>
      </w:r>
      <w:r w:rsidRPr="004100CF">
        <w:rPr>
          <w:rFonts w:ascii="Times New Roman" w:hAnsi="Times New Roman" w:cs="Times New Roman"/>
        </w:rPr>
        <w:t xml:space="preserve">, </w:t>
      </w:r>
      <w:r w:rsidRPr="004100CF">
        <w:rPr>
          <w:rFonts w:ascii="Times New Roman" w:hAnsi="Times New Roman" w:cs="Times New Roman"/>
          <w:i/>
          <w:iCs/>
        </w:rPr>
        <w:t>312</w:t>
      </w:r>
      <w:r w:rsidRPr="004100CF">
        <w:rPr>
          <w:rFonts w:ascii="Times New Roman" w:hAnsi="Times New Roman" w:cs="Times New Roman"/>
        </w:rPr>
        <w:t xml:space="preserve"> (4), 795–805. https://doi.org/10.1006/jmbi.2001.4988.</w:t>
      </w:r>
    </w:p>
    <w:p w14:paraId="62D1BBB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(12)</w:t>
      </w:r>
      <w:r w:rsidRPr="004100CF">
        <w:rPr>
          <w:rFonts w:ascii="Times New Roman" w:hAnsi="Times New Roman" w:cs="Times New Roman"/>
        </w:rPr>
        <w:tab/>
        <w:t xml:space="preserve">Das, K.; Clark, Arthur D.; Lewi, P. J.; Heeres, J.; de Jonge, M. R.; </w:t>
      </w:r>
      <w:proofErr w:type="spellStart"/>
      <w:r w:rsidRPr="004100CF">
        <w:rPr>
          <w:rFonts w:ascii="Times New Roman" w:hAnsi="Times New Roman" w:cs="Times New Roman"/>
        </w:rPr>
        <w:t>Koymans</w:t>
      </w:r>
      <w:proofErr w:type="spellEnd"/>
      <w:r w:rsidRPr="004100CF">
        <w:rPr>
          <w:rFonts w:ascii="Times New Roman" w:hAnsi="Times New Roman" w:cs="Times New Roman"/>
        </w:rPr>
        <w:t xml:space="preserve">, L. M. H.; </w:t>
      </w:r>
      <w:proofErr w:type="spellStart"/>
      <w:r w:rsidRPr="004100CF">
        <w:rPr>
          <w:rFonts w:ascii="Times New Roman" w:hAnsi="Times New Roman" w:cs="Times New Roman"/>
        </w:rPr>
        <w:t>Vinkers</w:t>
      </w:r>
      <w:proofErr w:type="spellEnd"/>
      <w:r w:rsidRPr="004100CF">
        <w:rPr>
          <w:rFonts w:ascii="Times New Roman" w:hAnsi="Times New Roman" w:cs="Times New Roman"/>
        </w:rPr>
        <w:t xml:space="preserve">, H. M.; </w:t>
      </w:r>
      <w:proofErr w:type="spellStart"/>
      <w:r w:rsidRPr="004100CF">
        <w:rPr>
          <w:rFonts w:ascii="Times New Roman" w:hAnsi="Times New Roman" w:cs="Times New Roman"/>
        </w:rPr>
        <w:t>Daeyaert</w:t>
      </w:r>
      <w:proofErr w:type="spellEnd"/>
      <w:r w:rsidRPr="004100CF">
        <w:rPr>
          <w:rFonts w:ascii="Times New Roman" w:hAnsi="Times New Roman" w:cs="Times New Roman"/>
        </w:rPr>
        <w:t xml:space="preserve">, F.; Ludovici, D. W.; Kukla, M. J.; De Corte, B.; Kavash, R. W.; Ho, C. Y.; Ye, H.; Lichtenstein, Mark. A.; Andries, K.; Pauwels, R.; de Béthune, M.-P.; Boyer, P. L.; Clark, P.; Hughes, S. H.; Janssen, P. A. J.; Arnold, E. Roles of Conformational and Positional Adaptability in Structure-Based Design of TMC125-R165335 (Etravirine) and Related Non-Nucleoside Reverse Transcriptase Inhibitors That Are Highly Potent and Effective against Wild-Type and Drug-Resistant HIV-1 Variants. </w:t>
      </w:r>
      <w:r w:rsidRPr="004100CF">
        <w:rPr>
          <w:rFonts w:ascii="Times New Roman" w:hAnsi="Times New Roman" w:cs="Times New Roman"/>
          <w:i/>
          <w:iCs/>
        </w:rPr>
        <w:t>J. Med. Chem.</w:t>
      </w:r>
      <w:r w:rsidRPr="004100CF">
        <w:rPr>
          <w:rFonts w:ascii="Times New Roman" w:hAnsi="Times New Roman" w:cs="Times New Roman"/>
        </w:rPr>
        <w:t xml:space="preserve"> </w:t>
      </w:r>
      <w:r w:rsidRPr="004100CF">
        <w:rPr>
          <w:rFonts w:ascii="Times New Roman" w:hAnsi="Times New Roman" w:cs="Times New Roman"/>
          <w:b/>
          <w:bCs/>
        </w:rPr>
        <w:t>2004</w:t>
      </w:r>
      <w:r w:rsidRPr="004100CF">
        <w:rPr>
          <w:rFonts w:ascii="Times New Roman" w:hAnsi="Times New Roman" w:cs="Times New Roman"/>
        </w:rPr>
        <w:t xml:space="preserve">, </w:t>
      </w:r>
      <w:r w:rsidRPr="004100CF">
        <w:rPr>
          <w:rFonts w:ascii="Times New Roman" w:hAnsi="Times New Roman" w:cs="Times New Roman"/>
          <w:i/>
          <w:iCs/>
        </w:rPr>
        <w:t>47</w:t>
      </w:r>
      <w:r w:rsidRPr="004100CF">
        <w:rPr>
          <w:rFonts w:ascii="Times New Roman" w:hAnsi="Times New Roman" w:cs="Times New Roman"/>
        </w:rPr>
        <w:t xml:space="preserve"> (10), 2550–2560. https://doi.org/10.1021/jm030558s.</w:t>
      </w:r>
    </w:p>
    <w:p w14:paraId="231B2F1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(13)</w:t>
      </w:r>
      <w:r w:rsidRPr="004100CF">
        <w:rPr>
          <w:rFonts w:ascii="Times New Roman" w:hAnsi="Times New Roman" w:cs="Times New Roman"/>
        </w:rPr>
        <w:tab/>
        <w:t xml:space="preserve">Das, K.; Bauman, J. D.; Clark, A. D.; Frenkel, Y. V.; Lewi, P. J.; Shatkin, A. J.; Hughes, S. H.; Arnold, E. High-Resolution Structures of HIV-1 Reverse Transcriptase/TMC278 Complexes: Strategic Flexibility Explains Potency against Resistance Mutations. </w:t>
      </w:r>
      <w:r w:rsidRPr="004100CF">
        <w:rPr>
          <w:rFonts w:ascii="Times New Roman" w:hAnsi="Times New Roman" w:cs="Times New Roman"/>
          <w:i/>
          <w:iCs/>
        </w:rPr>
        <w:t>Proceedings of the National Academy of Sciences</w:t>
      </w:r>
      <w:r w:rsidRPr="004100CF">
        <w:rPr>
          <w:rFonts w:ascii="Times New Roman" w:hAnsi="Times New Roman" w:cs="Times New Roman"/>
        </w:rPr>
        <w:t xml:space="preserve"> </w:t>
      </w:r>
      <w:r w:rsidRPr="004100CF">
        <w:rPr>
          <w:rFonts w:ascii="Times New Roman" w:hAnsi="Times New Roman" w:cs="Times New Roman"/>
          <w:b/>
          <w:bCs/>
        </w:rPr>
        <w:t>2008</w:t>
      </w:r>
      <w:r w:rsidRPr="004100CF">
        <w:rPr>
          <w:rFonts w:ascii="Times New Roman" w:hAnsi="Times New Roman" w:cs="Times New Roman"/>
        </w:rPr>
        <w:t xml:space="preserve">, </w:t>
      </w:r>
      <w:r w:rsidRPr="004100CF">
        <w:rPr>
          <w:rFonts w:ascii="Times New Roman" w:hAnsi="Times New Roman" w:cs="Times New Roman"/>
          <w:i/>
          <w:iCs/>
        </w:rPr>
        <w:t>105</w:t>
      </w:r>
      <w:r w:rsidRPr="004100CF">
        <w:rPr>
          <w:rFonts w:ascii="Times New Roman" w:hAnsi="Times New Roman" w:cs="Times New Roman"/>
        </w:rPr>
        <w:t xml:space="preserve"> (5), 1466–1471. https://doi.org/10.1073/pnas.0711209105.</w:t>
      </w:r>
    </w:p>
    <w:p w14:paraId="64EAC731"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(14)</w:t>
      </w:r>
      <w:r w:rsidRPr="004100CF">
        <w:rPr>
          <w:rFonts w:ascii="Times New Roman" w:hAnsi="Times New Roman" w:cs="Times New Roman"/>
        </w:rPr>
        <w:tab/>
        <w:t xml:space="preserve">Côté, B.; Burch, J. D.; Asante-Appiah, E.; Bayly, C.; Bédard, L.; Blouin, M.; Campeau, L.-C.; Cauchon, E.; Chan, M.; </w:t>
      </w:r>
      <w:proofErr w:type="spellStart"/>
      <w:r w:rsidRPr="004100CF">
        <w:rPr>
          <w:rFonts w:ascii="Times New Roman" w:hAnsi="Times New Roman" w:cs="Times New Roman"/>
        </w:rPr>
        <w:t>Chefson</w:t>
      </w:r>
      <w:proofErr w:type="spellEnd"/>
      <w:r w:rsidRPr="004100CF">
        <w:rPr>
          <w:rFonts w:ascii="Times New Roman" w:hAnsi="Times New Roman" w:cs="Times New Roman"/>
        </w:rPr>
        <w:t xml:space="preserve">, A.; Coulombe, N.; </w:t>
      </w:r>
      <w:proofErr w:type="spellStart"/>
      <w:r w:rsidRPr="004100CF">
        <w:rPr>
          <w:rFonts w:ascii="Times New Roman" w:hAnsi="Times New Roman" w:cs="Times New Roman"/>
        </w:rPr>
        <w:t>Cromlish</w:t>
      </w:r>
      <w:proofErr w:type="spellEnd"/>
      <w:r w:rsidRPr="004100CF">
        <w:rPr>
          <w:rFonts w:ascii="Times New Roman" w:hAnsi="Times New Roman" w:cs="Times New Roman"/>
        </w:rPr>
        <w:t xml:space="preserve">, W.; Debnath, S.; </w:t>
      </w:r>
      <w:proofErr w:type="spellStart"/>
      <w:r w:rsidRPr="004100CF">
        <w:rPr>
          <w:rFonts w:ascii="Times New Roman" w:hAnsi="Times New Roman" w:cs="Times New Roman"/>
        </w:rPr>
        <w:t>Deschênes</w:t>
      </w:r>
      <w:proofErr w:type="spellEnd"/>
      <w:r w:rsidRPr="004100CF">
        <w:rPr>
          <w:rFonts w:ascii="Times New Roman" w:hAnsi="Times New Roman" w:cs="Times New Roman"/>
        </w:rPr>
        <w:t xml:space="preserve">, D.; Dupont-Gaudet, K.; </w:t>
      </w:r>
      <w:proofErr w:type="spellStart"/>
      <w:r w:rsidRPr="004100CF">
        <w:rPr>
          <w:rFonts w:ascii="Times New Roman" w:hAnsi="Times New Roman" w:cs="Times New Roman"/>
        </w:rPr>
        <w:t>Falgueyret</w:t>
      </w:r>
      <w:proofErr w:type="spellEnd"/>
      <w:r w:rsidRPr="004100CF">
        <w:rPr>
          <w:rFonts w:ascii="Times New Roman" w:hAnsi="Times New Roman" w:cs="Times New Roman"/>
        </w:rPr>
        <w:t xml:space="preserve">, J.-P.; Forget, R.; </w:t>
      </w:r>
      <w:proofErr w:type="spellStart"/>
      <w:r w:rsidRPr="004100CF">
        <w:rPr>
          <w:rFonts w:ascii="Times New Roman" w:hAnsi="Times New Roman" w:cs="Times New Roman"/>
        </w:rPr>
        <w:t>Gagné</w:t>
      </w:r>
      <w:proofErr w:type="spellEnd"/>
      <w:r w:rsidRPr="004100CF">
        <w:rPr>
          <w:rFonts w:ascii="Times New Roman" w:hAnsi="Times New Roman" w:cs="Times New Roman"/>
        </w:rPr>
        <w:t xml:space="preserve">, S.; Gauvreau, D.; Girardin, M.; Guiral, S.; Langlois, E.; Li, C. S.; Nguyen, N.; Papp, R.; Plamondon, S.; Roy, A.; Roy, S.; </w:t>
      </w:r>
      <w:proofErr w:type="spellStart"/>
      <w:r w:rsidRPr="004100CF">
        <w:rPr>
          <w:rFonts w:ascii="Times New Roman" w:hAnsi="Times New Roman" w:cs="Times New Roman"/>
        </w:rPr>
        <w:t>Seliniotakis</w:t>
      </w:r>
      <w:proofErr w:type="spellEnd"/>
      <w:r w:rsidRPr="004100CF">
        <w:rPr>
          <w:rFonts w:ascii="Times New Roman" w:hAnsi="Times New Roman" w:cs="Times New Roman"/>
        </w:rPr>
        <w:t xml:space="preserve">, R.; St-Onge, M.; Ouellet, S.; Tawa, P.; Truchon, J.-F.; Vacca, J.; Wrona, M.; Yan, Y.; Ducharme, Y. Discovery of MK-1439, an Orally Bioavailable Non-Nucleoside Reverse Transcriptase Inhibitor Potent against a Wide Range of Resistant Mutant HIV Viruses. </w:t>
      </w:r>
      <w:r w:rsidRPr="004100CF">
        <w:rPr>
          <w:rFonts w:ascii="Times New Roman" w:hAnsi="Times New Roman" w:cs="Times New Roman"/>
          <w:i/>
          <w:iCs/>
        </w:rPr>
        <w:t>Bioorganic &amp; Medicinal Chemistry Letters</w:t>
      </w:r>
      <w:r w:rsidRPr="004100CF">
        <w:rPr>
          <w:rFonts w:ascii="Times New Roman" w:hAnsi="Times New Roman" w:cs="Times New Roman"/>
        </w:rPr>
        <w:t xml:space="preserve"> </w:t>
      </w:r>
      <w:r w:rsidRPr="004100CF">
        <w:rPr>
          <w:rFonts w:ascii="Times New Roman" w:hAnsi="Times New Roman" w:cs="Times New Roman"/>
          <w:b/>
          <w:bCs/>
        </w:rPr>
        <w:t>2014</w:t>
      </w:r>
      <w:r w:rsidRPr="004100CF">
        <w:rPr>
          <w:rFonts w:ascii="Times New Roman" w:hAnsi="Times New Roman" w:cs="Times New Roman"/>
        </w:rPr>
        <w:t xml:space="preserve">, </w:t>
      </w:r>
      <w:r w:rsidRPr="004100CF">
        <w:rPr>
          <w:rFonts w:ascii="Times New Roman" w:hAnsi="Times New Roman" w:cs="Times New Roman"/>
          <w:i/>
          <w:iCs/>
        </w:rPr>
        <w:t>24</w:t>
      </w:r>
      <w:r w:rsidRPr="004100CF">
        <w:rPr>
          <w:rFonts w:ascii="Times New Roman" w:hAnsi="Times New Roman" w:cs="Times New Roman"/>
        </w:rPr>
        <w:t xml:space="preserve"> (3), 917–922. https://doi.org/10.1016/j.bmcl.2013.12.070.</w:t>
      </w:r>
    </w:p>
    <w:p w14:paraId="1DE89F5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(15)</w:t>
      </w:r>
      <w:r w:rsidRPr="004100CF">
        <w:rPr>
          <w:rFonts w:ascii="Times New Roman" w:hAnsi="Times New Roman" w:cs="Times New Roman"/>
        </w:rPr>
        <w:tab/>
        <w:t xml:space="preserve">Hwang, C.; Lai, M.-T.; Hazuda, D. Rational Design of Doravirine: From Bench to Patients. </w:t>
      </w:r>
      <w:r w:rsidRPr="004100CF">
        <w:rPr>
          <w:rFonts w:ascii="Times New Roman" w:hAnsi="Times New Roman" w:cs="Times New Roman"/>
          <w:i/>
          <w:iCs/>
        </w:rPr>
        <w:t>ACS Infect. Dis.</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6</w:t>
      </w:r>
      <w:r w:rsidRPr="004100CF">
        <w:rPr>
          <w:rFonts w:ascii="Times New Roman" w:hAnsi="Times New Roman" w:cs="Times New Roman"/>
        </w:rPr>
        <w:t xml:space="preserve"> (1), 64–73. https://doi.org/10.1021/acsinfecdis.9b00178.</w:t>
      </w:r>
    </w:p>
    <w:p w14:paraId="0035556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(16)</w:t>
      </w:r>
      <w:r w:rsidRPr="004100CF">
        <w:rPr>
          <w:rFonts w:ascii="Times New Roman" w:hAnsi="Times New Roman" w:cs="Times New Roman"/>
        </w:rPr>
        <w:tab/>
        <w:t xml:space="preserve">Lai, M.-T.; Feng, M.; </w:t>
      </w:r>
      <w:proofErr w:type="spellStart"/>
      <w:r w:rsidRPr="004100CF">
        <w:rPr>
          <w:rFonts w:ascii="Times New Roman" w:hAnsi="Times New Roman" w:cs="Times New Roman"/>
        </w:rPr>
        <w:t>Falgueyret</w:t>
      </w:r>
      <w:proofErr w:type="spellEnd"/>
      <w:r w:rsidRPr="004100CF">
        <w:rPr>
          <w:rFonts w:ascii="Times New Roman" w:hAnsi="Times New Roman" w:cs="Times New Roman"/>
        </w:rPr>
        <w:t xml:space="preserve">, J.-P.; Tawa, P.; Witmer, M.; DiStefano, D.; Li, Y.; Burch, J.; Sachs, N.; Lu, M.; Cauchon, E.; Campeau, L.-C.; Grobler, J.; Yan, Y.; Ducharme, Y.; Côté, B.; Asante-Appiah, E.; Hazuda, D. J.; Miller, M. D. In Vitro Characterization of MK-1439, a Novel HIV-1 Nonnucleoside Reverse Transcriptase Inhibitor. </w:t>
      </w:r>
      <w:r w:rsidRPr="004100CF">
        <w:rPr>
          <w:rFonts w:ascii="Times New Roman" w:hAnsi="Times New Roman" w:cs="Times New Roman"/>
          <w:i/>
          <w:iCs/>
        </w:rPr>
        <w:t>Antimicrobial Agents and Chemotherapy</w:t>
      </w:r>
      <w:r w:rsidRPr="004100CF">
        <w:rPr>
          <w:rFonts w:ascii="Times New Roman" w:hAnsi="Times New Roman" w:cs="Times New Roman"/>
        </w:rPr>
        <w:t xml:space="preserve"> </w:t>
      </w:r>
      <w:r w:rsidRPr="004100CF">
        <w:rPr>
          <w:rFonts w:ascii="Times New Roman" w:hAnsi="Times New Roman" w:cs="Times New Roman"/>
          <w:b/>
          <w:bCs/>
        </w:rPr>
        <w:t>2014</w:t>
      </w:r>
      <w:r w:rsidRPr="004100CF">
        <w:rPr>
          <w:rFonts w:ascii="Times New Roman" w:hAnsi="Times New Roman" w:cs="Times New Roman"/>
        </w:rPr>
        <w:t xml:space="preserve">, </w:t>
      </w:r>
      <w:r w:rsidRPr="004100CF">
        <w:rPr>
          <w:rFonts w:ascii="Times New Roman" w:hAnsi="Times New Roman" w:cs="Times New Roman"/>
          <w:i/>
          <w:iCs/>
        </w:rPr>
        <w:t>58</w:t>
      </w:r>
      <w:r w:rsidRPr="004100CF">
        <w:rPr>
          <w:rFonts w:ascii="Times New Roman" w:hAnsi="Times New Roman" w:cs="Times New Roman"/>
        </w:rPr>
        <w:t xml:space="preserve"> (3), 1652–1663. https://doi.org/10.1128/aac.02403-13.</w:t>
      </w:r>
    </w:p>
    <w:p w14:paraId="1919010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lastRenderedPageBreak/>
        <w:t>(17)</w:t>
      </w:r>
      <w:r w:rsidRPr="004100CF">
        <w:rPr>
          <w:rFonts w:ascii="Times New Roman" w:hAnsi="Times New Roman" w:cs="Times New Roman"/>
        </w:rPr>
        <w:tab/>
        <w:t xml:space="preserve">Feng, M.; Wang, D.; Grobler, J. A.; Hazuda, D. J.; Miller, M. D.; Lai, M.-T. In Vitro Resistance Selection with Doravirine (MK-1439), a Novel Nonnucleoside Reverse Transcriptase Inhibitor with Distinct Mutation Development Pathways. </w:t>
      </w:r>
      <w:r w:rsidRPr="004100CF">
        <w:rPr>
          <w:rFonts w:ascii="Times New Roman" w:hAnsi="Times New Roman" w:cs="Times New Roman"/>
          <w:i/>
          <w:iCs/>
        </w:rPr>
        <w:t>Antimicrobial Agents and Chemotherapy</w:t>
      </w:r>
      <w:r w:rsidRPr="004100CF">
        <w:rPr>
          <w:rFonts w:ascii="Times New Roman" w:hAnsi="Times New Roman" w:cs="Times New Roman"/>
        </w:rPr>
        <w:t xml:space="preserve"> </w:t>
      </w:r>
      <w:r w:rsidRPr="004100CF">
        <w:rPr>
          <w:rFonts w:ascii="Times New Roman" w:hAnsi="Times New Roman" w:cs="Times New Roman"/>
          <w:b/>
          <w:bCs/>
        </w:rPr>
        <w:t>2014</w:t>
      </w:r>
      <w:r w:rsidRPr="004100CF">
        <w:rPr>
          <w:rFonts w:ascii="Times New Roman" w:hAnsi="Times New Roman" w:cs="Times New Roman"/>
        </w:rPr>
        <w:t xml:space="preserve">, </w:t>
      </w:r>
      <w:r w:rsidRPr="004100CF">
        <w:rPr>
          <w:rFonts w:ascii="Times New Roman" w:hAnsi="Times New Roman" w:cs="Times New Roman"/>
          <w:i/>
          <w:iCs/>
        </w:rPr>
        <w:t>59</w:t>
      </w:r>
      <w:r w:rsidRPr="004100CF">
        <w:rPr>
          <w:rFonts w:ascii="Times New Roman" w:hAnsi="Times New Roman" w:cs="Times New Roman"/>
        </w:rPr>
        <w:t xml:space="preserve"> (1), 590–598. https://doi.org/10.1128/aac.04201-14.</w:t>
      </w:r>
    </w:p>
    <w:p w14:paraId="6F48D8A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(18)</w:t>
      </w:r>
      <w:r w:rsidRPr="004100CF">
        <w:rPr>
          <w:rFonts w:ascii="Times New Roman" w:hAnsi="Times New Roman" w:cs="Times New Roman"/>
        </w:rPr>
        <w:tab/>
        <w:t xml:space="preserve">Rhee, S.-Y.; Schapiro, J. M.; </w:t>
      </w:r>
      <w:proofErr w:type="spellStart"/>
      <w:r w:rsidRPr="004100CF">
        <w:rPr>
          <w:rFonts w:ascii="Times New Roman" w:hAnsi="Times New Roman" w:cs="Times New Roman"/>
        </w:rPr>
        <w:t>Saladini</w:t>
      </w:r>
      <w:proofErr w:type="spellEnd"/>
      <w:r w:rsidRPr="004100CF">
        <w:rPr>
          <w:rFonts w:ascii="Times New Roman" w:hAnsi="Times New Roman" w:cs="Times New Roman"/>
        </w:rPr>
        <w:t xml:space="preserve">, F.; Zazzi, M.; Khoo, S.; Shafer, R. W. Potential Role of Doravirine for the Treatment of HIV-1-Infected Persons with Transmitted Drug Resistance. </w:t>
      </w:r>
      <w:r w:rsidRPr="004100CF">
        <w:rPr>
          <w:rFonts w:ascii="Times New Roman" w:hAnsi="Times New Roman" w:cs="Times New Roman"/>
          <w:i/>
          <w:iCs/>
        </w:rPr>
        <w:t>AIDS Res Ther</w:t>
      </w:r>
      <w:r w:rsidRPr="004100CF">
        <w:rPr>
          <w:rFonts w:ascii="Times New Roman" w:hAnsi="Times New Roman" w:cs="Times New Roman"/>
        </w:rPr>
        <w:t xml:space="preserve"> </w:t>
      </w:r>
      <w:r w:rsidRPr="004100CF">
        <w:rPr>
          <w:rFonts w:ascii="Times New Roman" w:hAnsi="Times New Roman" w:cs="Times New Roman"/>
          <w:b/>
          <w:bCs/>
        </w:rPr>
        <w:t>2023</w:t>
      </w:r>
      <w:r w:rsidRPr="004100CF">
        <w:rPr>
          <w:rFonts w:ascii="Times New Roman" w:hAnsi="Times New Roman" w:cs="Times New Roman"/>
        </w:rPr>
        <w:t xml:space="preserve">, </w:t>
      </w:r>
      <w:r w:rsidRPr="004100CF">
        <w:rPr>
          <w:rFonts w:ascii="Times New Roman" w:hAnsi="Times New Roman" w:cs="Times New Roman"/>
          <w:i/>
          <w:iCs/>
        </w:rPr>
        <w:t>20</w:t>
      </w:r>
      <w:r w:rsidRPr="004100CF">
        <w:rPr>
          <w:rFonts w:ascii="Times New Roman" w:hAnsi="Times New Roman" w:cs="Times New Roman"/>
        </w:rPr>
        <w:t xml:space="preserve"> (1), 8. https://doi.org/10.1186/s12981-023-00503-5.</w:t>
      </w:r>
    </w:p>
    <w:p w14:paraId="58AD9ECD"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(19)</w:t>
      </w:r>
      <w:r w:rsidRPr="004100CF">
        <w:rPr>
          <w:rFonts w:ascii="Times New Roman" w:hAnsi="Times New Roman" w:cs="Times New Roman"/>
        </w:rPr>
        <w:tab/>
        <w:t xml:space="preserve">Calza, L.; </w:t>
      </w:r>
      <w:proofErr w:type="spellStart"/>
      <w:r w:rsidRPr="004100CF">
        <w:rPr>
          <w:rFonts w:ascii="Times New Roman" w:hAnsi="Times New Roman" w:cs="Times New Roman"/>
        </w:rPr>
        <w:t>Colangeli</w:t>
      </w:r>
      <w:proofErr w:type="spellEnd"/>
      <w:r w:rsidRPr="004100CF">
        <w:rPr>
          <w:rFonts w:ascii="Times New Roman" w:hAnsi="Times New Roman" w:cs="Times New Roman"/>
        </w:rPr>
        <w:t xml:space="preserve">, V.; </w:t>
      </w:r>
      <w:proofErr w:type="spellStart"/>
      <w:r w:rsidRPr="004100CF">
        <w:rPr>
          <w:rFonts w:ascii="Times New Roman" w:hAnsi="Times New Roman" w:cs="Times New Roman"/>
        </w:rPr>
        <w:t>Pensalfine</w:t>
      </w:r>
      <w:proofErr w:type="spellEnd"/>
      <w:r w:rsidRPr="004100CF">
        <w:rPr>
          <w:rFonts w:ascii="Times New Roman" w:hAnsi="Times New Roman" w:cs="Times New Roman"/>
        </w:rPr>
        <w:t xml:space="preserve">, G.; </w:t>
      </w:r>
      <w:proofErr w:type="spellStart"/>
      <w:r w:rsidRPr="004100CF">
        <w:rPr>
          <w:rFonts w:ascii="Times New Roman" w:hAnsi="Times New Roman" w:cs="Times New Roman"/>
        </w:rPr>
        <w:t>Appolloni</w:t>
      </w:r>
      <w:proofErr w:type="spellEnd"/>
      <w:r w:rsidRPr="004100CF">
        <w:rPr>
          <w:rFonts w:ascii="Times New Roman" w:hAnsi="Times New Roman" w:cs="Times New Roman"/>
        </w:rPr>
        <w:t xml:space="preserve">, L.; Vitale, S.; Bon, I.; Viale, P. Doravirine/Lamivudine/Tenofovir Disoproxil Fumarate in Virologically Suppressed People Living with HIV: A Real-Life Experience. </w:t>
      </w:r>
      <w:r w:rsidRPr="004100CF">
        <w:rPr>
          <w:rFonts w:ascii="Times New Roman" w:hAnsi="Times New Roman" w:cs="Times New Roman"/>
          <w:i/>
          <w:iCs/>
        </w:rPr>
        <w:t>Int J STD AIDS</w:t>
      </w:r>
      <w:r w:rsidRPr="004100CF">
        <w:rPr>
          <w:rFonts w:ascii="Times New Roman" w:hAnsi="Times New Roman" w:cs="Times New Roman"/>
        </w:rPr>
        <w:t xml:space="preserve"> </w:t>
      </w:r>
      <w:r w:rsidRPr="004100CF">
        <w:rPr>
          <w:rFonts w:ascii="Times New Roman" w:hAnsi="Times New Roman" w:cs="Times New Roman"/>
          <w:b/>
          <w:bCs/>
        </w:rPr>
        <w:t>2023</w:t>
      </w:r>
      <w:r w:rsidRPr="004100CF">
        <w:rPr>
          <w:rFonts w:ascii="Times New Roman" w:hAnsi="Times New Roman" w:cs="Times New Roman"/>
        </w:rPr>
        <w:t xml:space="preserve">, </w:t>
      </w:r>
      <w:r w:rsidRPr="004100CF">
        <w:rPr>
          <w:rFonts w:ascii="Times New Roman" w:hAnsi="Times New Roman" w:cs="Times New Roman"/>
          <w:i/>
          <w:iCs/>
        </w:rPr>
        <w:t>34</w:t>
      </w:r>
      <w:r w:rsidRPr="004100CF">
        <w:rPr>
          <w:rFonts w:ascii="Times New Roman" w:hAnsi="Times New Roman" w:cs="Times New Roman"/>
        </w:rPr>
        <w:t xml:space="preserve"> (14), 1018–1023. https://doi.org/10.1177/09564624231195084.</w:t>
      </w:r>
    </w:p>
    <w:p w14:paraId="17B1F9A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(20)</w:t>
      </w:r>
      <w:r w:rsidRPr="004100CF">
        <w:rPr>
          <w:rFonts w:ascii="Times New Roman" w:hAnsi="Times New Roman" w:cs="Times New Roman"/>
        </w:rPr>
        <w:tab/>
      </w:r>
      <w:proofErr w:type="spellStart"/>
      <w:r w:rsidRPr="004100CF">
        <w:rPr>
          <w:rFonts w:ascii="Times New Roman" w:hAnsi="Times New Roman" w:cs="Times New Roman"/>
        </w:rPr>
        <w:t>Mejías</w:t>
      </w:r>
      <w:proofErr w:type="spellEnd"/>
      <w:r w:rsidRPr="004100CF">
        <w:rPr>
          <w:rFonts w:ascii="Times New Roman" w:hAnsi="Times New Roman" w:cs="Times New Roman"/>
        </w:rPr>
        <w:t xml:space="preserve">-Trueba, M.; Gutierrez-Valencia, A.; Llaves-Flores, S.; Roca-Oporto, C.; Herrero, M.; Sotomayor de la Piedra, C.; Lopez-Cortes, L. F.; Espinosa, N. Long-Term Effectiveness, Safety, and Tolerability of Doravirine in Antiretroviral-Experienced People with HIV in Real Life. </w:t>
      </w:r>
      <w:r w:rsidRPr="004100CF">
        <w:rPr>
          <w:rFonts w:ascii="Times New Roman" w:hAnsi="Times New Roman" w:cs="Times New Roman"/>
          <w:i/>
          <w:iCs/>
        </w:rPr>
        <w:t>Microbiology Spectrum</w:t>
      </w:r>
      <w:r w:rsidRPr="004100CF">
        <w:rPr>
          <w:rFonts w:ascii="Times New Roman" w:hAnsi="Times New Roman" w:cs="Times New Roman"/>
        </w:rPr>
        <w:t xml:space="preserve"> </w:t>
      </w:r>
      <w:r w:rsidRPr="004100CF">
        <w:rPr>
          <w:rFonts w:ascii="Times New Roman" w:hAnsi="Times New Roman" w:cs="Times New Roman"/>
          <w:b/>
          <w:bCs/>
        </w:rPr>
        <w:t>2024</w:t>
      </w:r>
      <w:r w:rsidRPr="004100CF">
        <w:rPr>
          <w:rFonts w:ascii="Times New Roman" w:hAnsi="Times New Roman" w:cs="Times New Roman"/>
        </w:rPr>
        <w:t xml:space="preserve">, </w:t>
      </w:r>
      <w:r w:rsidRPr="004100CF">
        <w:rPr>
          <w:rFonts w:ascii="Times New Roman" w:hAnsi="Times New Roman" w:cs="Times New Roman"/>
          <w:i/>
          <w:iCs/>
        </w:rPr>
        <w:t>12</w:t>
      </w:r>
      <w:r w:rsidRPr="004100CF">
        <w:rPr>
          <w:rFonts w:ascii="Times New Roman" w:hAnsi="Times New Roman" w:cs="Times New Roman"/>
        </w:rPr>
        <w:t xml:space="preserve"> (8), e00654-24. https://doi.org/10.1128/spectrum.00654-24.</w:t>
      </w:r>
    </w:p>
    <w:p w14:paraId="21C3A469"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(21)</w:t>
      </w:r>
      <w:r w:rsidRPr="004100CF">
        <w:rPr>
          <w:rFonts w:ascii="Times New Roman" w:hAnsi="Times New Roman" w:cs="Times New Roman"/>
        </w:rPr>
        <w:tab/>
        <w:t xml:space="preserve">Yang, H.; Li, M.; Liu, Q.; Zeng, Q.; Yuan, J. The Efficacy and Safety of Doravirine/Lamivudine/Tenofovir Disoproxil Fumarate in Treatment-Naïve and Treatment-Experienced Patients with HIV. </w:t>
      </w:r>
      <w:r w:rsidRPr="004100CF">
        <w:rPr>
          <w:rFonts w:ascii="Times New Roman" w:hAnsi="Times New Roman" w:cs="Times New Roman"/>
          <w:i/>
          <w:iCs/>
        </w:rPr>
        <w:t>Annals of Medicine</w:t>
      </w:r>
      <w:r w:rsidRPr="004100CF">
        <w:rPr>
          <w:rFonts w:ascii="Times New Roman" w:hAnsi="Times New Roman" w:cs="Times New Roman"/>
        </w:rPr>
        <w:t xml:space="preserve"> </w:t>
      </w:r>
      <w:r w:rsidRPr="004100CF">
        <w:rPr>
          <w:rFonts w:ascii="Times New Roman" w:hAnsi="Times New Roman" w:cs="Times New Roman"/>
          <w:b/>
          <w:bCs/>
        </w:rPr>
        <w:t>2025</w:t>
      </w:r>
      <w:r w:rsidRPr="004100CF">
        <w:rPr>
          <w:rFonts w:ascii="Times New Roman" w:hAnsi="Times New Roman" w:cs="Times New Roman"/>
        </w:rPr>
        <w:t xml:space="preserve">, </w:t>
      </w:r>
      <w:r w:rsidRPr="004100CF">
        <w:rPr>
          <w:rFonts w:ascii="Times New Roman" w:hAnsi="Times New Roman" w:cs="Times New Roman"/>
          <w:i/>
          <w:iCs/>
        </w:rPr>
        <w:t>57</w:t>
      </w:r>
      <w:r w:rsidRPr="004100CF">
        <w:rPr>
          <w:rFonts w:ascii="Times New Roman" w:hAnsi="Times New Roman" w:cs="Times New Roman"/>
        </w:rPr>
        <w:t xml:space="preserve"> (1), 2564286. https://doi.org/10.1080/07853890.2025.2564286.</w:t>
      </w:r>
    </w:p>
    <w:p w14:paraId="698705B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(22)</w:t>
      </w:r>
      <w:r w:rsidRPr="004100CF">
        <w:rPr>
          <w:rFonts w:ascii="Times New Roman" w:hAnsi="Times New Roman" w:cs="Times New Roman"/>
        </w:rPr>
        <w:tab/>
        <w:t xml:space="preserve">Orkin, C.; </w:t>
      </w:r>
      <w:proofErr w:type="spellStart"/>
      <w:r w:rsidRPr="004100CF">
        <w:rPr>
          <w:rFonts w:ascii="Times New Roman" w:hAnsi="Times New Roman" w:cs="Times New Roman"/>
        </w:rPr>
        <w:t>Mngqibisa</w:t>
      </w:r>
      <w:proofErr w:type="spellEnd"/>
      <w:r w:rsidRPr="004100CF">
        <w:rPr>
          <w:rFonts w:ascii="Times New Roman" w:hAnsi="Times New Roman" w:cs="Times New Roman"/>
        </w:rPr>
        <w:t xml:space="preserve">, R.; Velez, J. D.; Kumar, P.; Braun, D. L.; Carr, A.; Bloch, M.; Walmsley, S.; </w:t>
      </w:r>
      <w:proofErr w:type="spellStart"/>
      <w:r w:rsidRPr="004100CF">
        <w:rPr>
          <w:rFonts w:ascii="Times New Roman" w:hAnsi="Times New Roman" w:cs="Times New Roman"/>
        </w:rPr>
        <w:t>Tebas</w:t>
      </w:r>
      <w:proofErr w:type="spellEnd"/>
      <w:r w:rsidRPr="004100CF">
        <w:rPr>
          <w:rFonts w:ascii="Times New Roman" w:hAnsi="Times New Roman" w:cs="Times New Roman"/>
        </w:rPr>
        <w:t xml:space="preserve">, P.; </w:t>
      </w:r>
      <w:proofErr w:type="spellStart"/>
      <w:r w:rsidRPr="004100CF">
        <w:rPr>
          <w:rFonts w:ascii="Times New Roman" w:hAnsi="Times New Roman" w:cs="Times New Roman"/>
        </w:rPr>
        <w:t>Yokomaku</w:t>
      </w:r>
      <w:proofErr w:type="spellEnd"/>
      <w:r w:rsidRPr="004100CF">
        <w:rPr>
          <w:rFonts w:ascii="Times New Roman" w:hAnsi="Times New Roman" w:cs="Times New Roman"/>
        </w:rPr>
        <w:t xml:space="preserve">, Y.; Diamond, T. L.; Jackson, B.; Eves, K.; Grandhi, A.; </w:t>
      </w:r>
      <w:proofErr w:type="spellStart"/>
      <w:r w:rsidRPr="004100CF">
        <w:rPr>
          <w:rFonts w:ascii="Times New Roman" w:hAnsi="Times New Roman" w:cs="Times New Roman"/>
        </w:rPr>
        <w:t>Fuszard</w:t>
      </w:r>
      <w:proofErr w:type="spellEnd"/>
      <w:r w:rsidRPr="004100CF">
        <w:rPr>
          <w:rFonts w:ascii="Times New Roman" w:hAnsi="Times New Roman" w:cs="Times New Roman"/>
        </w:rPr>
        <w:t xml:space="preserve">, M.; Klopfer, S. O.; Stamm, L. M.; Fox, M. C.; Kim, J. Switch to Fixed-Dose Doravirine (100 Mg) and </w:t>
      </w:r>
      <w:proofErr w:type="spellStart"/>
      <w:r w:rsidRPr="004100CF">
        <w:rPr>
          <w:rFonts w:ascii="Times New Roman" w:hAnsi="Times New Roman" w:cs="Times New Roman"/>
        </w:rPr>
        <w:t>Islatravir</w:t>
      </w:r>
      <w:proofErr w:type="spellEnd"/>
      <w:r w:rsidRPr="004100CF">
        <w:rPr>
          <w:rFonts w:ascii="Times New Roman" w:hAnsi="Times New Roman" w:cs="Times New Roman"/>
        </w:rPr>
        <w:t xml:space="preserve"> (0·25 Mg) Once Daily in Virologically Suppressed Adults with HIV-1 on Oral Antiretroviral Therapy: 48-Week Results of a Phase 3, </w:t>
      </w:r>
      <w:proofErr w:type="spellStart"/>
      <w:r w:rsidRPr="004100CF">
        <w:rPr>
          <w:rFonts w:ascii="Times New Roman" w:hAnsi="Times New Roman" w:cs="Times New Roman"/>
        </w:rPr>
        <w:t>Multicentre</w:t>
      </w:r>
      <w:proofErr w:type="spellEnd"/>
      <w:r w:rsidRPr="004100CF">
        <w:rPr>
          <w:rFonts w:ascii="Times New Roman" w:hAnsi="Times New Roman" w:cs="Times New Roman"/>
        </w:rPr>
        <w:t xml:space="preserve">, </w:t>
      </w:r>
      <w:proofErr w:type="spellStart"/>
      <w:r w:rsidRPr="004100CF">
        <w:rPr>
          <w:rFonts w:ascii="Times New Roman" w:hAnsi="Times New Roman" w:cs="Times New Roman"/>
        </w:rPr>
        <w:t>Randomised</w:t>
      </w:r>
      <w:proofErr w:type="spellEnd"/>
      <w:r w:rsidRPr="004100CF">
        <w:rPr>
          <w:rFonts w:ascii="Times New Roman" w:hAnsi="Times New Roman" w:cs="Times New Roman"/>
        </w:rPr>
        <w:t xml:space="preserve">, Open-Label, Non-Inferiority Trial. </w:t>
      </w:r>
      <w:r w:rsidRPr="004100CF">
        <w:rPr>
          <w:rFonts w:ascii="Times New Roman" w:hAnsi="Times New Roman" w:cs="Times New Roman"/>
          <w:i/>
          <w:iCs/>
        </w:rPr>
        <w:t>The Lancet</w:t>
      </w:r>
      <w:r w:rsidRPr="004100CF">
        <w:rPr>
          <w:rFonts w:ascii="Times New Roman" w:hAnsi="Times New Roman" w:cs="Times New Roman"/>
        </w:rPr>
        <w:t xml:space="preserve"> </w:t>
      </w:r>
      <w:r w:rsidRPr="004100CF">
        <w:rPr>
          <w:rFonts w:ascii="Times New Roman" w:hAnsi="Times New Roman" w:cs="Times New Roman"/>
          <w:b/>
          <w:bCs/>
        </w:rPr>
        <w:t>2026</w:t>
      </w:r>
      <w:r w:rsidRPr="004100CF">
        <w:rPr>
          <w:rFonts w:ascii="Times New Roman" w:hAnsi="Times New Roman" w:cs="Times New Roman"/>
        </w:rPr>
        <w:t xml:space="preserve">, </w:t>
      </w:r>
      <w:r w:rsidRPr="004100CF">
        <w:rPr>
          <w:rFonts w:ascii="Times New Roman" w:hAnsi="Times New Roman" w:cs="Times New Roman"/>
          <w:i/>
          <w:iCs/>
        </w:rPr>
        <w:t>407</w:t>
      </w:r>
      <w:r w:rsidRPr="004100CF">
        <w:rPr>
          <w:rFonts w:ascii="Times New Roman" w:hAnsi="Times New Roman" w:cs="Times New Roman"/>
        </w:rPr>
        <w:t xml:space="preserve"> (10528), 599–610. https://doi.org/10.1016/S0140-6736(25)01945-2.</w:t>
      </w:r>
    </w:p>
    <w:p w14:paraId="7BF338C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(23)</w:t>
      </w:r>
      <w:r w:rsidRPr="004100CF">
        <w:rPr>
          <w:rFonts w:ascii="Times New Roman" w:hAnsi="Times New Roman" w:cs="Times New Roman"/>
        </w:rPr>
        <w:tab/>
        <w:t xml:space="preserve">Rizzo, R. C.; Wang, D.-P.; Tirado-Rives, J.; Jorgensen, W. L. Validation of a Model for the Complex of HIV-1 Reverse Transcriptase with </w:t>
      </w:r>
      <w:proofErr w:type="spellStart"/>
      <w:r w:rsidRPr="004100CF">
        <w:rPr>
          <w:rFonts w:ascii="Times New Roman" w:hAnsi="Times New Roman" w:cs="Times New Roman"/>
        </w:rPr>
        <w:t>Sustiva</w:t>
      </w:r>
      <w:proofErr w:type="spellEnd"/>
      <w:r w:rsidRPr="004100CF">
        <w:rPr>
          <w:rFonts w:ascii="Times New Roman" w:hAnsi="Times New Roman" w:cs="Times New Roman"/>
        </w:rPr>
        <w:t xml:space="preserve"> through Computation of Resistance Profiles. </w:t>
      </w:r>
      <w:r w:rsidRPr="004100CF">
        <w:rPr>
          <w:rFonts w:ascii="Times New Roman" w:hAnsi="Times New Roman" w:cs="Times New Roman"/>
          <w:i/>
          <w:iCs/>
        </w:rPr>
        <w:t>Journal American Chemical Society</w:t>
      </w:r>
      <w:r w:rsidRPr="004100CF">
        <w:rPr>
          <w:rFonts w:ascii="Times New Roman" w:hAnsi="Times New Roman" w:cs="Times New Roman"/>
        </w:rPr>
        <w:t xml:space="preserve"> </w:t>
      </w:r>
      <w:r w:rsidRPr="004100CF">
        <w:rPr>
          <w:rFonts w:ascii="Times New Roman" w:hAnsi="Times New Roman" w:cs="Times New Roman"/>
          <w:b/>
          <w:bCs/>
        </w:rPr>
        <w:t>2000</w:t>
      </w:r>
      <w:r w:rsidRPr="004100CF">
        <w:rPr>
          <w:rFonts w:ascii="Times New Roman" w:hAnsi="Times New Roman" w:cs="Times New Roman"/>
        </w:rPr>
        <w:t xml:space="preserve">, </w:t>
      </w:r>
      <w:r w:rsidRPr="004100CF">
        <w:rPr>
          <w:rFonts w:ascii="Times New Roman" w:hAnsi="Times New Roman" w:cs="Times New Roman"/>
          <w:i/>
          <w:iCs/>
        </w:rPr>
        <w:t>122</w:t>
      </w:r>
      <w:r w:rsidRPr="004100CF">
        <w:rPr>
          <w:rFonts w:ascii="Times New Roman" w:hAnsi="Times New Roman" w:cs="Times New Roman"/>
        </w:rPr>
        <w:t xml:space="preserve"> (51), 12898–12900. https://doi.org/10.1021/ja003113r.</w:t>
      </w:r>
    </w:p>
    <w:p w14:paraId="3CD75CA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(24)</w:t>
      </w:r>
      <w:r w:rsidRPr="004100CF">
        <w:rPr>
          <w:rFonts w:ascii="Times New Roman" w:hAnsi="Times New Roman" w:cs="Times New Roman"/>
        </w:rPr>
        <w:tab/>
        <w:t xml:space="preserve">Wang, D.-P.; Rizzo, R. C.; Tirado-Rives, J.; Jorgensen, W. L. Antiviral Drug Design: Computational Analyses of the Effects of the L100I Mutation for HIV-RT on the Binding of NNRTIs. </w:t>
      </w:r>
      <w:r w:rsidRPr="004100CF">
        <w:rPr>
          <w:rFonts w:ascii="Times New Roman" w:hAnsi="Times New Roman" w:cs="Times New Roman"/>
          <w:i/>
          <w:iCs/>
        </w:rPr>
        <w:t>Bioorganic &amp; Medicinal Chemistry Letters</w:t>
      </w:r>
      <w:r w:rsidRPr="004100CF">
        <w:rPr>
          <w:rFonts w:ascii="Times New Roman" w:hAnsi="Times New Roman" w:cs="Times New Roman"/>
        </w:rPr>
        <w:t xml:space="preserve"> </w:t>
      </w:r>
      <w:r w:rsidRPr="004100CF">
        <w:rPr>
          <w:rFonts w:ascii="Times New Roman" w:hAnsi="Times New Roman" w:cs="Times New Roman"/>
          <w:b/>
          <w:bCs/>
        </w:rPr>
        <w:t>2001</w:t>
      </w:r>
      <w:r w:rsidRPr="004100CF">
        <w:rPr>
          <w:rFonts w:ascii="Times New Roman" w:hAnsi="Times New Roman" w:cs="Times New Roman"/>
        </w:rPr>
        <w:t xml:space="preserve">, </w:t>
      </w:r>
      <w:r w:rsidRPr="004100CF">
        <w:rPr>
          <w:rFonts w:ascii="Times New Roman" w:hAnsi="Times New Roman" w:cs="Times New Roman"/>
          <w:i/>
          <w:iCs/>
        </w:rPr>
        <w:t>11</w:t>
      </w:r>
      <w:r w:rsidRPr="004100CF">
        <w:rPr>
          <w:rFonts w:ascii="Times New Roman" w:hAnsi="Times New Roman" w:cs="Times New Roman"/>
        </w:rPr>
        <w:t xml:space="preserve"> (21), 2799–2802. https://doi.org/10.1016/S0960-894X(01)00510-8.</w:t>
      </w:r>
    </w:p>
    <w:p w14:paraId="2D0A4B7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(25)</w:t>
      </w:r>
      <w:r w:rsidRPr="004100CF">
        <w:rPr>
          <w:rFonts w:ascii="Times New Roman" w:hAnsi="Times New Roman" w:cs="Times New Roman"/>
        </w:rPr>
        <w:tab/>
      </w:r>
      <w:proofErr w:type="spellStart"/>
      <w:r w:rsidRPr="004100CF">
        <w:rPr>
          <w:rFonts w:ascii="Times New Roman" w:hAnsi="Times New Roman" w:cs="Times New Roman"/>
        </w:rPr>
        <w:t>Udier-Blagović</w:t>
      </w:r>
      <w:proofErr w:type="spellEnd"/>
      <w:r w:rsidRPr="004100CF">
        <w:rPr>
          <w:rFonts w:ascii="Times New Roman" w:hAnsi="Times New Roman" w:cs="Times New Roman"/>
        </w:rPr>
        <w:t xml:space="preserve">, M.; Tirado-Rives, J.; Jorgensen, W. L. Validation of a Model for the Complex of HIV-1 Reverse Transcriptase with Nonnucleoside Inhibitor TMC125. </w:t>
      </w:r>
      <w:r w:rsidRPr="004100CF">
        <w:rPr>
          <w:rFonts w:ascii="Times New Roman" w:hAnsi="Times New Roman" w:cs="Times New Roman"/>
          <w:i/>
          <w:iCs/>
        </w:rPr>
        <w:t>Journal American Chemical Society</w:t>
      </w:r>
      <w:r w:rsidRPr="004100CF">
        <w:rPr>
          <w:rFonts w:ascii="Times New Roman" w:hAnsi="Times New Roman" w:cs="Times New Roman"/>
        </w:rPr>
        <w:t xml:space="preserve"> </w:t>
      </w:r>
      <w:r w:rsidRPr="004100CF">
        <w:rPr>
          <w:rFonts w:ascii="Times New Roman" w:hAnsi="Times New Roman" w:cs="Times New Roman"/>
          <w:b/>
          <w:bCs/>
        </w:rPr>
        <w:t>2003</w:t>
      </w:r>
      <w:r w:rsidRPr="004100CF">
        <w:rPr>
          <w:rFonts w:ascii="Times New Roman" w:hAnsi="Times New Roman" w:cs="Times New Roman"/>
        </w:rPr>
        <w:t xml:space="preserve">, </w:t>
      </w:r>
      <w:r w:rsidRPr="004100CF">
        <w:rPr>
          <w:rFonts w:ascii="Times New Roman" w:hAnsi="Times New Roman" w:cs="Times New Roman"/>
          <w:i/>
          <w:iCs/>
        </w:rPr>
        <w:t>125</w:t>
      </w:r>
      <w:r w:rsidRPr="004100CF">
        <w:rPr>
          <w:rFonts w:ascii="Times New Roman" w:hAnsi="Times New Roman" w:cs="Times New Roman"/>
        </w:rPr>
        <w:t xml:space="preserve"> (20), 6016–6017. https://doi.org/10.1021/ja034308c.</w:t>
      </w:r>
    </w:p>
    <w:p w14:paraId="7EFDAAB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(26)</w:t>
      </w:r>
      <w:r w:rsidRPr="004100CF">
        <w:rPr>
          <w:rFonts w:ascii="Times New Roman" w:hAnsi="Times New Roman" w:cs="Times New Roman"/>
        </w:rPr>
        <w:tab/>
      </w:r>
      <w:proofErr w:type="spellStart"/>
      <w:r w:rsidRPr="004100CF">
        <w:rPr>
          <w:rFonts w:ascii="Times New Roman" w:hAnsi="Times New Roman" w:cs="Times New Roman"/>
        </w:rPr>
        <w:t>Udier-Blagović</w:t>
      </w:r>
      <w:proofErr w:type="spellEnd"/>
      <w:r w:rsidRPr="004100CF">
        <w:rPr>
          <w:rFonts w:ascii="Times New Roman" w:hAnsi="Times New Roman" w:cs="Times New Roman"/>
        </w:rPr>
        <w:t xml:space="preserve">, M.; Tirado-Rives, J.; Jorgensen, W. L. Structural and Energetic Analyses of the Effects of the K103N Mutation of HIV-1 Reverse Transcriptase on Efavirenz Analogues. </w:t>
      </w:r>
      <w:r w:rsidRPr="004100CF">
        <w:rPr>
          <w:rFonts w:ascii="Times New Roman" w:hAnsi="Times New Roman" w:cs="Times New Roman"/>
          <w:i/>
          <w:iCs/>
        </w:rPr>
        <w:t>J. Med. Chem.</w:t>
      </w:r>
      <w:r w:rsidRPr="004100CF">
        <w:rPr>
          <w:rFonts w:ascii="Times New Roman" w:hAnsi="Times New Roman" w:cs="Times New Roman"/>
        </w:rPr>
        <w:t xml:space="preserve"> </w:t>
      </w:r>
      <w:r w:rsidRPr="004100CF">
        <w:rPr>
          <w:rFonts w:ascii="Times New Roman" w:hAnsi="Times New Roman" w:cs="Times New Roman"/>
          <w:b/>
          <w:bCs/>
        </w:rPr>
        <w:t>2004</w:t>
      </w:r>
      <w:r w:rsidRPr="004100CF">
        <w:rPr>
          <w:rFonts w:ascii="Times New Roman" w:hAnsi="Times New Roman" w:cs="Times New Roman"/>
        </w:rPr>
        <w:t xml:space="preserve">, </w:t>
      </w:r>
      <w:r w:rsidRPr="004100CF">
        <w:rPr>
          <w:rFonts w:ascii="Times New Roman" w:hAnsi="Times New Roman" w:cs="Times New Roman"/>
          <w:i/>
          <w:iCs/>
        </w:rPr>
        <w:t>47</w:t>
      </w:r>
      <w:r w:rsidRPr="004100CF">
        <w:rPr>
          <w:rFonts w:ascii="Times New Roman" w:hAnsi="Times New Roman" w:cs="Times New Roman"/>
        </w:rPr>
        <w:t xml:space="preserve"> (9), 2389–2392. https://doi.org/10.1021/jm0303507.</w:t>
      </w:r>
    </w:p>
    <w:p w14:paraId="648ACE79"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(27)</w:t>
      </w:r>
      <w:r w:rsidRPr="004100CF">
        <w:rPr>
          <w:rFonts w:ascii="Times New Roman" w:hAnsi="Times New Roman" w:cs="Times New Roman"/>
        </w:rPr>
        <w:tab/>
        <w:t xml:space="preserve">Rodríguez-Barrios, F.; Balzarini, J.; Gago, F. The Molecular Basis of Resilience to the Effect of the Lys103Asn Mutation in Non-Nucleoside HIV-1 Reverse Transcriptase Inhibitors Studied by Targeted Molecular Dynamics Simulations. </w:t>
      </w:r>
      <w:r w:rsidRPr="004100CF">
        <w:rPr>
          <w:rFonts w:ascii="Times New Roman" w:hAnsi="Times New Roman" w:cs="Times New Roman"/>
          <w:i/>
          <w:iCs/>
        </w:rPr>
        <w:t>Journal American Chemical Society</w:t>
      </w:r>
      <w:r w:rsidRPr="004100CF">
        <w:rPr>
          <w:rFonts w:ascii="Times New Roman" w:hAnsi="Times New Roman" w:cs="Times New Roman"/>
        </w:rPr>
        <w:t xml:space="preserve"> </w:t>
      </w:r>
      <w:r w:rsidRPr="004100CF">
        <w:rPr>
          <w:rFonts w:ascii="Times New Roman" w:hAnsi="Times New Roman" w:cs="Times New Roman"/>
          <w:b/>
          <w:bCs/>
        </w:rPr>
        <w:t>2005</w:t>
      </w:r>
      <w:r w:rsidRPr="004100CF">
        <w:rPr>
          <w:rFonts w:ascii="Times New Roman" w:hAnsi="Times New Roman" w:cs="Times New Roman"/>
        </w:rPr>
        <w:t xml:space="preserve">, </w:t>
      </w:r>
      <w:r w:rsidRPr="004100CF">
        <w:rPr>
          <w:rFonts w:ascii="Times New Roman" w:hAnsi="Times New Roman" w:cs="Times New Roman"/>
          <w:i/>
          <w:iCs/>
        </w:rPr>
        <w:t>127</w:t>
      </w:r>
      <w:r w:rsidRPr="004100CF">
        <w:rPr>
          <w:rFonts w:ascii="Times New Roman" w:hAnsi="Times New Roman" w:cs="Times New Roman"/>
        </w:rPr>
        <w:t xml:space="preserve"> (20), 7570–7578. https://doi.org/10.1021/ja042289g.</w:t>
      </w:r>
    </w:p>
    <w:p w14:paraId="3C1FE76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lastRenderedPageBreak/>
        <w:t>(28)</w:t>
      </w:r>
      <w:r w:rsidRPr="004100CF">
        <w:rPr>
          <w:rFonts w:ascii="Times New Roman" w:hAnsi="Times New Roman" w:cs="Times New Roman"/>
        </w:rPr>
        <w:tab/>
        <w:t xml:space="preserve">Zhou, Z.; Madrid, M.; </w:t>
      </w:r>
      <w:proofErr w:type="spellStart"/>
      <w:r w:rsidRPr="004100CF">
        <w:rPr>
          <w:rFonts w:ascii="Times New Roman" w:hAnsi="Times New Roman" w:cs="Times New Roman"/>
        </w:rPr>
        <w:t>Evanseck</w:t>
      </w:r>
      <w:proofErr w:type="spellEnd"/>
      <w:r w:rsidRPr="004100CF">
        <w:rPr>
          <w:rFonts w:ascii="Times New Roman" w:hAnsi="Times New Roman" w:cs="Times New Roman"/>
        </w:rPr>
        <w:t xml:space="preserve">, J. D.; Madura, J. D. Effect of a Bound Non-Nucleoside RT Inhibitor on the Dynamics of Wild-Type and Mutant HIV-1 Reverse Transcriptase. </w:t>
      </w:r>
      <w:r w:rsidRPr="004100CF">
        <w:rPr>
          <w:rFonts w:ascii="Times New Roman" w:hAnsi="Times New Roman" w:cs="Times New Roman"/>
          <w:i/>
          <w:iCs/>
        </w:rPr>
        <w:t>J. Am. Chem. Soc.</w:t>
      </w:r>
      <w:r w:rsidRPr="004100CF">
        <w:rPr>
          <w:rFonts w:ascii="Times New Roman" w:hAnsi="Times New Roman" w:cs="Times New Roman"/>
        </w:rPr>
        <w:t xml:space="preserve"> </w:t>
      </w:r>
      <w:r w:rsidRPr="004100CF">
        <w:rPr>
          <w:rFonts w:ascii="Times New Roman" w:hAnsi="Times New Roman" w:cs="Times New Roman"/>
          <w:b/>
          <w:bCs/>
        </w:rPr>
        <w:t>2005</w:t>
      </w:r>
      <w:r w:rsidRPr="004100CF">
        <w:rPr>
          <w:rFonts w:ascii="Times New Roman" w:hAnsi="Times New Roman" w:cs="Times New Roman"/>
        </w:rPr>
        <w:t xml:space="preserve">, </w:t>
      </w:r>
      <w:r w:rsidRPr="004100CF">
        <w:rPr>
          <w:rFonts w:ascii="Times New Roman" w:hAnsi="Times New Roman" w:cs="Times New Roman"/>
          <w:i/>
          <w:iCs/>
        </w:rPr>
        <w:t>127</w:t>
      </w:r>
      <w:r w:rsidRPr="004100CF">
        <w:rPr>
          <w:rFonts w:ascii="Times New Roman" w:hAnsi="Times New Roman" w:cs="Times New Roman"/>
        </w:rPr>
        <w:t xml:space="preserve"> (49), 17253–17260. https://doi.org/10.1021/ja053973d.</w:t>
      </w:r>
    </w:p>
    <w:p w14:paraId="2EFC2B89"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(29)</w:t>
      </w:r>
      <w:r w:rsidRPr="004100CF">
        <w:rPr>
          <w:rFonts w:ascii="Times New Roman" w:hAnsi="Times New Roman" w:cs="Times New Roman"/>
        </w:rPr>
        <w:tab/>
        <w:t xml:space="preserve">Vijayan, R. S. K.; Arnold, E.; Das, K. Molecular Dynamics Study of HIV-1 RT-DNA-Nevirapine Complexes Explains NNRTI Inhibition and Resistance by Connection Mutations. </w:t>
      </w:r>
      <w:r w:rsidRPr="004100CF">
        <w:rPr>
          <w:rFonts w:ascii="Times New Roman" w:hAnsi="Times New Roman" w:cs="Times New Roman"/>
          <w:i/>
          <w:iCs/>
        </w:rPr>
        <w:t>Proteins: Structure, Function, and Bioinformatics</w:t>
      </w:r>
      <w:r w:rsidRPr="004100CF">
        <w:rPr>
          <w:rFonts w:ascii="Times New Roman" w:hAnsi="Times New Roman" w:cs="Times New Roman"/>
        </w:rPr>
        <w:t xml:space="preserve"> </w:t>
      </w:r>
      <w:r w:rsidRPr="004100CF">
        <w:rPr>
          <w:rFonts w:ascii="Times New Roman" w:hAnsi="Times New Roman" w:cs="Times New Roman"/>
          <w:b/>
          <w:bCs/>
        </w:rPr>
        <w:t>2014</w:t>
      </w:r>
      <w:r w:rsidRPr="004100CF">
        <w:rPr>
          <w:rFonts w:ascii="Times New Roman" w:hAnsi="Times New Roman" w:cs="Times New Roman"/>
        </w:rPr>
        <w:t xml:space="preserve">, </w:t>
      </w:r>
      <w:r w:rsidRPr="004100CF">
        <w:rPr>
          <w:rFonts w:ascii="Times New Roman" w:hAnsi="Times New Roman" w:cs="Times New Roman"/>
          <w:i/>
          <w:iCs/>
        </w:rPr>
        <w:t>82</w:t>
      </w:r>
      <w:r w:rsidRPr="004100CF">
        <w:rPr>
          <w:rFonts w:ascii="Times New Roman" w:hAnsi="Times New Roman" w:cs="Times New Roman"/>
        </w:rPr>
        <w:t xml:space="preserve"> (5), 815–829. https://doi.org/10.1002/prot.24460.</w:t>
      </w:r>
    </w:p>
    <w:p w14:paraId="1B1F028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(30)</w:t>
      </w:r>
      <w:r w:rsidRPr="004100CF">
        <w:rPr>
          <w:rFonts w:ascii="Times New Roman" w:hAnsi="Times New Roman" w:cs="Times New Roman"/>
        </w:rPr>
        <w:tab/>
      </w:r>
      <w:proofErr w:type="spellStart"/>
      <w:r w:rsidRPr="004100CF">
        <w:rPr>
          <w:rFonts w:ascii="Times New Roman" w:hAnsi="Times New Roman" w:cs="Times New Roman"/>
        </w:rPr>
        <w:t>Ghidini</w:t>
      </w:r>
      <w:proofErr w:type="spellEnd"/>
      <w:r w:rsidRPr="004100CF">
        <w:rPr>
          <w:rFonts w:ascii="Times New Roman" w:hAnsi="Times New Roman" w:cs="Times New Roman"/>
        </w:rPr>
        <w:t xml:space="preserve">, A.; Serra, E.; Cavalli, A. On Free Energy Calculations in Drug Discovery. </w:t>
      </w:r>
      <w:r w:rsidRPr="004100CF">
        <w:rPr>
          <w:rFonts w:ascii="Times New Roman" w:hAnsi="Times New Roman" w:cs="Times New Roman"/>
          <w:i/>
          <w:iCs/>
        </w:rPr>
        <w:t>Acc. Chem. Res.</w:t>
      </w:r>
      <w:r w:rsidRPr="004100CF">
        <w:rPr>
          <w:rFonts w:ascii="Times New Roman" w:hAnsi="Times New Roman" w:cs="Times New Roman"/>
        </w:rPr>
        <w:t xml:space="preserve"> </w:t>
      </w:r>
      <w:r w:rsidRPr="004100CF">
        <w:rPr>
          <w:rFonts w:ascii="Times New Roman" w:hAnsi="Times New Roman" w:cs="Times New Roman"/>
          <w:b/>
          <w:bCs/>
        </w:rPr>
        <w:t>2025</w:t>
      </w:r>
      <w:r w:rsidRPr="004100CF">
        <w:rPr>
          <w:rFonts w:ascii="Times New Roman" w:hAnsi="Times New Roman" w:cs="Times New Roman"/>
        </w:rPr>
        <w:t xml:space="preserve">, </w:t>
      </w:r>
      <w:r w:rsidRPr="004100CF">
        <w:rPr>
          <w:rFonts w:ascii="Times New Roman" w:hAnsi="Times New Roman" w:cs="Times New Roman"/>
          <w:i/>
          <w:iCs/>
        </w:rPr>
        <w:t>58</w:t>
      </w:r>
      <w:r w:rsidRPr="004100CF">
        <w:rPr>
          <w:rFonts w:ascii="Times New Roman" w:hAnsi="Times New Roman" w:cs="Times New Roman"/>
        </w:rPr>
        <w:t xml:space="preserve"> (20), 3137–3145. https://doi.org/10.1021/acs.accounts.5c00465.</w:t>
      </w:r>
    </w:p>
    <w:p w14:paraId="0FB1EEFC"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(31)</w:t>
      </w:r>
      <w:r w:rsidRPr="004100CF">
        <w:rPr>
          <w:rFonts w:ascii="Times New Roman" w:hAnsi="Times New Roman" w:cs="Times New Roman"/>
        </w:rPr>
        <w:tab/>
      </w:r>
      <w:proofErr w:type="spellStart"/>
      <w:r w:rsidRPr="004100CF">
        <w:rPr>
          <w:rFonts w:ascii="Times New Roman" w:hAnsi="Times New Roman" w:cs="Times New Roman"/>
        </w:rPr>
        <w:t>Gapsys</w:t>
      </w:r>
      <w:proofErr w:type="spellEnd"/>
      <w:r w:rsidRPr="004100CF">
        <w:rPr>
          <w:rFonts w:ascii="Times New Roman" w:hAnsi="Times New Roman" w:cs="Times New Roman"/>
        </w:rPr>
        <w:t xml:space="preserve">, V.; Pérez-Benito, L.; </w:t>
      </w:r>
      <w:proofErr w:type="spellStart"/>
      <w:r w:rsidRPr="004100CF">
        <w:rPr>
          <w:rFonts w:ascii="Times New Roman" w:hAnsi="Times New Roman" w:cs="Times New Roman"/>
        </w:rPr>
        <w:t>Aldeghi</w:t>
      </w:r>
      <w:proofErr w:type="spellEnd"/>
      <w:r w:rsidRPr="004100CF">
        <w:rPr>
          <w:rFonts w:ascii="Times New Roman" w:hAnsi="Times New Roman" w:cs="Times New Roman"/>
        </w:rPr>
        <w:t xml:space="preserve">, M.; Seeliger, D.; van </w:t>
      </w:r>
      <w:proofErr w:type="spellStart"/>
      <w:r w:rsidRPr="004100CF">
        <w:rPr>
          <w:rFonts w:ascii="Times New Roman" w:hAnsi="Times New Roman" w:cs="Times New Roman"/>
        </w:rPr>
        <w:t>Vlijmen</w:t>
      </w:r>
      <w:proofErr w:type="spellEnd"/>
      <w:r w:rsidRPr="004100CF">
        <w:rPr>
          <w:rFonts w:ascii="Times New Roman" w:hAnsi="Times New Roman" w:cs="Times New Roman"/>
        </w:rPr>
        <w:t xml:space="preserve">, H.; </w:t>
      </w:r>
      <w:proofErr w:type="spellStart"/>
      <w:r w:rsidRPr="004100CF">
        <w:rPr>
          <w:rFonts w:ascii="Times New Roman" w:hAnsi="Times New Roman" w:cs="Times New Roman"/>
        </w:rPr>
        <w:t>Tresadern</w:t>
      </w:r>
      <w:proofErr w:type="spellEnd"/>
      <w:r w:rsidRPr="004100CF">
        <w:rPr>
          <w:rFonts w:ascii="Times New Roman" w:hAnsi="Times New Roman" w:cs="Times New Roman"/>
        </w:rPr>
        <w:t xml:space="preserve">, G.; de Groot, B. L. Large Scale Relative Protein Ligand Binding Affinities Using Non-Equilibrium Alchemy. </w:t>
      </w:r>
      <w:r w:rsidRPr="004100CF">
        <w:rPr>
          <w:rFonts w:ascii="Times New Roman" w:hAnsi="Times New Roman" w:cs="Times New Roman"/>
          <w:i/>
          <w:iCs/>
        </w:rPr>
        <w:t>Chem. Sci.</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11</w:t>
      </w:r>
      <w:r w:rsidRPr="004100CF">
        <w:rPr>
          <w:rFonts w:ascii="Times New Roman" w:hAnsi="Times New Roman" w:cs="Times New Roman"/>
        </w:rPr>
        <w:t xml:space="preserve"> (4), 1140–1152. https://doi.org/10.1039/c9sc03754c.</w:t>
      </w:r>
    </w:p>
    <w:p w14:paraId="3829F484"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(32)</w:t>
      </w:r>
      <w:r w:rsidRPr="004100CF">
        <w:rPr>
          <w:rFonts w:ascii="Times New Roman" w:hAnsi="Times New Roman" w:cs="Times New Roman"/>
        </w:rPr>
        <w:tab/>
      </w:r>
      <w:proofErr w:type="spellStart"/>
      <w:r w:rsidRPr="004100CF">
        <w:rPr>
          <w:rFonts w:ascii="Times New Roman" w:hAnsi="Times New Roman" w:cs="Times New Roman"/>
        </w:rPr>
        <w:t>Kabsch</w:t>
      </w:r>
      <w:proofErr w:type="spellEnd"/>
      <w:r w:rsidRPr="004100CF">
        <w:rPr>
          <w:rFonts w:ascii="Times New Roman" w:hAnsi="Times New Roman" w:cs="Times New Roman"/>
        </w:rPr>
        <w:t xml:space="preserve">, W. A Solution for the Best Rotation to Relate Two Sets of Vectors. </w:t>
      </w:r>
      <w:r w:rsidRPr="004100CF">
        <w:rPr>
          <w:rFonts w:ascii="Times New Roman" w:hAnsi="Times New Roman" w:cs="Times New Roman"/>
          <w:i/>
          <w:iCs/>
        </w:rPr>
        <w:t xml:space="preserve">Acta </w:t>
      </w:r>
      <w:proofErr w:type="spellStart"/>
      <w:r w:rsidRPr="004100CF">
        <w:rPr>
          <w:rFonts w:ascii="Times New Roman" w:hAnsi="Times New Roman" w:cs="Times New Roman"/>
          <w:i/>
          <w:iCs/>
        </w:rPr>
        <w:t>Crystallographica</w:t>
      </w:r>
      <w:proofErr w:type="spellEnd"/>
      <w:r w:rsidRPr="004100CF">
        <w:rPr>
          <w:rFonts w:ascii="Times New Roman" w:hAnsi="Times New Roman" w:cs="Times New Roman"/>
          <w:i/>
          <w:iCs/>
        </w:rPr>
        <w:t xml:space="preserve"> Section A</w:t>
      </w:r>
      <w:r w:rsidRPr="004100CF">
        <w:rPr>
          <w:rFonts w:ascii="Times New Roman" w:hAnsi="Times New Roman" w:cs="Times New Roman"/>
        </w:rPr>
        <w:t xml:space="preserve"> </w:t>
      </w:r>
      <w:r w:rsidRPr="004100CF">
        <w:rPr>
          <w:rFonts w:ascii="Times New Roman" w:hAnsi="Times New Roman" w:cs="Times New Roman"/>
          <w:b/>
          <w:bCs/>
        </w:rPr>
        <w:t>1976</w:t>
      </w:r>
      <w:r w:rsidRPr="004100CF">
        <w:rPr>
          <w:rFonts w:ascii="Times New Roman" w:hAnsi="Times New Roman" w:cs="Times New Roman"/>
        </w:rPr>
        <w:t xml:space="preserve">, </w:t>
      </w:r>
      <w:r w:rsidRPr="004100CF">
        <w:rPr>
          <w:rFonts w:ascii="Times New Roman" w:hAnsi="Times New Roman" w:cs="Times New Roman"/>
          <w:i/>
          <w:iCs/>
        </w:rPr>
        <w:t>32</w:t>
      </w:r>
      <w:r w:rsidRPr="004100CF">
        <w:rPr>
          <w:rFonts w:ascii="Times New Roman" w:hAnsi="Times New Roman" w:cs="Times New Roman"/>
        </w:rPr>
        <w:t xml:space="preserve"> (5), 922–923. https://doi.org/10.1107/S0567739476001873.</w:t>
      </w:r>
    </w:p>
    <w:p w14:paraId="3C9643EB"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(33)</w:t>
      </w:r>
      <w:r w:rsidRPr="004100CF">
        <w:rPr>
          <w:rFonts w:ascii="Times New Roman" w:hAnsi="Times New Roman" w:cs="Times New Roman"/>
        </w:rPr>
        <w:tab/>
        <w:t xml:space="preserve">Eastman, P.; Swails, J.; </w:t>
      </w:r>
      <w:proofErr w:type="spellStart"/>
      <w:r w:rsidRPr="004100CF">
        <w:rPr>
          <w:rFonts w:ascii="Times New Roman" w:hAnsi="Times New Roman" w:cs="Times New Roman"/>
        </w:rPr>
        <w:t>Chodera</w:t>
      </w:r>
      <w:proofErr w:type="spellEnd"/>
      <w:r w:rsidRPr="004100CF">
        <w:rPr>
          <w:rFonts w:ascii="Times New Roman" w:hAnsi="Times New Roman" w:cs="Times New Roman"/>
        </w:rPr>
        <w:t xml:space="preserve">, J. D.; McGibbon, R. T.; Zhao, Y.; Beauchamp, K. A.; Wang, L.-P.; Simmonett, A. C.; Harrigan, M. P.; Stern, C. D.; Wiewiora, R. P.; Brooks, B. R.; Pande, V. S. </w:t>
      </w:r>
      <w:proofErr w:type="spellStart"/>
      <w:r w:rsidRPr="004100CF">
        <w:rPr>
          <w:rFonts w:ascii="Times New Roman" w:hAnsi="Times New Roman" w:cs="Times New Roman"/>
        </w:rPr>
        <w:t>OpenMM</w:t>
      </w:r>
      <w:proofErr w:type="spellEnd"/>
      <w:r w:rsidRPr="004100CF">
        <w:rPr>
          <w:rFonts w:ascii="Times New Roman" w:hAnsi="Times New Roman" w:cs="Times New Roman"/>
        </w:rPr>
        <w:t xml:space="preserve"> 7: Rapid Development of High Performance Algorithms for Molecular Dynamics. </w:t>
      </w:r>
      <w:r w:rsidRPr="004100CF">
        <w:rPr>
          <w:rFonts w:ascii="Times New Roman" w:hAnsi="Times New Roman" w:cs="Times New Roman"/>
          <w:i/>
          <w:iCs/>
        </w:rPr>
        <w:t>PLOS Computational Biology</w:t>
      </w:r>
      <w:r w:rsidRPr="004100CF">
        <w:rPr>
          <w:rFonts w:ascii="Times New Roman" w:hAnsi="Times New Roman" w:cs="Times New Roman"/>
        </w:rPr>
        <w:t xml:space="preserve"> </w:t>
      </w:r>
      <w:r w:rsidRPr="004100CF">
        <w:rPr>
          <w:rFonts w:ascii="Times New Roman" w:hAnsi="Times New Roman" w:cs="Times New Roman"/>
          <w:b/>
          <w:bCs/>
        </w:rPr>
        <w:t>2017</w:t>
      </w:r>
      <w:r w:rsidRPr="004100CF">
        <w:rPr>
          <w:rFonts w:ascii="Times New Roman" w:hAnsi="Times New Roman" w:cs="Times New Roman"/>
        </w:rPr>
        <w:t xml:space="preserve">, </w:t>
      </w:r>
      <w:r w:rsidRPr="004100CF">
        <w:rPr>
          <w:rFonts w:ascii="Times New Roman" w:hAnsi="Times New Roman" w:cs="Times New Roman"/>
          <w:i/>
          <w:iCs/>
        </w:rPr>
        <w:t>13</w:t>
      </w:r>
      <w:r w:rsidRPr="004100CF">
        <w:rPr>
          <w:rFonts w:ascii="Times New Roman" w:hAnsi="Times New Roman" w:cs="Times New Roman"/>
        </w:rPr>
        <w:t xml:space="preserve"> (7), e1005659. https://doi.org/10.1371/journal.pcbi.1005659.</w:t>
      </w:r>
    </w:p>
    <w:p w14:paraId="6BB871A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(34)</w:t>
      </w:r>
      <w:r w:rsidRPr="004100CF">
        <w:rPr>
          <w:rFonts w:ascii="Times New Roman" w:hAnsi="Times New Roman" w:cs="Times New Roman"/>
        </w:rPr>
        <w:tab/>
        <w:t xml:space="preserve">Maier, J. A.; Martinez, C.; </w:t>
      </w:r>
      <w:proofErr w:type="spellStart"/>
      <w:r w:rsidRPr="004100CF">
        <w:rPr>
          <w:rFonts w:ascii="Times New Roman" w:hAnsi="Times New Roman" w:cs="Times New Roman"/>
        </w:rPr>
        <w:t>Kasavajhala</w:t>
      </w:r>
      <w:proofErr w:type="spellEnd"/>
      <w:r w:rsidRPr="004100CF">
        <w:rPr>
          <w:rFonts w:ascii="Times New Roman" w:hAnsi="Times New Roman" w:cs="Times New Roman"/>
        </w:rPr>
        <w:t xml:space="preserve">, K.; Wickstrom, L.; Hauser, K. E.; Simmerling, C. ff14SB: Improving the Accuracy of Protein Side Chain and Backbone Parameters from ff99SB. </w:t>
      </w:r>
      <w:r w:rsidRPr="004100CF">
        <w:rPr>
          <w:rFonts w:ascii="Times New Roman" w:hAnsi="Times New Roman" w:cs="Times New Roman"/>
          <w:i/>
          <w:iCs/>
        </w:rPr>
        <w:t xml:space="preserve">J. Chem. Theory </w:t>
      </w:r>
      <w:proofErr w:type="spellStart"/>
      <w:r w:rsidRPr="004100CF">
        <w:rPr>
          <w:rFonts w:ascii="Times New Roman" w:hAnsi="Times New Roman" w:cs="Times New Roman"/>
          <w:i/>
          <w:iCs/>
        </w:rPr>
        <w:t>Comput</w:t>
      </w:r>
      <w:proofErr w:type="spellEnd"/>
      <w:r w:rsidRPr="004100CF">
        <w:rPr>
          <w:rFonts w:ascii="Times New Roman" w:hAnsi="Times New Roman" w:cs="Times New Roman"/>
          <w:i/>
          <w:iCs/>
        </w:rPr>
        <w:t>.</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11</w:t>
      </w:r>
      <w:r w:rsidRPr="004100CF">
        <w:rPr>
          <w:rFonts w:ascii="Times New Roman" w:hAnsi="Times New Roman" w:cs="Times New Roman"/>
        </w:rPr>
        <w:t xml:space="preserve"> (8), 3696–3713. https://doi.org/10.1021/acs.jctc.5b00255.</w:t>
      </w:r>
    </w:p>
    <w:p w14:paraId="1DECE0F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(35)</w:t>
      </w:r>
      <w:r w:rsidRPr="004100CF">
        <w:rPr>
          <w:rFonts w:ascii="Times New Roman" w:hAnsi="Times New Roman" w:cs="Times New Roman"/>
        </w:rPr>
        <w:tab/>
        <w:t xml:space="preserve">Ivani, I.; Dans, P. D.; Noy, A.; Pérez, A.; Faustino, I.; Hospital, A.; Walther, J.; Andrio, P.; Goñi, R.; </w:t>
      </w:r>
      <w:proofErr w:type="spellStart"/>
      <w:r w:rsidRPr="004100CF">
        <w:rPr>
          <w:rFonts w:ascii="Times New Roman" w:hAnsi="Times New Roman" w:cs="Times New Roman"/>
        </w:rPr>
        <w:t>Balaceanu</w:t>
      </w:r>
      <w:proofErr w:type="spellEnd"/>
      <w:r w:rsidRPr="004100CF">
        <w:rPr>
          <w:rFonts w:ascii="Times New Roman" w:hAnsi="Times New Roman" w:cs="Times New Roman"/>
        </w:rPr>
        <w:t xml:space="preserve">, A.; Portella, G.; Battistini, F.; Gelpí, J. L.; González, C.; </w:t>
      </w:r>
      <w:proofErr w:type="spellStart"/>
      <w:r w:rsidRPr="004100CF">
        <w:rPr>
          <w:rFonts w:ascii="Times New Roman" w:hAnsi="Times New Roman" w:cs="Times New Roman"/>
        </w:rPr>
        <w:t>Vendruscolo</w:t>
      </w:r>
      <w:proofErr w:type="spellEnd"/>
      <w:r w:rsidRPr="004100CF">
        <w:rPr>
          <w:rFonts w:ascii="Times New Roman" w:hAnsi="Times New Roman" w:cs="Times New Roman"/>
        </w:rPr>
        <w:t xml:space="preserve">, M.; Laughton, C. A.; Harris, S. A.; Case, D. A.; Orozco, M. Parmbsc1: A Refined Force Field for DNA Simulations. </w:t>
      </w:r>
      <w:r w:rsidRPr="004100CF">
        <w:rPr>
          <w:rFonts w:ascii="Times New Roman" w:hAnsi="Times New Roman" w:cs="Times New Roman"/>
          <w:i/>
          <w:iCs/>
        </w:rPr>
        <w:t>Nat Methods</w:t>
      </w:r>
      <w:r w:rsidRPr="004100CF">
        <w:rPr>
          <w:rFonts w:ascii="Times New Roman" w:hAnsi="Times New Roman" w:cs="Times New Roman"/>
        </w:rPr>
        <w:t xml:space="preserve"> </w:t>
      </w:r>
      <w:r w:rsidRPr="004100CF">
        <w:rPr>
          <w:rFonts w:ascii="Times New Roman" w:hAnsi="Times New Roman" w:cs="Times New Roman"/>
          <w:b/>
          <w:bCs/>
        </w:rPr>
        <w:t>2016</w:t>
      </w:r>
      <w:r w:rsidRPr="004100CF">
        <w:rPr>
          <w:rFonts w:ascii="Times New Roman" w:hAnsi="Times New Roman" w:cs="Times New Roman"/>
        </w:rPr>
        <w:t xml:space="preserve">, </w:t>
      </w:r>
      <w:r w:rsidRPr="004100CF">
        <w:rPr>
          <w:rFonts w:ascii="Times New Roman" w:hAnsi="Times New Roman" w:cs="Times New Roman"/>
          <w:i/>
          <w:iCs/>
        </w:rPr>
        <w:t>13</w:t>
      </w:r>
      <w:r w:rsidRPr="004100CF">
        <w:rPr>
          <w:rFonts w:ascii="Times New Roman" w:hAnsi="Times New Roman" w:cs="Times New Roman"/>
        </w:rPr>
        <w:t xml:space="preserve"> (1), 55–58. https://doi.org/10.1038/nmeth.3658.</w:t>
      </w:r>
    </w:p>
    <w:p w14:paraId="23805B7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(36)</w:t>
      </w:r>
      <w:r w:rsidRPr="004100CF">
        <w:rPr>
          <w:rFonts w:ascii="Times New Roman" w:hAnsi="Times New Roman" w:cs="Times New Roman"/>
        </w:rPr>
        <w:tab/>
        <w:t xml:space="preserve">Jorgensen, W. L.; Chandrasekhar, J.; Madura, J. D.; Impey, R. W.; Klein, M. L. Comparison of Simple Potential Functions for Simulating Liquid Water. </w:t>
      </w:r>
      <w:r w:rsidRPr="004100CF">
        <w:rPr>
          <w:rFonts w:ascii="Times New Roman" w:hAnsi="Times New Roman" w:cs="Times New Roman"/>
          <w:i/>
          <w:iCs/>
        </w:rPr>
        <w:t>J. Chem. Phys.</w:t>
      </w:r>
      <w:r w:rsidRPr="004100CF">
        <w:rPr>
          <w:rFonts w:ascii="Times New Roman" w:hAnsi="Times New Roman" w:cs="Times New Roman"/>
        </w:rPr>
        <w:t xml:space="preserve"> </w:t>
      </w:r>
      <w:r w:rsidRPr="004100CF">
        <w:rPr>
          <w:rFonts w:ascii="Times New Roman" w:hAnsi="Times New Roman" w:cs="Times New Roman"/>
          <w:b/>
          <w:bCs/>
        </w:rPr>
        <w:t>1983</w:t>
      </w:r>
      <w:r w:rsidRPr="004100CF">
        <w:rPr>
          <w:rFonts w:ascii="Times New Roman" w:hAnsi="Times New Roman" w:cs="Times New Roman"/>
        </w:rPr>
        <w:t xml:space="preserve">, </w:t>
      </w:r>
      <w:r w:rsidRPr="004100CF">
        <w:rPr>
          <w:rFonts w:ascii="Times New Roman" w:hAnsi="Times New Roman" w:cs="Times New Roman"/>
          <w:i/>
          <w:iCs/>
        </w:rPr>
        <w:t>79</w:t>
      </w:r>
      <w:r w:rsidRPr="004100CF">
        <w:rPr>
          <w:rFonts w:ascii="Times New Roman" w:hAnsi="Times New Roman" w:cs="Times New Roman"/>
        </w:rPr>
        <w:t xml:space="preserve"> (2), 926–935. https://doi.org/10.1063/1.445869.</w:t>
      </w:r>
    </w:p>
    <w:p w14:paraId="0E42EE3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(37)</w:t>
      </w:r>
      <w:r w:rsidRPr="004100CF">
        <w:rPr>
          <w:rFonts w:ascii="Times New Roman" w:hAnsi="Times New Roman" w:cs="Times New Roman"/>
        </w:rPr>
        <w:tab/>
        <w:t xml:space="preserve">Mobley, D. L.; Bannan, C. C.; Rizzi, A.; Bayly, C. I.; </w:t>
      </w:r>
      <w:proofErr w:type="spellStart"/>
      <w:r w:rsidRPr="004100CF">
        <w:rPr>
          <w:rFonts w:ascii="Times New Roman" w:hAnsi="Times New Roman" w:cs="Times New Roman"/>
        </w:rPr>
        <w:t>Chodera</w:t>
      </w:r>
      <w:proofErr w:type="spellEnd"/>
      <w:r w:rsidRPr="004100CF">
        <w:rPr>
          <w:rFonts w:ascii="Times New Roman" w:hAnsi="Times New Roman" w:cs="Times New Roman"/>
        </w:rPr>
        <w:t xml:space="preserve">, J. D.; Lim, V. T.; Lim, N. M.; Beauchamp, K. A.; </w:t>
      </w:r>
      <w:proofErr w:type="spellStart"/>
      <w:r w:rsidRPr="004100CF">
        <w:rPr>
          <w:rFonts w:ascii="Times New Roman" w:hAnsi="Times New Roman" w:cs="Times New Roman"/>
        </w:rPr>
        <w:t>Slochower</w:t>
      </w:r>
      <w:proofErr w:type="spellEnd"/>
      <w:r w:rsidRPr="004100CF">
        <w:rPr>
          <w:rFonts w:ascii="Times New Roman" w:hAnsi="Times New Roman" w:cs="Times New Roman"/>
        </w:rPr>
        <w:t xml:space="preserve">, D. R.; Shirts, M. R.; Gilson, M. K.; Eastman, P. K. Escaping Atom Types in Force Fields Using Direct Chemical Perception. </w:t>
      </w:r>
      <w:r w:rsidRPr="004100CF">
        <w:rPr>
          <w:rFonts w:ascii="Times New Roman" w:hAnsi="Times New Roman" w:cs="Times New Roman"/>
          <w:i/>
          <w:iCs/>
        </w:rPr>
        <w:t xml:space="preserve">J. Chem. Theory </w:t>
      </w:r>
      <w:proofErr w:type="spellStart"/>
      <w:r w:rsidRPr="004100CF">
        <w:rPr>
          <w:rFonts w:ascii="Times New Roman" w:hAnsi="Times New Roman" w:cs="Times New Roman"/>
          <w:i/>
          <w:iCs/>
        </w:rPr>
        <w:t>Comput</w:t>
      </w:r>
      <w:proofErr w:type="spellEnd"/>
      <w:r w:rsidRPr="004100CF">
        <w:rPr>
          <w:rFonts w:ascii="Times New Roman" w:hAnsi="Times New Roman" w:cs="Times New Roman"/>
          <w:i/>
          <w:iCs/>
        </w:rPr>
        <w:t>.</w:t>
      </w:r>
      <w:r w:rsidRPr="004100CF">
        <w:rPr>
          <w:rFonts w:ascii="Times New Roman" w:hAnsi="Times New Roman" w:cs="Times New Roman"/>
        </w:rPr>
        <w:t xml:space="preserve"> </w:t>
      </w:r>
      <w:r w:rsidRPr="004100CF">
        <w:rPr>
          <w:rFonts w:ascii="Times New Roman" w:hAnsi="Times New Roman" w:cs="Times New Roman"/>
          <w:b/>
          <w:bCs/>
        </w:rPr>
        <w:t>2018</w:t>
      </w:r>
      <w:r w:rsidRPr="004100CF">
        <w:rPr>
          <w:rFonts w:ascii="Times New Roman" w:hAnsi="Times New Roman" w:cs="Times New Roman"/>
        </w:rPr>
        <w:t xml:space="preserve">, </w:t>
      </w:r>
      <w:r w:rsidRPr="004100CF">
        <w:rPr>
          <w:rFonts w:ascii="Times New Roman" w:hAnsi="Times New Roman" w:cs="Times New Roman"/>
          <w:i/>
          <w:iCs/>
        </w:rPr>
        <w:t>14</w:t>
      </w:r>
      <w:r w:rsidRPr="004100CF">
        <w:rPr>
          <w:rFonts w:ascii="Times New Roman" w:hAnsi="Times New Roman" w:cs="Times New Roman"/>
        </w:rPr>
        <w:t xml:space="preserve"> (11), 6076–6092. https://doi.org/10.1021/acs.jctc.8b00640.</w:t>
      </w:r>
    </w:p>
    <w:p w14:paraId="38B91D4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(38)</w:t>
      </w:r>
      <w:r w:rsidRPr="004100CF">
        <w:rPr>
          <w:rFonts w:ascii="Times New Roman" w:hAnsi="Times New Roman" w:cs="Times New Roman"/>
        </w:rPr>
        <w:tab/>
        <w:t xml:space="preserve">Gasteiger, J.; Marsili, M. Iterative Partial Equalization of Orbital Electronegativity—a Rapid Access to Atomic Charges. </w:t>
      </w:r>
      <w:r w:rsidRPr="004100CF">
        <w:rPr>
          <w:rFonts w:ascii="Times New Roman" w:hAnsi="Times New Roman" w:cs="Times New Roman"/>
          <w:i/>
          <w:iCs/>
        </w:rPr>
        <w:t>Tetrahedron</w:t>
      </w:r>
      <w:r w:rsidRPr="004100CF">
        <w:rPr>
          <w:rFonts w:ascii="Times New Roman" w:hAnsi="Times New Roman" w:cs="Times New Roman"/>
        </w:rPr>
        <w:t xml:space="preserve"> </w:t>
      </w:r>
      <w:r w:rsidRPr="004100CF">
        <w:rPr>
          <w:rFonts w:ascii="Times New Roman" w:hAnsi="Times New Roman" w:cs="Times New Roman"/>
          <w:b/>
          <w:bCs/>
        </w:rPr>
        <w:t>1980</w:t>
      </w:r>
      <w:r w:rsidRPr="004100CF">
        <w:rPr>
          <w:rFonts w:ascii="Times New Roman" w:hAnsi="Times New Roman" w:cs="Times New Roman"/>
        </w:rPr>
        <w:t xml:space="preserve">, </w:t>
      </w:r>
      <w:r w:rsidRPr="004100CF">
        <w:rPr>
          <w:rFonts w:ascii="Times New Roman" w:hAnsi="Times New Roman" w:cs="Times New Roman"/>
          <w:i/>
          <w:iCs/>
        </w:rPr>
        <w:t>36</w:t>
      </w:r>
      <w:r w:rsidRPr="004100CF">
        <w:rPr>
          <w:rFonts w:ascii="Times New Roman" w:hAnsi="Times New Roman" w:cs="Times New Roman"/>
        </w:rPr>
        <w:t xml:space="preserve"> (22), 3219–3228. https://doi.org/10.1016/0040-4020(80)80168-2.</w:t>
      </w:r>
    </w:p>
    <w:p w14:paraId="30A5053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(39)</w:t>
      </w:r>
      <w:r w:rsidRPr="004100CF">
        <w:rPr>
          <w:rFonts w:ascii="Times New Roman" w:hAnsi="Times New Roman" w:cs="Times New Roman"/>
        </w:rPr>
        <w:tab/>
        <w:t xml:space="preserve">Darden, T.; York, D.; Pedersen, L. Particle Mesh Ewald: An </w:t>
      </w:r>
      <w:proofErr w:type="spellStart"/>
      <w:r w:rsidRPr="004100CF">
        <w:rPr>
          <w:rFonts w:ascii="Times New Roman" w:hAnsi="Times New Roman" w:cs="Times New Roman"/>
        </w:rPr>
        <w:t>N</w:t>
      </w:r>
      <w:r w:rsidRPr="004100CF">
        <w:rPr>
          <w:rFonts w:ascii="Cambria Math" w:hAnsi="Cambria Math" w:cs="Cambria Math"/>
        </w:rPr>
        <w:t>⋅</w:t>
      </w:r>
      <w:r w:rsidRPr="004100CF">
        <w:rPr>
          <w:rFonts w:ascii="Times New Roman" w:hAnsi="Times New Roman" w:cs="Times New Roman"/>
        </w:rPr>
        <w:t>log</w:t>
      </w:r>
      <w:proofErr w:type="spellEnd"/>
      <w:r w:rsidRPr="004100CF">
        <w:rPr>
          <w:rFonts w:ascii="Times New Roman" w:hAnsi="Times New Roman" w:cs="Times New Roman"/>
        </w:rPr>
        <w:t xml:space="preserve">(N) Method for Ewald Sums in Large Systems. </w:t>
      </w:r>
      <w:r w:rsidRPr="004100CF">
        <w:rPr>
          <w:rFonts w:ascii="Times New Roman" w:hAnsi="Times New Roman" w:cs="Times New Roman"/>
          <w:i/>
          <w:iCs/>
        </w:rPr>
        <w:t>J. Chem. Phys.</w:t>
      </w:r>
      <w:r w:rsidRPr="004100CF">
        <w:rPr>
          <w:rFonts w:ascii="Times New Roman" w:hAnsi="Times New Roman" w:cs="Times New Roman"/>
        </w:rPr>
        <w:t xml:space="preserve"> </w:t>
      </w:r>
      <w:r w:rsidRPr="004100CF">
        <w:rPr>
          <w:rFonts w:ascii="Times New Roman" w:hAnsi="Times New Roman" w:cs="Times New Roman"/>
          <w:b/>
          <w:bCs/>
        </w:rPr>
        <w:t>1993</w:t>
      </w:r>
      <w:r w:rsidRPr="004100CF">
        <w:rPr>
          <w:rFonts w:ascii="Times New Roman" w:hAnsi="Times New Roman" w:cs="Times New Roman"/>
        </w:rPr>
        <w:t xml:space="preserve">, </w:t>
      </w:r>
      <w:r w:rsidRPr="004100CF">
        <w:rPr>
          <w:rFonts w:ascii="Times New Roman" w:hAnsi="Times New Roman" w:cs="Times New Roman"/>
          <w:i/>
          <w:iCs/>
        </w:rPr>
        <w:t>98</w:t>
      </w:r>
      <w:r w:rsidRPr="004100CF">
        <w:rPr>
          <w:rFonts w:ascii="Times New Roman" w:hAnsi="Times New Roman" w:cs="Times New Roman"/>
        </w:rPr>
        <w:t xml:space="preserve"> (12), 10089–10092. https://doi.org/10.1063/1.464397.</w:t>
      </w:r>
    </w:p>
    <w:p w14:paraId="45C5A8FB"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(40)</w:t>
      </w:r>
      <w:r w:rsidRPr="004100CF">
        <w:rPr>
          <w:rFonts w:ascii="Times New Roman" w:hAnsi="Times New Roman" w:cs="Times New Roman"/>
        </w:rPr>
        <w:tab/>
        <w:t xml:space="preserve">Michaud-Agrawal, N.; Denning, E. J.; Woolf, T. B.; Beckstein, O. </w:t>
      </w:r>
      <w:proofErr w:type="spellStart"/>
      <w:r w:rsidRPr="004100CF">
        <w:rPr>
          <w:rFonts w:ascii="Times New Roman" w:hAnsi="Times New Roman" w:cs="Times New Roman"/>
        </w:rPr>
        <w:t>MDAnalysis</w:t>
      </w:r>
      <w:proofErr w:type="spellEnd"/>
      <w:r w:rsidRPr="004100CF">
        <w:rPr>
          <w:rFonts w:ascii="Times New Roman" w:hAnsi="Times New Roman" w:cs="Times New Roman"/>
        </w:rPr>
        <w:t xml:space="preserve">: A Toolkit for the Analysis of Molecular Dynamics Simulations. </w:t>
      </w:r>
      <w:r w:rsidRPr="004100CF">
        <w:rPr>
          <w:rFonts w:ascii="Times New Roman" w:hAnsi="Times New Roman" w:cs="Times New Roman"/>
          <w:i/>
          <w:iCs/>
        </w:rPr>
        <w:t>Journal of Computational Chemistry</w:t>
      </w:r>
      <w:r w:rsidRPr="004100CF">
        <w:rPr>
          <w:rFonts w:ascii="Times New Roman" w:hAnsi="Times New Roman" w:cs="Times New Roman"/>
        </w:rPr>
        <w:t xml:space="preserve"> </w:t>
      </w:r>
      <w:r w:rsidRPr="004100CF">
        <w:rPr>
          <w:rFonts w:ascii="Times New Roman" w:hAnsi="Times New Roman" w:cs="Times New Roman"/>
          <w:b/>
          <w:bCs/>
        </w:rPr>
        <w:t>2011</w:t>
      </w:r>
      <w:r w:rsidRPr="004100CF">
        <w:rPr>
          <w:rFonts w:ascii="Times New Roman" w:hAnsi="Times New Roman" w:cs="Times New Roman"/>
        </w:rPr>
        <w:t xml:space="preserve">, </w:t>
      </w:r>
      <w:r w:rsidRPr="004100CF">
        <w:rPr>
          <w:rFonts w:ascii="Times New Roman" w:hAnsi="Times New Roman" w:cs="Times New Roman"/>
          <w:i/>
          <w:iCs/>
        </w:rPr>
        <w:t>32</w:t>
      </w:r>
      <w:r w:rsidRPr="004100CF">
        <w:rPr>
          <w:rFonts w:ascii="Times New Roman" w:hAnsi="Times New Roman" w:cs="Times New Roman"/>
        </w:rPr>
        <w:t xml:space="preserve"> (10), 2319–2327. https://doi.org/10.1002/jcc.21787.</w:t>
      </w:r>
    </w:p>
    <w:p w14:paraId="4AF0802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lastRenderedPageBreak/>
        <w:t>(41)</w:t>
      </w:r>
      <w:r w:rsidRPr="004100CF">
        <w:rPr>
          <w:rFonts w:ascii="Times New Roman" w:hAnsi="Times New Roman" w:cs="Times New Roman"/>
        </w:rPr>
        <w:tab/>
        <w:t xml:space="preserve">McGibbon, R. T.; Beauchamp, K. A.; Harrigan, M. P.; Klein, C.; Swails, J. M.; Hernández, C. X.; Schwantes, C. R.; Wang, L.-P.; Lane, T. J.; Pande, V. S. </w:t>
      </w:r>
      <w:proofErr w:type="spellStart"/>
      <w:r w:rsidRPr="004100CF">
        <w:rPr>
          <w:rFonts w:ascii="Times New Roman" w:hAnsi="Times New Roman" w:cs="Times New Roman"/>
        </w:rPr>
        <w:t>MDTraj</w:t>
      </w:r>
      <w:proofErr w:type="spellEnd"/>
      <w:r w:rsidRPr="004100CF">
        <w:rPr>
          <w:rFonts w:ascii="Times New Roman" w:hAnsi="Times New Roman" w:cs="Times New Roman"/>
        </w:rPr>
        <w:t xml:space="preserve">: A Modern Open Library for the Analysis of Molecular Dynamics Trajectories. </w:t>
      </w:r>
      <w:r w:rsidRPr="004100CF">
        <w:rPr>
          <w:rFonts w:ascii="Times New Roman" w:hAnsi="Times New Roman" w:cs="Times New Roman"/>
          <w:i/>
          <w:iCs/>
        </w:rPr>
        <w:t>Biophysical Journal</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109</w:t>
      </w:r>
      <w:r w:rsidRPr="004100CF">
        <w:rPr>
          <w:rFonts w:ascii="Times New Roman" w:hAnsi="Times New Roman" w:cs="Times New Roman"/>
        </w:rPr>
        <w:t xml:space="preserve"> (8), 1528–1532. https://doi.org/10.1016/j.bpj.2015.08.015.</w:t>
      </w:r>
    </w:p>
    <w:p w14:paraId="0770F8E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(42)</w:t>
      </w:r>
      <w:r w:rsidRPr="004100CF">
        <w:rPr>
          <w:rFonts w:ascii="Times New Roman" w:hAnsi="Times New Roman" w:cs="Times New Roman"/>
        </w:rPr>
        <w:tab/>
      </w:r>
      <w:proofErr w:type="spellStart"/>
      <w:r w:rsidRPr="004100CF">
        <w:rPr>
          <w:rFonts w:ascii="Times New Roman" w:hAnsi="Times New Roman" w:cs="Times New Roman"/>
        </w:rPr>
        <w:t>Massova</w:t>
      </w:r>
      <w:proofErr w:type="spellEnd"/>
      <w:r w:rsidRPr="004100CF">
        <w:rPr>
          <w:rFonts w:ascii="Times New Roman" w:hAnsi="Times New Roman" w:cs="Times New Roman"/>
        </w:rPr>
        <w:t xml:space="preserve">, I.; Kollman, P. A. Combined Molecular Mechanical and Continuum Solvent Approach (MM-PBSA/GBSA) to Predict Ligand Binding. </w:t>
      </w:r>
      <w:r w:rsidRPr="004100CF">
        <w:rPr>
          <w:rFonts w:ascii="Times New Roman" w:hAnsi="Times New Roman" w:cs="Times New Roman"/>
          <w:i/>
          <w:iCs/>
        </w:rPr>
        <w:t>Perspectives in Drug Discovery and Design</w:t>
      </w:r>
      <w:r w:rsidRPr="004100CF">
        <w:rPr>
          <w:rFonts w:ascii="Times New Roman" w:hAnsi="Times New Roman" w:cs="Times New Roman"/>
        </w:rPr>
        <w:t xml:space="preserve"> </w:t>
      </w:r>
      <w:r w:rsidRPr="004100CF">
        <w:rPr>
          <w:rFonts w:ascii="Times New Roman" w:hAnsi="Times New Roman" w:cs="Times New Roman"/>
          <w:b/>
          <w:bCs/>
        </w:rPr>
        <w:t>2000</w:t>
      </w:r>
      <w:r w:rsidRPr="004100CF">
        <w:rPr>
          <w:rFonts w:ascii="Times New Roman" w:hAnsi="Times New Roman" w:cs="Times New Roman"/>
        </w:rPr>
        <w:t xml:space="preserve">, </w:t>
      </w:r>
      <w:r w:rsidRPr="004100CF">
        <w:rPr>
          <w:rFonts w:ascii="Times New Roman" w:hAnsi="Times New Roman" w:cs="Times New Roman"/>
          <w:i/>
          <w:iCs/>
        </w:rPr>
        <w:t>18</w:t>
      </w:r>
      <w:r w:rsidRPr="004100CF">
        <w:rPr>
          <w:rFonts w:ascii="Times New Roman" w:hAnsi="Times New Roman" w:cs="Times New Roman"/>
        </w:rPr>
        <w:t xml:space="preserve"> (1), 113–135. https://doi.org/10.1023/A:1008763014207.</w:t>
      </w:r>
    </w:p>
    <w:p w14:paraId="1409EAF3"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(43)</w:t>
      </w:r>
      <w:r w:rsidRPr="004100CF">
        <w:rPr>
          <w:rFonts w:ascii="Times New Roman" w:hAnsi="Times New Roman" w:cs="Times New Roman"/>
        </w:rPr>
        <w:tab/>
      </w:r>
      <w:proofErr w:type="spellStart"/>
      <w:r w:rsidRPr="004100CF">
        <w:rPr>
          <w:rFonts w:ascii="Times New Roman" w:hAnsi="Times New Roman" w:cs="Times New Roman"/>
        </w:rPr>
        <w:t>Onufriev</w:t>
      </w:r>
      <w:proofErr w:type="spellEnd"/>
      <w:r w:rsidRPr="004100CF">
        <w:rPr>
          <w:rFonts w:ascii="Times New Roman" w:hAnsi="Times New Roman" w:cs="Times New Roman"/>
        </w:rPr>
        <w:t xml:space="preserve">, A.; Bashford, D.; Case, D. A. Exploring Protein Native States and Large-Scale Conformational Changes with a Modified Generalized Born Model. </w:t>
      </w:r>
      <w:r w:rsidRPr="004100CF">
        <w:rPr>
          <w:rFonts w:ascii="Times New Roman" w:hAnsi="Times New Roman" w:cs="Times New Roman"/>
          <w:i/>
          <w:iCs/>
        </w:rPr>
        <w:t>Proteins: Structure, Function, and Bioinformatics</w:t>
      </w:r>
      <w:r w:rsidRPr="004100CF">
        <w:rPr>
          <w:rFonts w:ascii="Times New Roman" w:hAnsi="Times New Roman" w:cs="Times New Roman"/>
        </w:rPr>
        <w:t xml:space="preserve"> </w:t>
      </w:r>
      <w:r w:rsidRPr="004100CF">
        <w:rPr>
          <w:rFonts w:ascii="Times New Roman" w:hAnsi="Times New Roman" w:cs="Times New Roman"/>
          <w:b/>
          <w:bCs/>
        </w:rPr>
        <w:t>2004</w:t>
      </w:r>
      <w:r w:rsidRPr="004100CF">
        <w:rPr>
          <w:rFonts w:ascii="Times New Roman" w:hAnsi="Times New Roman" w:cs="Times New Roman"/>
        </w:rPr>
        <w:t xml:space="preserve">, </w:t>
      </w:r>
      <w:r w:rsidRPr="004100CF">
        <w:rPr>
          <w:rFonts w:ascii="Times New Roman" w:hAnsi="Times New Roman" w:cs="Times New Roman"/>
          <w:i/>
          <w:iCs/>
        </w:rPr>
        <w:t>55</w:t>
      </w:r>
      <w:r w:rsidRPr="004100CF">
        <w:rPr>
          <w:rFonts w:ascii="Times New Roman" w:hAnsi="Times New Roman" w:cs="Times New Roman"/>
        </w:rPr>
        <w:t xml:space="preserve"> (2), 383–394. https://doi.org/10.1002/prot.20033.</w:t>
      </w:r>
    </w:p>
    <w:p w14:paraId="5B8719C2"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(44)</w:t>
      </w:r>
      <w:r w:rsidRPr="004100CF">
        <w:rPr>
          <w:rFonts w:ascii="Times New Roman" w:hAnsi="Times New Roman" w:cs="Times New Roman"/>
        </w:rPr>
        <w:tab/>
      </w:r>
      <w:proofErr w:type="spellStart"/>
      <w:r w:rsidRPr="004100CF">
        <w:rPr>
          <w:rFonts w:ascii="Times New Roman" w:hAnsi="Times New Roman" w:cs="Times New Roman"/>
        </w:rPr>
        <w:t>Gapsys</w:t>
      </w:r>
      <w:proofErr w:type="spellEnd"/>
      <w:r w:rsidRPr="004100CF">
        <w:rPr>
          <w:rFonts w:ascii="Times New Roman" w:hAnsi="Times New Roman" w:cs="Times New Roman"/>
        </w:rPr>
        <w:t xml:space="preserve">, V.; </w:t>
      </w:r>
      <w:proofErr w:type="spellStart"/>
      <w:r w:rsidRPr="004100CF">
        <w:rPr>
          <w:rFonts w:ascii="Times New Roman" w:hAnsi="Times New Roman" w:cs="Times New Roman"/>
        </w:rPr>
        <w:t>Michielssens</w:t>
      </w:r>
      <w:proofErr w:type="spellEnd"/>
      <w:r w:rsidRPr="004100CF">
        <w:rPr>
          <w:rFonts w:ascii="Times New Roman" w:hAnsi="Times New Roman" w:cs="Times New Roman"/>
        </w:rPr>
        <w:t xml:space="preserve">, S.; Seeliger, D.; de Groot, B. L. </w:t>
      </w:r>
      <w:proofErr w:type="spellStart"/>
      <w:r w:rsidRPr="004100CF">
        <w:rPr>
          <w:rFonts w:ascii="Times New Roman" w:hAnsi="Times New Roman" w:cs="Times New Roman"/>
        </w:rPr>
        <w:t>Pmx</w:t>
      </w:r>
      <w:proofErr w:type="spellEnd"/>
      <w:r w:rsidRPr="004100CF">
        <w:rPr>
          <w:rFonts w:ascii="Times New Roman" w:hAnsi="Times New Roman" w:cs="Times New Roman"/>
        </w:rPr>
        <w:t xml:space="preserve">: Automated Protein Structure and Topology Generation for Alchemical Perturbations. </w:t>
      </w:r>
      <w:r w:rsidRPr="004100CF">
        <w:rPr>
          <w:rFonts w:ascii="Times New Roman" w:hAnsi="Times New Roman" w:cs="Times New Roman"/>
          <w:i/>
          <w:iCs/>
        </w:rPr>
        <w:t>Journal of Computational Chemistry</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36</w:t>
      </w:r>
      <w:r w:rsidRPr="004100CF">
        <w:rPr>
          <w:rFonts w:ascii="Times New Roman" w:hAnsi="Times New Roman" w:cs="Times New Roman"/>
        </w:rPr>
        <w:t xml:space="preserve"> (5), 348–354. https://doi.org/10.1002/jcc.23804.</w:t>
      </w:r>
    </w:p>
    <w:p w14:paraId="68F40B21"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(45)</w:t>
      </w:r>
      <w:r w:rsidRPr="004100CF">
        <w:rPr>
          <w:rFonts w:ascii="Times New Roman" w:hAnsi="Times New Roman" w:cs="Times New Roman"/>
        </w:rPr>
        <w:tab/>
        <w:t xml:space="preserve">Abraham, M. J.; </w:t>
      </w:r>
      <w:proofErr w:type="spellStart"/>
      <w:r w:rsidRPr="004100CF">
        <w:rPr>
          <w:rFonts w:ascii="Times New Roman" w:hAnsi="Times New Roman" w:cs="Times New Roman"/>
        </w:rPr>
        <w:t>Murtola</w:t>
      </w:r>
      <w:proofErr w:type="spellEnd"/>
      <w:r w:rsidRPr="004100CF">
        <w:rPr>
          <w:rFonts w:ascii="Times New Roman" w:hAnsi="Times New Roman" w:cs="Times New Roman"/>
        </w:rPr>
        <w:t xml:space="preserve">, T.; Schulz, R.; Páll, S.; Smith, J. C.; Hess, B.; Lindahl, E. GROMACS: High Performance Molecular Simulations through Multi-Level Parallelism from Laptops to Supercomputers. </w:t>
      </w:r>
      <w:proofErr w:type="spellStart"/>
      <w:r w:rsidRPr="004100CF">
        <w:rPr>
          <w:rFonts w:ascii="Times New Roman" w:hAnsi="Times New Roman" w:cs="Times New Roman"/>
          <w:i/>
          <w:iCs/>
        </w:rPr>
        <w:t>SoftwareX</w:t>
      </w:r>
      <w:proofErr w:type="spellEnd"/>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1–2</w:t>
      </w:r>
      <w:r w:rsidRPr="004100CF">
        <w:rPr>
          <w:rFonts w:ascii="Times New Roman" w:hAnsi="Times New Roman" w:cs="Times New Roman"/>
        </w:rPr>
        <w:t>, 19–25. https://doi.org/10.1016/j.softx.2015.06.001.</w:t>
      </w:r>
    </w:p>
    <w:p w14:paraId="755BE12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(46)</w:t>
      </w:r>
      <w:r w:rsidRPr="004100CF">
        <w:rPr>
          <w:rFonts w:ascii="Times New Roman" w:hAnsi="Times New Roman" w:cs="Times New Roman"/>
        </w:rPr>
        <w:tab/>
      </w:r>
      <w:proofErr w:type="spellStart"/>
      <w:r w:rsidRPr="004100CF">
        <w:rPr>
          <w:rFonts w:ascii="Times New Roman" w:hAnsi="Times New Roman" w:cs="Times New Roman"/>
        </w:rPr>
        <w:t>Gapsys</w:t>
      </w:r>
      <w:proofErr w:type="spellEnd"/>
      <w:r w:rsidRPr="004100CF">
        <w:rPr>
          <w:rFonts w:ascii="Times New Roman" w:hAnsi="Times New Roman" w:cs="Times New Roman"/>
        </w:rPr>
        <w:t xml:space="preserve">, V.; Seeliger, D.; de Groot, B. L. New Soft-Core Potential Function for Molecular Dynamics Based Alchemical Free Energy Calculations. </w:t>
      </w:r>
      <w:r w:rsidRPr="004100CF">
        <w:rPr>
          <w:rFonts w:ascii="Times New Roman" w:hAnsi="Times New Roman" w:cs="Times New Roman"/>
          <w:i/>
          <w:iCs/>
        </w:rPr>
        <w:t xml:space="preserve">J. Chem. Theory </w:t>
      </w:r>
      <w:proofErr w:type="spellStart"/>
      <w:r w:rsidRPr="004100CF">
        <w:rPr>
          <w:rFonts w:ascii="Times New Roman" w:hAnsi="Times New Roman" w:cs="Times New Roman"/>
          <w:i/>
          <w:iCs/>
        </w:rPr>
        <w:t>Comput</w:t>
      </w:r>
      <w:proofErr w:type="spellEnd"/>
      <w:r w:rsidRPr="004100CF">
        <w:rPr>
          <w:rFonts w:ascii="Times New Roman" w:hAnsi="Times New Roman" w:cs="Times New Roman"/>
          <w:i/>
          <w:iCs/>
        </w:rPr>
        <w:t>.</w:t>
      </w:r>
      <w:r w:rsidRPr="004100CF">
        <w:rPr>
          <w:rFonts w:ascii="Times New Roman" w:hAnsi="Times New Roman" w:cs="Times New Roman"/>
        </w:rPr>
        <w:t xml:space="preserve"> </w:t>
      </w:r>
      <w:r w:rsidRPr="004100CF">
        <w:rPr>
          <w:rFonts w:ascii="Times New Roman" w:hAnsi="Times New Roman" w:cs="Times New Roman"/>
          <w:b/>
          <w:bCs/>
        </w:rPr>
        <w:t>2012</w:t>
      </w:r>
      <w:r w:rsidRPr="004100CF">
        <w:rPr>
          <w:rFonts w:ascii="Times New Roman" w:hAnsi="Times New Roman" w:cs="Times New Roman"/>
        </w:rPr>
        <w:t xml:space="preserve">, </w:t>
      </w:r>
      <w:r w:rsidRPr="004100CF">
        <w:rPr>
          <w:rFonts w:ascii="Times New Roman" w:hAnsi="Times New Roman" w:cs="Times New Roman"/>
          <w:i/>
          <w:iCs/>
        </w:rPr>
        <w:t>8</w:t>
      </w:r>
      <w:r w:rsidRPr="004100CF">
        <w:rPr>
          <w:rFonts w:ascii="Times New Roman" w:hAnsi="Times New Roman" w:cs="Times New Roman"/>
        </w:rPr>
        <w:t xml:space="preserve"> (7), 2373–2382. https://doi.org/10.1021/ct300220p.</w:t>
      </w:r>
    </w:p>
    <w:p w14:paraId="60D9922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(47)</w:t>
      </w:r>
      <w:r w:rsidRPr="004100CF">
        <w:rPr>
          <w:rFonts w:ascii="Times New Roman" w:hAnsi="Times New Roman" w:cs="Times New Roman"/>
        </w:rPr>
        <w:tab/>
        <w:t xml:space="preserve">Jarzynski, C. Nonequilibrium Equality for Free Energy Differences. </w:t>
      </w:r>
      <w:r w:rsidRPr="004100CF">
        <w:rPr>
          <w:rFonts w:ascii="Times New Roman" w:hAnsi="Times New Roman" w:cs="Times New Roman"/>
          <w:i/>
          <w:iCs/>
        </w:rPr>
        <w:t>Phys. Rev. Lett.</w:t>
      </w:r>
      <w:r w:rsidRPr="004100CF">
        <w:rPr>
          <w:rFonts w:ascii="Times New Roman" w:hAnsi="Times New Roman" w:cs="Times New Roman"/>
        </w:rPr>
        <w:t xml:space="preserve"> </w:t>
      </w:r>
      <w:r w:rsidRPr="004100CF">
        <w:rPr>
          <w:rFonts w:ascii="Times New Roman" w:hAnsi="Times New Roman" w:cs="Times New Roman"/>
          <w:b/>
          <w:bCs/>
        </w:rPr>
        <w:t>1997</w:t>
      </w:r>
      <w:r w:rsidRPr="004100CF">
        <w:rPr>
          <w:rFonts w:ascii="Times New Roman" w:hAnsi="Times New Roman" w:cs="Times New Roman"/>
        </w:rPr>
        <w:t xml:space="preserve">, </w:t>
      </w:r>
      <w:r w:rsidRPr="004100CF">
        <w:rPr>
          <w:rFonts w:ascii="Times New Roman" w:hAnsi="Times New Roman" w:cs="Times New Roman"/>
          <w:i/>
          <w:iCs/>
        </w:rPr>
        <w:t>78</w:t>
      </w:r>
      <w:r w:rsidRPr="004100CF">
        <w:rPr>
          <w:rFonts w:ascii="Times New Roman" w:hAnsi="Times New Roman" w:cs="Times New Roman"/>
        </w:rPr>
        <w:t xml:space="preserve"> (14), 2690–2693. https://doi.org/10.1103/PhysRevLett.78.2690.</w:t>
      </w:r>
    </w:p>
    <w:p w14:paraId="15C894B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(48)</w:t>
      </w:r>
      <w:r w:rsidRPr="004100CF">
        <w:rPr>
          <w:rFonts w:ascii="Times New Roman" w:hAnsi="Times New Roman" w:cs="Times New Roman"/>
        </w:rPr>
        <w:tab/>
        <w:t xml:space="preserve">Crooks, G. E. Entropy Production Fluctuation Theorem and the Nonequilibrium Work Relation for Free Energy Differences. </w:t>
      </w:r>
      <w:r w:rsidRPr="004100CF">
        <w:rPr>
          <w:rFonts w:ascii="Times New Roman" w:hAnsi="Times New Roman" w:cs="Times New Roman"/>
          <w:i/>
          <w:iCs/>
        </w:rPr>
        <w:t>Phys. Rev. E</w:t>
      </w:r>
      <w:r w:rsidRPr="004100CF">
        <w:rPr>
          <w:rFonts w:ascii="Times New Roman" w:hAnsi="Times New Roman" w:cs="Times New Roman"/>
        </w:rPr>
        <w:t xml:space="preserve"> </w:t>
      </w:r>
      <w:r w:rsidRPr="004100CF">
        <w:rPr>
          <w:rFonts w:ascii="Times New Roman" w:hAnsi="Times New Roman" w:cs="Times New Roman"/>
          <w:b/>
          <w:bCs/>
        </w:rPr>
        <w:t>1999</w:t>
      </w:r>
      <w:r w:rsidRPr="004100CF">
        <w:rPr>
          <w:rFonts w:ascii="Times New Roman" w:hAnsi="Times New Roman" w:cs="Times New Roman"/>
        </w:rPr>
        <w:t xml:space="preserve">, </w:t>
      </w:r>
      <w:r w:rsidRPr="004100CF">
        <w:rPr>
          <w:rFonts w:ascii="Times New Roman" w:hAnsi="Times New Roman" w:cs="Times New Roman"/>
          <w:i/>
          <w:iCs/>
        </w:rPr>
        <w:t>60</w:t>
      </w:r>
      <w:r w:rsidRPr="004100CF">
        <w:rPr>
          <w:rFonts w:ascii="Times New Roman" w:hAnsi="Times New Roman" w:cs="Times New Roman"/>
        </w:rPr>
        <w:t xml:space="preserve"> (3), 2721–2726. https://doi.org/10.1103/PhysRevE.60.2721.</w:t>
      </w:r>
    </w:p>
    <w:p w14:paraId="4AFF2E2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(49)</w:t>
      </w:r>
      <w:r w:rsidRPr="004100CF">
        <w:rPr>
          <w:rFonts w:ascii="Times New Roman" w:hAnsi="Times New Roman" w:cs="Times New Roman"/>
        </w:rPr>
        <w:tab/>
        <w:t xml:space="preserve">Bernetti, M.; Bussi, G. Pressure Control Using Stochastic Cell Rescaling. </w:t>
      </w:r>
      <w:r w:rsidRPr="004100CF">
        <w:rPr>
          <w:rFonts w:ascii="Times New Roman" w:hAnsi="Times New Roman" w:cs="Times New Roman"/>
          <w:i/>
          <w:iCs/>
        </w:rPr>
        <w:t>J. Chem. Phys.</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153</w:t>
      </w:r>
      <w:r w:rsidRPr="004100CF">
        <w:rPr>
          <w:rFonts w:ascii="Times New Roman" w:hAnsi="Times New Roman" w:cs="Times New Roman"/>
        </w:rPr>
        <w:t xml:space="preserve"> (11), 114107. https://doi.org/10.1063/5.0020514.</w:t>
      </w:r>
    </w:p>
    <w:p w14:paraId="3A9AE5BD"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(50)</w:t>
      </w:r>
      <w:r w:rsidRPr="004100CF">
        <w:rPr>
          <w:rFonts w:ascii="Times New Roman" w:hAnsi="Times New Roman" w:cs="Times New Roman"/>
        </w:rPr>
        <w:tab/>
        <w:t xml:space="preserve">Bennett, C. H. Efficient Estimation of Free Energy Differences from Monte Carlo Data. </w:t>
      </w:r>
      <w:r w:rsidRPr="004100CF">
        <w:rPr>
          <w:rFonts w:ascii="Times New Roman" w:hAnsi="Times New Roman" w:cs="Times New Roman"/>
          <w:i/>
          <w:iCs/>
        </w:rPr>
        <w:t>Journal of Computational Physics</w:t>
      </w:r>
      <w:r w:rsidRPr="004100CF">
        <w:rPr>
          <w:rFonts w:ascii="Times New Roman" w:hAnsi="Times New Roman" w:cs="Times New Roman"/>
        </w:rPr>
        <w:t xml:space="preserve"> </w:t>
      </w:r>
      <w:r w:rsidRPr="004100CF">
        <w:rPr>
          <w:rFonts w:ascii="Times New Roman" w:hAnsi="Times New Roman" w:cs="Times New Roman"/>
          <w:b/>
          <w:bCs/>
        </w:rPr>
        <w:t>1976</w:t>
      </w:r>
      <w:r w:rsidRPr="004100CF">
        <w:rPr>
          <w:rFonts w:ascii="Times New Roman" w:hAnsi="Times New Roman" w:cs="Times New Roman"/>
        </w:rPr>
        <w:t xml:space="preserve">, </w:t>
      </w:r>
      <w:r w:rsidRPr="004100CF">
        <w:rPr>
          <w:rFonts w:ascii="Times New Roman" w:hAnsi="Times New Roman" w:cs="Times New Roman"/>
          <w:i/>
          <w:iCs/>
        </w:rPr>
        <w:t>22</w:t>
      </w:r>
      <w:r w:rsidRPr="004100CF">
        <w:rPr>
          <w:rFonts w:ascii="Times New Roman" w:hAnsi="Times New Roman" w:cs="Times New Roman"/>
        </w:rPr>
        <w:t xml:space="preserve"> (2), 245–268. https://doi.org/10.1016/0021-9991(76)90078-4.</w:t>
      </w:r>
    </w:p>
    <w:p w14:paraId="636C4D63"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(51)</w:t>
      </w:r>
      <w:r w:rsidRPr="004100CF">
        <w:rPr>
          <w:rFonts w:ascii="Times New Roman" w:hAnsi="Times New Roman" w:cs="Times New Roman"/>
        </w:rPr>
        <w:tab/>
        <w:t xml:space="preserve">Rocklin, G. J.; Mobley, D. L.; Dill, K. A.; </w:t>
      </w:r>
      <w:proofErr w:type="spellStart"/>
      <w:r w:rsidRPr="004100CF">
        <w:rPr>
          <w:rFonts w:ascii="Times New Roman" w:hAnsi="Times New Roman" w:cs="Times New Roman"/>
        </w:rPr>
        <w:t>Hünenberger</w:t>
      </w:r>
      <w:proofErr w:type="spellEnd"/>
      <w:r w:rsidRPr="004100CF">
        <w:rPr>
          <w:rFonts w:ascii="Times New Roman" w:hAnsi="Times New Roman" w:cs="Times New Roman"/>
        </w:rPr>
        <w:t xml:space="preserve">, P. H. Calculating the Binding Free Energies of Charged Species Based on Explicit-Solvent Simulations Employing Lattice-Sum Methods: An Accurate Correction Scheme for Electrostatic Finite-Size Effects. </w:t>
      </w:r>
      <w:r w:rsidRPr="004100CF">
        <w:rPr>
          <w:rFonts w:ascii="Times New Roman" w:hAnsi="Times New Roman" w:cs="Times New Roman"/>
          <w:i/>
          <w:iCs/>
        </w:rPr>
        <w:t>J. Chem. Phys.</w:t>
      </w:r>
      <w:r w:rsidRPr="004100CF">
        <w:rPr>
          <w:rFonts w:ascii="Times New Roman" w:hAnsi="Times New Roman" w:cs="Times New Roman"/>
        </w:rPr>
        <w:t xml:space="preserve"> </w:t>
      </w:r>
      <w:r w:rsidRPr="004100CF">
        <w:rPr>
          <w:rFonts w:ascii="Times New Roman" w:hAnsi="Times New Roman" w:cs="Times New Roman"/>
          <w:b/>
          <w:bCs/>
        </w:rPr>
        <w:t>2013</w:t>
      </w:r>
      <w:r w:rsidRPr="004100CF">
        <w:rPr>
          <w:rFonts w:ascii="Times New Roman" w:hAnsi="Times New Roman" w:cs="Times New Roman"/>
        </w:rPr>
        <w:t xml:space="preserve">, </w:t>
      </w:r>
      <w:r w:rsidRPr="004100CF">
        <w:rPr>
          <w:rFonts w:ascii="Times New Roman" w:hAnsi="Times New Roman" w:cs="Times New Roman"/>
          <w:i/>
          <w:iCs/>
        </w:rPr>
        <w:t>139</w:t>
      </w:r>
      <w:r w:rsidRPr="004100CF">
        <w:rPr>
          <w:rFonts w:ascii="Times New Roman" w:hAnsi="Times New Roman" w:cs="Times New Roman"/>
        </w:rPr>
        <w:t xml:space="preserve"> (18), 184103. https://doi.org/10.1063/1.4826261.</w:t>
      </w:r>
    </w:p>
    <w:p w14:paraId="4CE1C4F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(52)</w:t>
      </w:r>
      <w:r w:rsidRPr="004100CF">
        <w:rPr>
          <w:rFonts w:ascii="Times New Roman" w:hAnsi="Times New Roman" w:cs="Times New Roman"/>
        </w:rPr>
        <w:tab/>
        <w:t xml:space="preserve">Asante-Appiah, E.; Lai, J.; Wan, H.; Yang, D.; Martin, E. A.; Sklar, P.; Hazuda, D.; Petropoulos, C. J.; Walworth, C.; Grobler, J. A. Impact of HIV-1 Resistance-Associated Mutations on Susceptibility to Doravirine: Analysis of Real-World Clinical Isolates. </w:t>
      </w:r>
      <w:r w:rsidRPr="004100CF">
        <w:rPr>
          <w:rFonts w:ascii="Times New Roman" w:hAnsi="Times New Roman" w:cs="Times New Roman"/>
          <w:i/>
          <w:iCs/>
        </w:rPr>
        <w:t>Antimicrobial Agents and Chemotherapy</w:t>
      </w:r>
      <w:r w:rsidRPr="004100CF">
        <w:rPr>
          <w:rFonts w:ascii="Times New Roman" w:hAnsi="Times New Roman" w:cs="Times New Roman"/>
        </w:rPr>
        <w:t xml:space="preserve"> </w:t>
      </w:r>
      <w:r w:rsidRPr="004100CF">
        <w:rPr>
          <w:rFonts w:ascii="Times New Roman" w:hAnsi="Times New Roman" w:cs="Times New Roman"/>
          <w:b/>
          <w:bCs/>
        </w:rPr>
        <w:t>2021</w:t>
      </w:r>
      <w:r w:rsidRPr="004100CF">
        <w:rPr>
          <w:rFonts w:ascii="Times New Roman" w:hAnsi="Times New Roman" w:cs="Times New Roman"/>
        </w:rPr>
        <w:t xml:space="preserve">, </w:t>
      </w:r>
      <w:r w:rsidRPr="004100CF">
        <w:rPr>
          <w:rFonts w:ascii="Times New Roman" w:hAnsi="Times New Roman" w:cs="Times New Roman"/>
          <w:i/>
          <w:iCs/>
        </w:rPr>
        <w:t>65</w:t>
      </w:r>
      <w:r w:rsidRPr="004100CF">
        <w:rPr>
          <w:rFonts w:ascii="Times New Roman" w:hAnsi="Times New Roman" w:cs="Times New Roman"/>
        </w:rPr>
        <w:t xml:space="preserve"> (12), 10.1128/aac.01216-21. https://doi.org/10.1128/aac.01216-21.</w:t>
      </w:r>
    </w:p>
    <w:p w14:paraId="0C4E87E2"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(53)</w:t>
      </w:r>
      <w:r w:rsidRPr="004100CF">
        <w:rPr>
          <w:rFonts w:ascii="Times New Roman" w:hAnsi="Times New Roman" w:cs="Times New Roman"/>
        </w:rPr>
        <w:tab/>
        <w:t xml:space="preserve">Lai, M.-T.; Xu, M.; Ngo, W.; Feng, M.; Graham, D.; Wang, J.; Hazuda, D. J.; Hanna, G. J.; Kumar, S.; Xu, X.; Martin, E.; Hwang, C. </w:t>
      </w:r>
      <w:r w:rsidRPr="004100CF">
        <w:rPr>
          <w:rFonts w:ascii="Times New Roman" w:hAnsi="Times New Roman" w:cs="Times New Roman"/>
          <w:i/>
          <w:iCs/>
        </w:rPr>
        <w:t>Characterization of Doravirine-Selected Resistance Patterns From Participants in Treatment-Naïve Phase 3 Clinical Trials</w:t>
      </w:r>
      <w:r w:rsidRPr="004100CF">
        <w:rPr>
          <w:rFonts w:ascii="Times New Roman" w:hAnsi="Times New Roman" w:cs="Times New Roman"/>
        </w:rPr>
        <w:t>. https://www.natap.org/2018/IAC/IAC_54.htm (accessed 2026-05-24).</w:t>
      </w:r>
    </w:p>
    <w:p w14:paraId="3BBFB382"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(54)</w:t>
      </w:r>
      <w:r w:rsidRPr="004100CF">
        <w:rPr>
          <w:rFonts w:ascii="Times New Roman" w:hAnsi="Times New Roman" w:cs="Times New Roman"/>
        </w:rPr>
        <w:tab/>
        <w:t xml:space="preserve">Hazuda, D. J.; Xu, M.; Ngo, W.; Feng, M.; Hwang, C.; Grobler, J. A.; Lai, M.-T. </w:t>
      </w:r>
      <w:r w:rsidRPr="004100CF">
        <w:rPr>
          <w:rFonts w:ascii="Times New Roman" w:hAnsi="Times New Roman" w:cs="Times New Roman"/>
          <w:i/>
          <w:iCs/>
        </w:rPr>
        <w:t xml:space="preserve">Understanding the Resistance Profile of the HIV-1 NNRTI Doravirine in Combination With </w:t>
      </w:r>
      <w:r w:rsidRPr="004100CF">
        <w:rPr>
          <w:rFonts w:ascii="Times New Roman" w:hAnsi="Times New Roman" w:cs="Times New Roman"/>
          <w:i/>
          <w:iCs/>
        </w:rPr>
        <w:lastRenderedPageBreak/>
        <w:t>the Novel NRTTI MK-8591</w:t>
      </w:r>
      <w:r w:rsidRPr="004100CF">
        <w:rPr>
          <w:rFonts w:ascii="Times New Roman" w:hAnsi="Times New Roman" w:cs="Times New Roman"/>
        </w:rPr>
        <w:t>. https://www.natap.org/2018/IAC/IAC_48.htm (accessed 2026-05-24).</w:t>
      </w:r>
    </w:p>
    <w:p w14:paraId="445643DD"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(55)</w:t>
      </w:r>
      <w:r w:rsidRPr="004100CF">
        <w:rPr>
          <w:rFonts w:ascii="Times New Roman" w:hAnsi="Times New Roman" w:cs="Times New Roman"/>
        </w:rPr>
        <w:tab/>
        <w:t xml:space="preserve">Smith, S. J.; Pauly, G. T.; Akram, A.; Melody, K.; Ambrose, Z.; Schneider, J. P.; Hughes, S. H. Rilpivirine and Doravirine Have Complementary Efficacies Against NNRTI-Resistant HIV-1 Mutants. </w:t>
      </w:r>
      <w:r w:rsidRPr="004100CF">
        <w:rPr>
          <w:rFonts w:ascii="Times New Roman" w:hAnsi="Times New Roman" w:cs="Times New Roman"/>
          <w:i/>
          <w:iCs/>
        </w:rPr>
        <w:t>JAIDS Journal of Acquired Immune Deficiency Syndromes</w:t>
      </w:r>
      <w:r w:rsidRPr="004100CF">
        <w:rPr>
          <w:rFonts w:ascii="Times New Roman" w:hAnsi="Times New Roman" w:cs="Times New Roman"/>
        </w:rPr>
        <w:t xml:space="preserve"> </w:t>
      </w:r>
      <w:r w:rsidRPr="004100CF">
        <w:rPr>
          <w:rFonts w:ascii="Times New Roman" w:hAnsi="Times New Roman" w:cs="Times New Roman"/>
          <w:b/>
          <w:bCs/>
        </w:rPr>
        <w:t>2016</w:t>
      </w:r>
      <w:r w:rsidRPr="004100CF">
        <w:rPr>
          <w:rFonts w:ascii="Times New Roman" w:hAnsi="Times New Roman" w:cs="Times New Roman"/>
        </w:rPr>
        <w:t xml:space="preserve">, </w:t>
      </w:r>
      <w:r w:rsidRPr="004100CF">
        <w:rPr>
          <w:rFonts w:ascii="Times New Roman" w:hAnsi="Times New Roman" w:cs="Times New Roman"/>
          <w:i/>
          <w:iCs/>
        </w:rPr>
        <w:t>72</w:t>
      </w:r>
      <w:r w:rsidRPr="004100CF">
        <w:rPr>
          <w:rFonts w:ascii="Times New Roman" w:hAnsi="Times New Roman" w:cs="Times New Roman"/>
        </w:rPr>
        <w:t xml:space="preserve"> (5), 485. https://doi.org/10.1097/QAI.0000000000001031.</w:t>
      </w:r>
    </w:p>
    <w:p w14:paraId="3C76539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(56)</w:t>
      </w:r>
      <w:r w:rsidRPr="004100CF">
        <w:rPr>
          <w:rFonts w:ascii="Times New Roman" w:hAnsi="Times New Roman" w:cs="Times New Roman"/>
        </w:rPr>
        <w:tab/>
        <w:t xml:space="preserve">Kellinger, M. W.; Johnson, K. A. Nucleotide-Dependent Conformational Change Governs Specificity and Analog Discrimination by HIV Reverse Transcriptase. </w:t>
      </w:r>
      <w:r w:rsidRPr="004100CF">
        <w:rPr>
          <w:rFonts w:ascii="Times New Roman" w:hAnsi="Times New Roman" w:cs="Times New Roman"/>
          <w:i/>
          <w:iCs/>
        </w:rPr>
        <w:t>Proceedings of the National Academy of Sciences</w:t>
      </w:r>
      <w:r w:rsidRPr="004100CF">
        <w:rPr>
          <w:rFonts w:ascii="Times New Roman" w:hAnsi="Times New Roman" w:cs="Times New Roman"/>
        </w:rPr>
        <w:t xml:space="preserve"> </w:t>
      </w:r>
      <w:r w:rsidRPr="004100CF">
        <w:rPr>
          <w:rFonts w:ascii="Times New Roman" w:hAnsi="Times New Roman" w:cs="Times New Roman"/>
          <w:b/>
          <w:bCs/>
        </w:rPr>
        <w:t>2010</w:t>
      </w:r>
      <w:r w:rsidRPr="004100CF">
        <w:rPr>
          <w:rFonts w:ascii="Times New Roman" w:hAnsi="Times New Roman" w:cs="Times New Roman"/>
        </w:rPr>
        <w:t xml:space="preserve">, </w:t>
      </w:r>
      <w:r w:rsidRPr="004100CF">
        <w:rPr>
          <w:rFonts w:ascii="Times New Roman" w:hAnsi="Times New Roman" w:cs="Times New Roman"/>
          <w:i/>
          <w:iCs/>
        </w:rPr>
        <w:t>107</w:t>
      </w:r>
      <w:r w:rsidRPr="004100CF">
        <w:rPr>
          <w:rFonts w:ascii="Times New Roman" w:hAnsi="Times New Roman" w:cs="Times New Roman"/>
        </w:rPr>
        <w:t xml:space="preserve"> (17), 7734–7739. https://doi.org/10.1073/pnas.0913946107.</w:t>
      </w:r>
    </w:p>
    <w:p w14:paraId="2272C88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(57)</w:t>
      </w:r>
      <w:r w:rsidRPr="004100CF">
        <w:rPr>
          <w:rFonts w:ascii="Times New Roman" w:hAnsi="Times New Roman" w:cs="Times New Roman"/>
        </w:rPr>
        <w:tab/>
        <w:t xml:space="preserve">Chachra, R.; Rizzo, R. C. Origins of Resistance Conferred by the R292K Neuraminidase Mutation via Molecular Dynamics and Free Energy Calculations. </w:t>
      </w:r>
      <w:r w:rsidRPr="004100CF">
        <w:rPr>
          <w:rFonts w:ascii="Times New Roman" w:hAnsi="Times New Roman" w:cs="Times New Roman"/>
          <w:i/>
          <w:iCs/>
        </w:rPr>
        <w:t xml:space="preserve">J. Chem. Theory </w:t>
      </w:r>
      <w:proofErr w:type="spellStart"/>
      <w:r w:rsidRPr="004100CF">
        <w:rPr>
          <w:rFonts w:ascii="Times New Roman" w:hAnsi="Times New Roman" w:cs="Times New Roman"/>
          <w:i/>
          <w:iCs/>
        </w:rPr>
        <w:t>Comput</w:t>
      </w:r>
      <w:proofErr w:type="spellEnd"/>
      <w:r w:rsidRPr="004100CF">
        <w:rPr>
          <w:rFonts w:ascii="Times New Roman" w:hAnsi="Times New Roman" w:cs="Times New Roman"/>
          <w:i/>
          <w:iCs/>
        </w:rPr>
        <w:t>.</w:t>
      </w:r>
      <w:r w:rsidRPr="004100CF">
        <w:rPr>
          <w:rFonts w:ascii="Times New Roman" w:hAnsi="Times New Roman" w:cs="Times New Roman"/>
        </w:rPr>
        <w:t xml:space="preserve"> </w:t>
      </w:r>
      <w:r w:rsidRPr="004100CF">
        <w:rPr>
          <w:rFonts w:ascii="Times New Roman" w:hAnsi="Times New Roman" w:cs="Times New Roman"/>
          <w:b/>
          <w:bCs/>
        </w:rPr>
        <w:t>2008</w:t>
      </w:r>
      <w:r w:rsidRPr="004100CF">
        <w:rPr>
          <w:rFonts w:ascii="Times New Roman" w:hAnsi="Times New Roman" w:cs="Times New Roman"/>
        </w:rPr>
        <w:t xml:space="preserve">, </w:t>
      </w:r>
      <w:r w:rsidRPr="004100CF">
        <w:rPr>
          <w:rFonts w:ascii="Times New Roman" w:hAnsi="Times New Roman" w:cs="Times New Roman"/>
          <w:i/>
          <w:iCs/>
        </w:rPr>
        <w:t>4</w:t>
      </w:r>
      <w:r w:rsidRPr="004100CF">
        <w:rPr>
          <w:rFonts w:ascii="Times New Roman" w:hAnsi="Times New Roman" w:cs="Times New Roman"/>
        </w:rPr>
        <w:t xml:space="preserve"> (9), 1526–1540. https://doi.org/10.1021/ct800068v.</w:t>
      </w:r>
    </w:p>
    <w:p w14:paraId="28841E71"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(58)</w:t>
      </w:r>
      <w:r w:rsidRPr="004100CF">
        <w:rPr>
          <w:rFonts w:ascii="Times New Roman" w:hAnsi="Times New Roman" w:cs="Times New Roman"/>
        </w:rPr>
        <w:tab/>
        <w:t xml:space="preserve">Ripoll, D. R.; </w:t>
      </w:r>
      <w:proofErr w:type="spellStart"/>
      <w:r w:rsidRPr="004100CF">
        <w:rPr>
          <w:rFonts w:ascii="Times New Roman" w:hAnsi="Times New Roman" w:cs="Times New Roman"/>
        </w:rPr>
        <w:t>Khavrutskii</w:t>
      </w:r>
      <w:proofErr w:type="spellEnd"/>
      <w:r w:rsidRPr="004100CF">
        <w:rPr>
          <w:rFonts w:ascii="Times New Roman" w:hAnsi="Times New Roman" w:cs="Times New Roman"/>
        </w:rPr>
        <w:t xml:space="preserve">, I. V.; Chaudhury, S.; Liu, J.; </w:t>
      </w:r>
      <w:proofErr w:type="spellStart"/>
      <w:r w:rsidRPr="004100CF">
        <w:rPr>
          <w:rFonts w:ascii="Times New Roman" w:hAnsi="Times New Roman" w:cs="Times New Roman"/>
        </w:rPr>
        <w:t>Kuschner</w:t>
      </w:r>
      <w:proofErr w:type="spellEnd"/>
      <w:r w:rsidRPr="004100CF">
        <w:rPr>
          <w:rFonts w:ascii="Times New Roman" w:hAnsi="Times New Roman" w:cs="Times New Roman"/>
        </w:rPr>
        <w:t xml:space="preserve">, R. A.; </w:t>
      </w:r>
      <w:proofErr w:type="spellStart"/>
      <w:r w:rsidRPr="004100CF">
        <w:rPr>
          <w:rFonts w:ascii="Times New Roman" w:hAnsi="Times New Roman" w:cs="Times New Roman"/>
        </w:rPr>
        <w:t>Wallqvist</w:t>
      </w:r>
      <w:proofErr w:type="spellEnd"/>
      <w:r w:rsidRPr="004100CF">
        <w:rPr>
          <w:rFonts w:ascii="Times New Roman" w:hAnsi="Times New Roman" w:cs="Times New Roman"/>
        </w:rPr>
        <w:t xml:space="preserve">, A.; Reifman, J. Quantitative Predictions of Binding Free Energy Changes in Drug-Resistant Influenza Neuraminidase. </w:t>
      </w:r>
      <w:r w:rsidRPr="004100CF">
        <w:rPr>
          <w:rFonts w:ascii="Times New Roman" w:hAnsi="Times New Roman" w:cs="Times New Roman"/>
          <w:i/>
          <w:iCs/>
        </w:rPr>
        <w:t>PLOS Computational Biology</w:t>
      </w:r>
      <w:r w:rsidRPr="004100CF">
        <w:rPr>
          <w:rFonts w:ascii="Times New Roman" w:hAnsi="Times New Roman" w:cs="Times New Roman"/>
        </w:rPr>
        <w:t xml:space="preserve"> </w:t>
      </w:r>
      <w:r w:rsidRPr="004100CF">
        <w:rPr>
          <w:rFonts w:ascii="Times New Roman" w:hAnsi="Times New Roman" w:cs="Times New Roman"/>
          <w:b/>
          <w:bCs/>
        </w:rPr>
        <w:t>2012</w:t>
      </w:r>
      <w:r w:rsidRPr="004100CF">
        <w:rPr>
          <w:rFonts w:ascii="Times New Roman" w:hAnsi="Times New Roman" w:cs="Times New Roman"/>
        </w:rPr>
        <w:t xml:space="preserve">, </w:t>
      </w:r>
      <w:r w:rsidRPr="004100CF">
        <w:rPr>
          <w:rFonts w:ascii="Times New Roman" w:hAnsi="Times New Roman" w:cs="Times New Roman"/>
          <w:i/>
          <w:iCs/>
        </w:rPr>
        <w:t>8</w:t>
      </w:r>
      <w:r w:rsidRPr="004100CF">
        <w:rPr>
          <w:rFonts w:ascii="Times New Roman" w:hAnsi="Times New Roman" w:cs="Times New Roman"/>
        </w:rPr>
        <w:t xml:space="preserve"> (8), e1002665. https://doi.org/10.1371/journal.pcbi.1002665.</w:t>
      </w:r>
    </w:p>
    <w:p w14:paraId="6F909363"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(59)</w:t>
      </w:r>
      <w:r w:rsidRPr="004100CF">
        <w:rPr>
          <w:rFonts w:ascii="Times New Roman" w:hAnsi="Times New Roman" w:cs="Times New Roman"/>
        </w:rPr>
        <w:tab/>
        <w:t xml:space="preserve">Havranek, B.; Demissie, R.; Lee, H.; Lan, S.; Zhang, H.; </w:t>
      </w:r>
      <w:proofErr w:type="spellStart"/>
      <w:r w:rsidRPr="004100CF">
        <w:rPr>
          <w:rFonts w:ascii="Times New Roman" w:hAnsi="Times New Roman" w:cs="Times New Roman"/>
        </w:rPr>
        <w:t>Sarafianos</w:t>
      </w:r>
      <w:proofErr w:type="spellEnd"/>
      <w:r w:rsidRPr="004100CF">
        <w:rPr>
          <w:rFonts w:ascii="Times New Roman" w:hAnsi="Times New Roman" w:cs="Times New Roman"/>
        </w:rPr>
        <w:t xml:space="preserve">, S.; </w:t>
      </w:r>
      <w:proofErr w:type="spellStart"/>
      <w:r w:rsidRPr="004100CF">
        <w:rPr>
          <w:rFonts w:ascii="Times New Roman" w:hAnsi="Times New Roman" w:cs="Times New Roman"/>
        </w:rPr>
        <w:t>Ayitou</w:t>
      </w:r>
      <w:proofErr w:type="spellEnd"/>
      <w:r w:rsidRPr="004100CF">
        <w:rPr>
          <w:rFonts w:ascii="Times New Roman" w:hAnsi="Times New Roman" w:cs="Times New Roman"/>
        </w:rPr>
        <w:t xml:space="preserve">, A. J.-L.; Islam, S. M. Discovery of Nirmatrelvir Resistance Mutations in SARS-CoV‑2 3CLpro: A Computational-Experimental Approach. </w:t>
      </w:r>
      <w:r w:rsidRPr="004100CF">
        <w:rPr>
          <w:rFonts w:ascii="Times New Roman" w:hAnsi="Times New Roman" w:cs="Times New Roman"/>
          <w:i/>
          <w:iCs/>
        </w:rPr>
        <w:t>J. Chem. Inf. Model.</w:t>
      </w:r>
      <w:r w:rsidRPr="004100CF">
        <w:rPr>
          <w:rFonts w:ascii="Times New Roman" w:hAnsi="Times New Roman" w:cs="Times New Roman"/>
        </w:rPr>
        <w:t xml:space="preserve"> </w:t>
      </w:r>
      <w:r w:rsidRPr="004100CF">
        <w:rPr>
          <w:rFonts w:ascii="Times New Roman" w:hAnsi="Times New Roman" w:cs="Times New Roman"/>
          <w:b/>
          <w:bCs/>
        </w:rPr>
        <w:t>2023</w:t>
      </w:r>
      <w:r w:rsidRPr="004100CF">
        <w:rPr>
          <w:rFonts w:ascii="Times New Roman" w:hAnsi="Times New Roman" w:cs="Times New Roman"/>
        </w:rPr>
        <w:t xml:space="preserve">, </w:t>
      </w:r>
      <w:r w:rsidRPr="004100CF">
        <w:rPr>
          <w:rFonts w:ascii="Times New Roman" w:hAnsi="Times New Roman" w:cs="Times New Roman"/>
          <w:i/>
          <w:iCs/>
        </w:rPr>
        <w:t>63</w:t>
      </w:r>
      <w:r w:rsidRPr="004100CF">
        <w:rPr>
          <w:rFonts w:ascii="Times New Roman" w:hAnsi="Times New Roman" w:cs="Times New Roman"/>
        </w:rPr>
        <w:t xml:space="preserve"> (22), 7180–7188. https://doi.org/10.1021/acs.jcim.3c01269.</w:t>
      </w:r>
    </w:p>
    <w:p w14:paraId="187341F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(60)</w:t>
      </w:r>
      <w:r w:rsidRPr="004100CF">
        <w:rPr>
          <w:rFonts w:ascii="Times New Roman" w:hAnsi="Times New Roman" w:cs="Times New Roman"/>
        </w:rPr>
        <w:tab/>
        <w:t xml:space="preserve">Cai, Y.; Schiffer, C. A. Decomposing the Energetic Impact of Drug Resistant Mutations in HIV-1 Protease on Binding DRV. </w:t>
      </w:r>
      <w:r w:rsidRPr="004100CF">
        <w:rPr>
          <w:rFonts w:ascii="Times New Roman" w:hAnsi="Times New Roman" w:cs="Times New Roman"/>
          <w:i/>
          <w:iCs/>
        </w:rPr>
        <w:t xml:space="preserve">J. Chem. Theory </w:t>
      </w:r>
      <w:proofErr w:type="spellStart"/>
      <w:r w:rsidRPr="004100CF">
        <w:rPr>
          <w:rFonts w:ascii="Times New Roman" w:hAnsi="Times New Roman" w:cs="Times New Roman"/>
          <w:i/>
          <w:iCs/>
        </w:rPr>
        <w:t>Comput</w:t>
      </w:r>
      <w:proofErr w:type="spellEnd"/>
      <w:r w:rsidRPr="004100CF">
        <w:rPr>
          <w:rFonts w:ascii="Times New Roman" w:hAnsi="Times New Roman" w:cs="Times New Roman"/>
          <w:i/>
          <w:iCs/>
        </w:rPr>
        <w:t>.</w:t>
      </w:r>
      <w:r w:rsidRPr="004100CF">
        <w:rPr>
          <w:rFonts w:ascii="Times New Roman" w:hAnsi="Times New Roman" w:cs="Times New Roman"/>
        </w:rPr>
        <w:t xml:space="preserve"> </w:t>
      </w:r>
      <w:r w:rsidRPr="004100CF">
        <w:rPr>
          <w:rFonts w:ascii="Times New Roman" w:hAnsi="Times New Roman" w:cs="Times New Roman"/>
          <w:b/>
          <w:bCs/>
        </w:rPr>
        <w:t>2010</w:t>
      </w:r>
      <w:r w:rsidRPr="004100CF">
        <w:rPr>
          <w:rFonts w:ascii="Times New Roman" w:hAnsi="Times New Roman" w:cs="Times New Roman"/>
        </w:rPr>
        <w:t xml:space="preserve">, </w:t>
      </w:r>
      <w:r w:rsidRPr="004100CF">
        <w:rPr>
          <w:rFonts w:ascii="Times New Roman" w:hAnsi="Times New Roman" w:cs="Times New Roman"/>
          <w:i/>
          <w:iCs/>
        </w:rPr>
        <w:t>6</w:t>
      </w:r>
      <w:r w:rsidRPr="004100CF">
        <w:rPr>
          <w:rFonts w:ascii="Times New Roman" w:hAnsi="Times New Roman" w:cs="Times New Roman"/>
        </w:rPr>
        <w:t xml:space="preserve"> (4), 1358–1368. https://doi.org/10.1021/ct9004678.</w:t>
      </w:r>
    </w:p>
    <w:p w14:paraId="18B66418"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(61)</w:t>
      </w:r>
      <w:r w:rsidRPr="004100CF">
        <w:rPr>
          <w:rFonts w:ascii="Times New Roman" w:hAnsi="Times New Roman" w:cs="Times New Roman"/>
        </w:rPr>
        <w:tab/>
      </w:r>
      <w:proofErr w:type="spellStart"/>
      <w:r w:rsidRPr="004100CF">
        <w:rPr>
          <w:rFonts w:ascii="Times New Roman" w:hAnsi="Times New Roman" w:cs="Times New Roman"/>
        </w:rPr>
        <w:t>Bastys</w:t>
      </w:r>
      <w:proofErr w:type="spellEnd"/>
      <w:r w:rsidRPr="004100CF">
        <w:rPr>
          <w:rFonts w:ascii="Times New Roman" w:hAnsi="Times New Roman" w:cs="Times New Roman"/>
        </w:rPr>
        <w:t xml:space="preserve">, T.; </w:t>
      </w:r>
      <w:proofErr w:type="spellStart"/>
      <w:r w:rsidRPr="004100CF">
        <w:rPr>
          <w:rFonts w:ascii="Times New Roman" w:hAnsi="Times New Roman" w:cs="Times New Roman"/>
        </w:rPr>
        <w:t>Gapsys</w:t>
      </w:r>
      <w:proofErr w:type="spellEnd"/>
      <w:r w:rsidRPr="004100CF">
        <w:rPr>
          <w:rFonts w:ascii="Times New Roman" w:hAnsi="Times New Roman" w:cs="Times New Roman"/>
        </w:rPr>
        <w:t xml:space="preserve">, V.; Doncheva, N. T.; Kaiser, R.; de Groot, B. L.; Kalinina, O. V. Consistent Prediction of Mutation Effect on Drug Binding in HIV‑1 Protease Using Alchemical Calculations. </w:t>
      </w:r>
      <w:r w:rsidRPr="004100CF">
        <w:rPr>
          <w:rFonts w:ascii="Times New Roman" w:hAnsi="Times New Roman" w:cs="Times New Roman"/>
          <w:i/>
          <w:iCs/>
        </w:rPr>
        <w:t xml:space="preserve">J. Chem. Theory </w:t>
      </w:r>
      <w:proofErr w:type="spellStart"/>
      <w:r w:rsidRPr="004100CF">
        <w:rPr>
          <w:rFonts w:ascii="Times New Roman" w:hAnsi="Times New Roman" w:cs="Times New Roman"/>
          <w:i/>
          <w:iCs/>
        </w:rPr>
        <w:t>Comput</w:t>
      </w:r>
      <w:proofErr w:type="spellEnd"/>
      <w:r w:rsidRPr="004100CF">
        <w:rPr>
          <w:rFonts w:ascii="Times New Roman" w:hAnsi="Times New Roman" w:cs="Times New Roman"/>
          <w:i/>
          <w:iCs/>
        </w:rPr>
        <w:t>.</w:t>
      </w:r>
      <w:r w:rsidRPr="004100CF">
        <w:rPr>
          <w:rFonts w:ascii="Times New Roman" w:hAnsi="Times New Roman" w:cs="Times New Roman"/>
        </w:rPr>
        <w:t xml:space="preserve"> </w:t>
      </w:r>
      <w:r w:rsidRPr="004100CF">
        <w:rPr>
          <w:rFonts w:ascii="Times New Roman" w:hAnsi="Times New Roman" w:cs="Times New Roman"/>
          <w:b/>
          <w:bCs/>
        </w:rPr>
        <w:t>2018</w:t>
      </w:r>
      <w:r w:rsidRPr="004100CF">
        <w:rPr>
          <w:rFonts w:ascii="Times New Roman" w:hAnsi="Times New Roman" w:cs="Times New Roman"/>
        </w:rPr>
        <w:t xml:space="preserve">, </w:t>
      </w:r>
      <w:r w:rsidRPr="004100CF">
        <w:rPr>
          <w:rFonts w:ascii="Times New Roman" w:hAnsi="Times New Roman" w:cs="Times New Roman"/>
          <w:i/>
          <w:iCs/>
        </w:rPr>
        <w:t>14</w:t>
      </w:r>
      <w:r w:rsidRPr="004100CF">
        <w:rPr>
          <w:rFonts w:ascii="Times New Roman" w:hAnsi="Times New Roman" w:cs="Times New Roman"/>
        </w:rPr>
        <w:t xml:space="preserve"> (7), 3397–3408. https://doi.org/10.1021/acs.jctc.7b01109.</w:t>
      </w:r>
    </w:p>
    <w:p w14:paraId="282AAB83"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(62)</w:t>
      </w:r>
      <w:r w:rsidRPr="004100CF">
        <w:rPr>
          <w:rFonts w:ascii="Times New Roman" w:hAnsi="Times New Roman" w:cs="Times New Roman"/>
        </w:rPr>
        <w:tab/>
      </w:r>
      <w:proofErr w:type="spellStart"/>
      <w:r w:rsidRPr="004100CF">
        <w:rPr>
          <w:rFonts w:ascii="Times New Roman" w:hAnsi="Times New Roman" w:cs="Times New Roman"/>
        </w:rPr>
        <w:t>Bastys</w:t>
      </w:r>
      <w:proofErr w:type="spellEnd"/>
      <w:r w:rsidRPr="004100CF">
        <w:rPr>
          <w:rFonts w:ascii="Times New Roman" w:hAnsi="Times New Roman" w:cs="Times New Roman"/>
        </w:rPr>
        <w:t xml:space="preserve">, T.; </w:t>
      </w:r>
      <w:proofErr w:type="spellStart"/>
      <w:r w:rsidRPr="004100CF">
        <w:rPr>
          <w:rFonts w:ascii="Times New Roman" w:hAnsi="Times New Roman" w:cs="Times New Roman"/>
        </w:rPr>
        <w:t>Gapsys</w:t>
      </w:r>
      <w:proofErr w:type="spellEnd"/>
      <w:r w:rsidRPr="004100CF">
        <w:rPr>
          <w:rFonts w:ascii="Times New Roman" w:hAnsi="Times New Roman" w:cs="Times New Roman"/>
        </w:rPr>
        <w:t xml:space="preserve">, V.; Walter, H.; Heger, E.; Doncheva, N. T.; Kaiser, R.; de Groot, B. L.; Kalinina, O. V. Non-Active Site Mutants of HIV-1 Protease Influence Resistance and </w:t>
      </w:r>
      <w:proofErr w:type="spellStart"/>
      <w:r w:rsidRPr="004100CF">
        <w:rPr>
          <w:rFonts w:ascii="Times New Roman" w:hAnsi="Times New Roman" w:cs="Times New Roman"/>
        </w:rPr>
        <w:t>Sensitisation</w:t>
      </w:r>
      <w:proofErr w:type="spellEnd"/>
      <w:r w:rsidRPr="004100CF">
        <w:rPr>
          <w:rFonts w:ascii="Times New Roman" w:hAnsi="Times New Roman" w:cs="Times New Roman"/>
        </w:rPr>
        <w:t xml:space="preserve"> towards Protease Inhibitors. </w:t>
      </w:r>
      <w:r w:rsidRPr="004100CF">
        <w:rPr>
          <w:rFonts w:ascii="Times New Roman" w:hAnsi="Times New Roman" w:cs="Times New Roman"/>
          <w:i/>
          <w:iCs/>
        </w:rPr>
        <w:t>Retrovirology</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17</w:t>
      </w:r>
      <w:r w:rsidRPr="004100CF">
        <w:rPr>
          <w:rFonts w:ascii="Times New Roman" w:hAnsi="Times New Roman" w:cs="Times New Roman"/>
        </w:rPr>
        <w:t xml:space="preserve"> (1), 13. https://doi.org/10.1186/s12977-020-00520-6.</w:t>
      </w:r>
    </w:p>
    <w:p w14:paraId="08027C5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(63)</w:t>
      </w:r>
      <w:r w:rsidRPr="004100CF">
        <w:rPr>
          <w:rFonts w:ascii="Times New Roman" w:hAnsi="Times New Roman" w:cs="Times New Roman"/>
        </w:rPr>
        <w:tab/>
        <w:t xml:space="preserve">Sun, Q.; Levy, R. M.; Kirby, K. A.; Wang, Z.; </w:t>
      </w:r>
      <w:proofErr w:type="spellStart"/>
      <w:r w:rsidRPr="004100CF">
        <w:rPr>
          <w:rFonts w:ascii="Times New Roman" w:hAnsi="Times New Roman" w:cs="Times New Roman"/>
        </w:rPr>
        <w:t>Sarafianos</w:t>
      </w:r>
      <w:proofErr w:type="spellEnd"/>
      <w:r w:rsidRPr="004100CF">
        <w:rPr>
          <w:rFonts w:ascii="Times New Roman" w:hAnsi="Times New Roman" w:cs="Times New Roman"/>
        </w:rPr>
        <w:t xml:space="preserve">, S. G.; Deng, N. Molecular Dynamics Free Energy Simulations Reveal the Mechanism for the Antiviral Resistance of the M66I HIV-1 Capsid Mutation. </w:t>
      </w:r>
      <w:r w:rsidRPr="004100CF">
        <w:rPr>
          <w:rFonts w:ascii="Times New Roman" w:hAnsi="Times New Roman" w:cs="Times New Roman"/>
          <w:i/>
          <w:iCs/>
        </w:rPr>
        <w:t>Viruses</w:t>
      </w:r>
      <w:r w:rsidRPr="004100CF">
        <w:rPr>
          <w:rFonts w:ascii="Times New Roman" w:hAnsi="Times New Roman" w:cs="Times New Roman"/>
        </w:rPr>
        <w:t xml:space="preserve"> </w:t>
      </w:r>
      <w:r w:rsidRPr="004100CF">
        <w:rPr>
          <w:rFonts w:ascii="Times New Roman" w:hAnsi="Times New Roman" w:cs="Times New Roman"/>
          <w:b/>
          <w:bCs/>
        </w:rPr>
        <w:t>2021</w:t>
      </w:r>
      <w:r w:rsidRPr="004100CF">
        <w:rPr>
          <w:rFonts w:ascii="Times New Roman" w:hAnsi="Times New Roman" w:cs="Times New Roman"/>
        </w:rPr>
        <w:t xml:space="preserve">, </w:t>
      </w:r>
      <w:r w:rsidRPr="004100CF">
        <w:rPr>
          <w:rFonts w:ascii="Times New Roman" w:hAnsi="Times New Roman" w:cs="Times New Roman"/>
          <w:i/>
          <w:iCs/>
        </w:rPr>
        <w:t>13</w:t>
      </w:r>
      <w:r w:rsidRPr="004100CF">
        <w:rPr>
          <w:rFonts w:ascii="Times New Roman" w:hAnsi="Times New Roman" w:cs="Times New Roman"/>
        </w:rPr>
        <w:t xml:space="preserve"> (5), 920. https://doi.org/10.3390/v13050920.</w:t>
      </w:r>
    </w:p>
    <w:p w14:paraId="6267B39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(64)</w:t>
      </w:r>
      <w:r w:rsidRPr="004100CF">
        <w:rPr>
          <w:rFonts w:ascii="Times New Roman" w:hAnsi="Times New Roman" w:cs="Times New Roman"/>
        </w:rPr>
        <w:tab/>
        <w:t xml:space="preserve">Li, M.; Oliveira Passos, D.; Shan, Z.; Smith, S. J.; Sun, Q.; Biswas, A.; Choudhuri, I.; </w:t>
      </w:r>
      <w:proofErr w:type="spellStart"/>
      <w:r w:rsidRPr="004100CF">
        <w:rPr>
          <w:rFonts w:ascii="Times New Roman" w:hAnsi="Times New Roman" w:cs="Times New Roman"/>
        </w:rPr>
        <w:t>Strutzenberg</w:t>
      </w:r>
      <w:proofErr w:type="spellEnd"/>
      <w:r w:rsidRPr="004100CF">
        <w:rPr>
          <w:rFonts w:ascii="Times New Roman" w:hAnsi="Times New Roman" w:cs="Times New Roman"/>
        </w:rPr>
        <w:t xml:space="preserve">, T. S.; Haldane, A.; Deng, N.; Li, Z.; Zhao, X. Z.; Briganti, L.; Kvaratskhelia, M.; Burke, T. R.; Levy, R. M.; Hughes, S. H.; Craigie, R.; </w:t>
      </w:r>
      <w:proofErr w:type="spellStart"/>
      <w:r w:rsidRPr="004100CF">
        <w:rPr>
          <w:rFonts w:ascii="Times New Roman" w:hAnsi="Times New Roman" w:cs="Times New Roman"/>
        </w:rPr>
        <w:t>Lyumkis</w:t>
      </w:r>
      <w:proofErr w:type="spellEnd"/>
      <w:r w:rsidRPr="004100CF">
        <w:rPr>
          <w:rFonts w:ascii="Times New Roman" w:hAnsi="Times New Roman" w:cs="Times New Roman"/>
        </w:rPr>
        <w:t xml:space="preserve">, D. Mechanisms of HIV-1 Integrase Resistance to Dolutegravir and Potent Inhibition of Drug-Resistant Variants. </w:t>
      </w:r>
      <w:r w:rsidRPr="004100CF">
        <w:rPr>
          <w:rFonts w:ascii="Times New Roman" w:hAnsi="Times New Roman" w:cs="Times New Roman"/>
          <w:i/>
          <w:iCs/>
        </w:rPr>
        <w:t>Science Advances</w:t>
      </w:r>
      <w:r w:rsidRPr="004100CF">
        <w:rPr>
          <w:rFonts w:ascii="Times New Roman" w:hAnsi="Times New Roman" w:cs="Times New Roman"/>
        </w:rPr>
        <w:t xml:space="preserve"> </w:t>
      </w:r>
      <w:r w:rsidRPr="004100CF">
        <w:rPr>
          <w:rFonts w:ascii="Times New Roman" w:hAnsi="Times New Roman" w:cs="Times New Roman"/>
          <w:b/>
          <w:bCs/>
        </w:rPr>
        <w:t>2023</w:t>
      </w:r>
      <w:r w:rsidRPr="004100CF">
        <w:rPr>
          <w:rFonts w:ascii="Times New Roman" w:hAnsi="Times New Roman" w:cs="Times New Roman"/>
        </w:rPr>
        <w:t xml:space="preserve">, </w:t>
      </w:r>
      <w:r w:rsidRPr="004100CF">
        <w:rPr>
          <w:rFonts w:ascii="Times New Roman" w:hAnsi="Times New Roman" w:cs="Times New Roman"/>
          <w:i/>
          <w:iCs/>
        </w:rPr>
        <w:t>9</w:t>
      </w:r>
      <w:r w:rsidRPr="004100CF">
        <w:rPr>
          <w:rFonts w:ascii="Times New Roman" w:hAnsi="Times New Roman" w:cs="Times New Roman"/>
        </w:rPr>
        <w:t xml:space="preserve"> (29), eadg5953. https://doi.org/10.1126/sciadv.adg5953.</w:t>
      </w:r>
    </w:p>
    <w:p w14:paraId="3F62BB32"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(65)</w:t>
      </w:r>
      <w:r w:rsidRPr="004100CF">
        <w:rPr>
          <w:rFonts w:ascii="Times New Roman" w:hAnsi="Times New Roman" w:cs="Times New Roman"/>
        </w:rPr>
        <w:tab/>
        <w:t xml:space="preserve">Hauser, K.; Negron, C.; Albanese, S. K.; Ray, S.; Steinbrecher, T.; Abel, R.; </w:t>
      </w:r>
      <w:proofErr w:type="spellStart"/>
      <w:r w:rsidRPr="004100CF">
        <w:rPr>
          <w:rFonts w:ascii="Times New Roman" w:hAnsi="Times New Roman" w:cs="Times New Roman"/>
        </w:rPr>
        <w:t>Chodera</w:t>
      </w:r>
      <w:proofErr w:type="spellEnd"/>
      <w:r w:rsidRPr="004100CF">
        <w:rPr>
          <w:rFonts w:ascii="Times New Roman" w:hAnsi="Times New Roman" w:cs="Times New Roman"/>
        </w:rPr>
        <w:t xml:space="preserve">, J. D.; Wang, L. Predicting Resistance of Clinical Abl Mutations to Targeted Kinase Inhibitors Using Alchemical Free-Energy Calculations. </w:t>
      </w:r>
      <w:r w:rsidRPr="004100CF">
        <w:rPr>
          <w:rFonts w:ascii="Times New Roman" w:hAnsi="Times New Roman" w:cs="Times New Roman"/>
          <w:i/>
          <w:iCs/>
        </w:rPr>
        <w:t>Commun Biol</w:t>
      </w:r>
      <w:r w:rsidRPr="004100CF">
        <w:rPr>
          <w:rFonts w:ascii="Times New Roman" w:hAnsi="Times New Roman" w:cs="Times New Roman"/>
        </w:rPr>
        <w:t xml:space="preserve"> </w:t>
      </w:r>
      <w:r w:rsidRPr="004100CF">
        <w:rPr>
          <w:rFonts w:ascii="Times New Roman" w:hAnsi="Times New Roman" w:cs="Times New Roman"/>
          <w:b/>
          <w:bCs/>
        </w:rPr>
        <w:t>2018</w:t>
      </w:r>
      <w:r w:rsidRPr="004100CF">
        <w:rPr>
          <w:rFonts w:ascii="Times New Roman" w:hAnsi="Times New Roman" w:cs="Times New Roman"/>
        </w:rPr>
        <w:t xml:space="preserve">, </w:t>
      </w:r>
      <w:r w:rsidRPr="004100CF">
        <w:rPr>
          <w:rFonts w:ascii="Times New Roman" w:hAnsi="Times New Roman" w:cs="Times New Roman"/>
          <w:i/>
          <w:iCs/>
        </w:rPr>
        <w:t>1</w:t>
      </w:r>
      <w:r w:rsidRPr="004100CF">
        <w:rPr>
          <w:rFonts w:ascii="Times New Roman" w:hAnsi="Times New Roman" w:cs="Times New Roman"/>
        </w:rPr>
        <w:t xml:space="preserve"> (1), 70. https://doi.org/10.1038/s42003-018-0075-x.</w:t>
      </w:r>
    </w:p>
    <w:p w14:paraId="49B43E3C"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lastRenderedPageBreak/>
        <w:t>(66)</w:t>
      </w:r>
      <w:r w:rsidRPr="004100CF">
        <w:rPr>
          <w:rFonts w:ascii="Times New Roman" w:hAnsi="Times New Roman" w:cs="Times New Roman"/>
        </w:rPr>
        <w:tab/>
        <w:t xml:space="preserve">Nagarajan, A.; Amberg-Johnson, K.; Paull, E.; Huang, K.; </w:t>
      </w:r>
      <w:proofErr w:type="spellStart"/>
      <w:r w:rsidRPr="004100CF">
        <w:rPr>
          <w:rFonts w:ascii="Times New Roman" w:hAnsi="Times New Roman" w:cs="Times New Roman"/>
        </w:rPr>
        <w:t>Ghanakota</w:t>
      </w:r>
      <w:proofErr w:type="spellEnd"/>
      <w:r w:rsidRPr="004100CF">
        <w:rPr>
          <w:rFonts w:ascii="Times New Roman" w:hAnsi="Times New Roman" w:cs="Times New Roman"/>
        </w:rPr>
        <w:t xml:space="preserve">, P.; </w:t>
      </w:r>
      <w:proofErr w:type="spellStart"/>
      <w:r w:rsidRPr="004100CF">
        <w:rPr>
          <w:rFonts w:ascii="Times New Roman" w:hAnsi="Times New Roman" w:cs="Times New Roman"/>
        </w:rPr>
        <w:t>Chandrasinghe</w:t>
      </w:r>
      <w:proofErr w:type="spellEnd"/>
      <w:r w:rsidRPr="004100CF">
        <w:rPr>
          <w:rFonts w:ascii="Times New Roman" w:hAnsi="Times New Roman" w:cs="Times New Roman"/>
        </w:rPr>
        <w:t xml:space="preserve">, A.; Chief Elk, J.; Sampson, J. M.; Wang, L.; Abel, R.; Albanese, S. K. Predicting Resistance to Small Molecule Kinase Inhibitors. </w:t>
      </w:r>
      <w:r w:rsidRPr="004100CF">
        <w:rPr>
          <w:rFonts w:ascii="Times New Roman" w:hAnsi="Times New Roman" w:cs="Times New Roman"/>
          <w:i/>
          <w:iCs/>
        </w:rPr>
        <w:t>J. Chem. Inf. Model.</w:t>
      </w:r>
      <w:r w:rsidRPr="004100CF">
        <w:rPr>
          <w:rFonts w:ascii="Times New Roman" w:hAnsi="Times New Roman" w:cs="Times New Roman"/>
        </w:rPr>
        <w:t xml:space="preserve"> </w:t>
      </w:r>
      <w:r w:rsidRPr="004100CF">
        <w:rPr>
          <w:rFonts w:ascii="Times New Roman" w:hAnsi="Times New Roman" w:cs="Times New Roman"/>
          <w:b/>
          <w:bCs/>
        </w:rPr>
        <w:t>2025</w:t>
      </w:r>
      <w:r w:rsidRPr="004100CF">
        <w:rPr>
          <w:rFonts w:ascii="Times New Roman" w:hAnsi="Times New Roman" w:cs="Times New Roman"/>
        </w:rPr>
        <w:t xml:space="preserve">, </w:t>
      </w:r>
      <w:r w:rsidRPr="004100CF">
        <w:rPr>
          <w:rFonts w:ascii="Times New Roman" w:hAnsi="Times New Roman" w:cs="Times New Roman"/>
          <w:i/>
          <w:iCs/>
        </w:rPr>
        <w:t>65</w:t>
      </w:r>
      <w:r w:rsidRPr="004100CF">
        <w:rPr>
          <w:rFonts w:ascii="Times New Roman" w:hAnsi="Times New Roman" w:cs="Times New Roman"/>
        </w:rPr>
        <w:t xml:space="preserve"> (5), 2543–2557. https://doi.org/10.1021/acs.jcim.4c02313.</w:t>
      </w:r>
    </w:p>
    <w:p w14:paraId="22C4722B"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(67)</w:t>
      </w:r>
      <w:r w:rsidRPr="004100CF">
        <w:rPr>
          <w:rFonts w:ascii="Times New Roman" w:hAnsi="Times New Roman" w:cs="Times New Roman"/>
        </w:rPr>
        <w:tab/>
        <w:t xml:space="preserve">Wang, L.; Wu, Y.; Deng, Y.; Kim, B.; Pierce, L.; Krilov, G.; </w:t>
      </w:r>
      <w:proofErr w:type="spellStart"/>
      <w:r w:rsidRPr="004100CF">
        <w:rPr>
          <w:rFonts w:ascii="Times New Roman" w:hAnsi="Times New Roman" w:cs="Times New Roman"/>
        </w:rPr>
        <w:t>Lupyan</w:t>
      </w:r>
      <w:proofErr w:type="spellEnd"/>
      <w:r w:rsidRPr="004100CF">
        <w:rPr>
          <w:rFonts w:ascii="Times New Roman" w:hAnsi="Times New Roman" w:cs="Times New Roman"/>
        </w:rPr>
        <w:t xml:space="preserve">, D.; Robinson, S.; Dahlgren, M. K.; Greenwood, J.; Romero, D. L.; Masse, C.; Knight, J. L.; Steinbrecher, T.; </w:t>
      </w:r>
      <w:proofErr w:type="spellStart"/>
      <w:r w:rsidRPr="004100CF">
        <w:rPr>
          <w:rFonts w:ascii="Times New Roman" w:hAnsi="Times New Roman" w:cs="Times New Roman"/>
        </w:rPr>
        <w:t>Beuming</w:t>
      </w:r>
      <w:proofErr w:type="spellEnd"/>
      <w:r w:rsidRPr="004100CF">
        <w:rPr>
          <w:rFonts w:ascii="Times New Roman" w:hAnsi="Times New Roman" w:cs="Times New Roman"/>
        </w:rPr>
        <w:t xml:space="preserve">, T.; Damm, W.; Harder, E.; Sherman, W.; Brewer, M.; Wester, R.; Murcko, M.; Frye, L.; Farid, R.; Lin, T.; Mobley, D. L.; Jorgensen, W. L.; Berne, B. J.; Friesner, R. A.; Abel, R. Accurate and Reliable Prediction of Relative Ligand Binding Potency in Prospective Drug Discovery by Way of a Modern Free-Energy Calculation Protocol and Force Field. </w:t>
      </w:r>
      <w:r w:rsidRPr="004100CF">
        <w:rPr>
          <w:rFonts w:ascii="Times New Roman" w:hAnsi="Times New Roman" w:cs="Times New Roman"/>
          <w:i/>
          <w:iCs/>
        </w:rPr>
        <w:t>Journal American Chemical Society</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137</w:t>
      </w:r>
      <w:r w:rsidRPr="004100CF">
        <w:rPr>
          <w:rFonts w:ascii="Times New Roman" w:hAnsi="Times New Roman" w:cs="Times New Roman"/>
        </w:rPr>
        <w:t xml:space="preserve"> (7), 2695–2703. https://doi.org/10.1021/ja512751q.</w:t>
      </w:r>
    </w:p>
    <w:p w14:paraId="655CA473"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(68)</w:t>
      </w:r>
      <w:r w:rsidRPr="004100CF">
        <w:rPr>
          <w:rFonts w:ascii="Times New Roman" w:hAnsi="Times New Roman" w:cs="Times New Roman"/>
        </w:rPr>
        <w:tab/>
        <w:t xml:space="preserve">Schindler, C. E. M.; Baumann, H.; Blum, A.; </w:t>
      </w:r>
      <w:proofErr w:type="spellStart"/>
      <w:r w:rsidRPr="004100CF">
        <w:rPr>
          <w:rFonts w:ascii="Times New Roman" w:hAnsi="Times New Roman" w:cs="Times New Roman"/>
        </w:rPr>
        <w:t>Böse</w:t>
      </w:r>
      <w:proofErr w:type="spellEnd"/>
      <w:r w:rsidRPr="004100CF">
        <w:rPr>
          <w:rFonts w:ascii="Times New Roman" w:hAnsi="Times New Roman" w:cs="Times New Roman"/>
        </w:rPr>
        <w:t xml:space="preserve">, D.; </w:t>
      </w:r>
      <w:proofErr w:type="spellStart"/>
      <w:r w:rsidRPr="004100CF">
        <w:rPr>
          <w:rFonts w:ascii="Times New Roman" w:hAnsi="Times New Roman" w:cs="Times New Roman"/>
        </w:rPr>
        <w:t>Buchstaller</w:t>
      </w:r>
      <w:proofErr w:type="spellEnd"/>
      <w:r w:rsidRPr="004100CF">
        <w:rPr>
          <w:rFonts w:ascii="Times New Roman" w:hAnsi="Times New Roman" w:cs="Times New Roman"/>
        </w:rPr>
        <w:t xml:space="preserve">, H.-P.; Burgdorf, L.; Cappel, D.; </w:t>
      </w:r>
      <w:proofErr w:type="spellStart"/>
      <w:r w:rsidRPr="004100CF">
        <w:rPr>
          <w:rFonts w:ascii="Times New Roman" w:hAnsi="Times New Roman" w:cs="Times New Roman"/>
        </w:rPr>
        <w:t>Chekler</w:t>
      </w:r>
      <w:proofErr w:type="spellEnd"/>
      <w:r w:rsidRPr="004100CF">
        <w:rPr>
          <w:rFonts w:ascii="Times New Roman" w:hAnsi="Times New Roman" w:cs="Times New Roman"/>
        </w:rPr>
        <w:t xml:space="preserve">, E.; </w:t>
      </w:r>
      <w:proofErr w:type="spellStart"/>
      <w:r w:rsidRPr="004100CF">
        <w:rPr>
          <w:rFonts w:ascii="Times New Roman" w:hAnsi="Times New Roman" w:cs="Times New Roman"/>
        </w:rPr>
        <w:t>Czodrowski</w:t>
      </w:r>
      <w:proofErr w:type="spellEnd"/>
      <w:r w:rsidRPr="004100CF">
        <w:rPr>
          <w:rFonts w:ascii="Times New Roman" w:hAnsi="Times New Roman" w:cs="Times New Roman"/>
        </w:rPr>
        <w:t xml:space="preserve">, P.; Dorsch, D.; </w:t>
      </w:r>
      <w:proofErr w:type="spellStart"/>
      <w:r w:rsidRPr="004100CF">
        <w:rPr>
          <w:rFonts w:ascii="Times New Roman" w:hAnsi="Times New Roman" w:cs="Times New Roman"/>
        </w:rPr>
        <w:t>Eguida</w:t>
      </w:r>
      <w:proofErr w:type="spellEnd"/>
      <w:r w:rsidRPr="004100CF">
        <w:rPr>
          <w:rFonts w:ascii="Times New Roman" w:hAnsi="Times New Roman" w:cs="Times New Roman"/>
        </w:rPr>
        <w:t xml:space="preserve">, M. K. I.; Follows, B.; </w:t>
      </w:r>
      <w:proofErr w:type="spellStart"/>
      <w:r w:rsidRPr="004100CF">
        <w:rPr>
          <w:rFonts w:ascii="Times New Roman" w:hAnsi="Times New Roman" w:cs="Times New Roman"/>
        </w:rPr>
        <w:t>Fuchß</w:t>
      </w:r>
      <w:proofErr w:type="spellEnd"/>
      <w:r w:rsidRPr="004100CF">
        <w:rPr>
          <w:rFonts w:ascii="Times New Roman" w:hAnsi="Times New Roman" w:cs="Times New Roman"/>
        </w:rPr>
        <w:t xml:space="preserve">, T.; </w:t>
      </w:r>
      <w:proofErr w:type="spellStart"/>
      <w:r w:rsidRPr="004100CF">
        <w:rPr>
          <w:rFonts w:ascii="Times New Roman" w:hAnsi="Times New Roman" w:cs="Times New Roman"/>
        </w:rPr>
        <w:t>Grädler</w:t>
      </w:r>
      <w:proofErr w:type="spellEnd"/>
      <w:r w:rsidRPr="004100CF">
        <w:rPr>
          <w:rFonts w:ascii="Times New Roman" w:hAnsi="Times New Roman" w:cs="Times New Roman"/>
        </w:rPr>
        <w:t xml:space="preserve">, U.; Gunera, J.; Johnson, T.; Jorand Lebrun, C.; Karra, S.; Klein, M.; Knehans, T.; </w:t>
      </w:r>
      <w:proofErr w:type="spellStart"/>
      <w:r w:rsidRPr="004100CF">
        <w:rPr>
          <w:rFonts w:ascii="Times New Roman" w:hAnsi="Times New Roman" w:cs="Times New Roman"/>
        </w:rPr>
        <w:t>Koetzner</w:t>
      </w:r>
      <w:proofErr w:type="spellEnd"/>
      <w:r w:rsidRPr="004100CF">
        <w:rPr>
          <w:rFonts w:ascii="Times New Roman" w:hAnsi="Times New Roman" w:cs="Times New Roman"/>
        </w:rPr>
        <w:t xml:space="preserve">, L.; Krier, M.; Leiendecker, M.; Leuthner, B.; Li, L.; </w:t>
      </w:r>
      <w:proofErr w:type="spellStart"/>
      <w:r w:rsidRPr="004100CF">
        <w:rPr>
          <w:rFonts w:ascii="Times New Roman" w:hAnsi="Times New Roman" w:cs="Times New Roman"/>
        </w:rPr>
        <w:t>Mochalkin</w:t>
      </w:r>
      <w:proofErr w:type="spellEnd"/>
      <w:r w:rsidRPr="004100CF">
        <w:rPr>
          <w:rFonts w:ascii="Times New Roman" w:hAnsi="Times New Roman" w:cs="Times New Roman"/>
        </w:rPr>
        <w:t xml:space="preserve">, I.; Musil, D.; Neagu, C.; Rippmann, F.; Schiemann, K.; Schulz, R.; Steinbrecher, T.; Tanzer, E.-M.; </w:t>
      </w:r>
      <w:proofErr w:type="spellStart"/>
      <w:r w:rsidRPr="004100CF">
        <w:rPr>
          <w:rFonts w:ascii="Times New Roman" w:hAnsi="Times New Roman" w:cs="Times New Roman"/>
        </w:rPr>
        <w:t>Unzue</w:t>
      </w:r>
      <w:proofErr w:type="spellEnd"/>
      <w:r w:rsidRPr="004100CF">
        <w:rPr>
          <w:rFonts w:ascii="Times New Roman" w:hAnsi="Times New Roman" w:cs="Times New Roman"/>
        </w:rPr>
        <w:t xml:space="preserve"> Lopez, A.; </w:t>
      </w:r>
      <w:proofErr w:type="spellStart"/>
      <w:r w:rsidRPr="004100CF">
        <w:rPr>
          <w:rFonts w:ascii="Times New Roman" w:hAnsi="Times New Roman" w:cs="Times New Roman"/>
        </w:rPr>
        <w:t>Viacava</w:t>
      </w:r>
      <w:proofErr w:type="spellEnd"/>
      <w:r w:rsidRPr="004100CF">
        <w:rPr>
          <w:rFonts w:ascii="Times New Roman" w:hAnsi="Times New Roman" w:cs="Times New Roman"/>
        </w:rPr>
        <w:t xml:space="preserve"> Follis, A.; Wegener, A.; Kuhn, D. Large-Scale Assessment of Binding Free Energy Calculations in Active Drug Discovery Projects. </w:t>
      </w:r>
      <w:r w:rsidRPr="004100CF">
        <w:rPr>
          <w:rFonts w:ascii="Times New Roman" w:hAnsi="Times New Roman" w:cs="Times New Roman"/>
          <w:i/>
          <w:iCs/>
        </w:rPr>
        <w:t>J. Chem. Inf. Model.</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60</w:t>
      </w:r>
      <w:r w:rsidRPr="004100CF">
        <w:rPr>
          <w:rFonts w:ascii="Times New Roman" w:hAnsi="Times New Roman" w:cs="Times New Roman"/>
        </w:rPr>
        <w:t xml:space="preserve"> (11), 5457–5474. https://doi.org/10.1021/acs.jcim.0c00900.</w:t>
      </w:r>
    </w:p>
    <w:p w14:paraId="2E1DBEE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(69)</w:t>
      </w:r>
      <w:r w:rsidRPr="004100CF">
        <w:rPr>
          <w:rFonts w:ascii="Times New Roman" w:hAnsi="Times New Roman" w:cs="Times New Roman"/>
        </w:rPr>
        <w:tab/>
        <w:t xml:space="preserve">van der Kamp, M. W.; Mulholland, A. J. Combined Quantum Mechanics/Molecular Mechanics (QM/MM) Methods in Computational Enzymology. </w:t>
      </w:r>
      <w:r w:rsidRPr="004100CF">
        <w:rPr>
          <w:rFonts w:ascii="Times New Roman" w:hAnsi="Times New Roman" w:cs="Times New Roman"/>
          <w:i/>
          <w:iCs/>
        </w:rPr>
        <w:t>Biochemistry</w:t>
      </w:r>
      <w:r w:rsidRPr="004100CF">
        <w:rPr>
          <w:rFonts w:ascii="Times New Roman" w:hAnsi="Times New Roman" w:cs="Times New Roman"/>
        </w:rPr>
        <w:t xml:space="preserve"> </w:t>
      </w:r>
      <w:r w:rsidRPr="004100CF">
        <w:rPr>
          <w:rFonts w:ascii="Times New Roman" w:hAnsi="Times New Roman" w:cs="Times New Roman"/>
          <w:b/>
          <w:bCs/>
        </w:rPr>
        <w:t>2013</w:t>
      </w:r>
      <w:r w:rsidRPr="004100CF">
        <w:rPr>
          <w:rFonts w:ascii="Times New Roman" w:hAnsi="Times New Roman" w:cs="Times New Roman"/>
        </w:rPr>
        <w:t xml:space="preserve">, </w:t>
      </w:r>
      <w:r w:rsidRPr="004100CF">
        <w:rPr>
          <w:rFonts w:ascii="Times New Roman" w:hAnsi="Times New Roman" w:cs="Times New Roman"/>
          <w:i/>
          <w:iCs/>
        </w:rPr>
        <w:t>52</w:t>
      </w:r>
      <w:r w:rsidRPr="004100CF">
        <w:rPr>
          <w:rFonts w:ascii="Times New Roman" w:hAnsi="Times New Roman" w:cs="Times New Roman"/>
        </w:rPr>
        <w:t xml:space="preserve"> (16), 2708–2728. https://doi.org/10.1021/bi400215w.</w:t>
      </w:r>
    </w:p>
    <w:p w14:paraId="46313F5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(70)</w:t>
      </w:r>
      <w:r w:rsidRPr="004100CF">
        <w:rPr>
          <w:rFonts w:ascii="Times New Roman" w:hAnsi="Times New Roman" w:cs="Times New Roman"/>
        </w:rPr>
        <w:tab/>
        <w:t xml:space="preserve">Taguchi, M.; Oyama, R.; </w:t>
      </w:r>
      <w:proofErr w:type="spellStart"/>
      <w:r w:rsidRPr="004100CF">
        <w:rPr>
          <w:rFonts w:ascii="Times New Roman" w:hAnsi="Times New Roman" w:cs="Times New Roman"/>
        </w:rPr>
        <w:t>Kaneso</w:t>
      </w:r>
      <w:proofErr w:type="spellEnd"/>
      <w:r w:rsidRPr="004100CF">
        <w:rPr>
          <w:rFonts w:ascii="Times New Roman" w:hAnsi="Times New Roman" w:cs="Times New Roman"/>
        </w:rPr>
        <w:t xml:space="preserve">, M.; Hayashi, S. Hybrid QM/MM Free-Energy Evaluation of Drug-Resistant Mutational Effect on the Binding of an Inhibitor Indinavir to HIV‑1 Protease. </w:t>
      </w:r>
      <w:r w:rsidRPr="004100CF">
        <w:rPr>
          <w:rFonts w:ascii="Times New Roman" w:hAnsi="Times New Roman" w:cs="Times New Roman"/>
          <w:i/>
          <w:iCs/>
        </w:rPr>
        <w:t>J. Chem. Inf. Model.</w:t>
      </w:r>
      <w:r w:rsidRPr="004100CF">
        <w:rPr>
          <w:rFonts w:ascii="Times New Roman" w:hAnsi="Times New Roman" w:cs="Times New Roman"/>
        </w:rPr>
        <w:t xml:space="preserve"> </w:t>
      </w:r>
      <w:r w:rsidRPr="004100CF">
        <w:rPr>
          <w:rFonts w:ascii="Times New Roman" w:hAnsi="Times New Roman" w:cs="Times New Roman"/>
          <w:b/>
          <w:bCs/>
        </w:rPr>
        <w:t>2022</w:t>
      </w:r>
      <w:r w:rsidRPr="004100CF">
        <w:rPr>
          <w:rFonts w:ascii="Times New Roman" w:hAnsi="Times New Roman" w:cs="Times New Roman"/>
        </w:rPr>
        <w:t xml:space="preserve">, </w:t>
      </w:r>
      <w:r w:rsidRPr="004100CF">
        <w:rPr>
          <w:rFonts w:ascii="Times New Roman" w:hAnsi="Times New Roman" w:cs="Times New Roman"/>
          <w:i/>
          <w:iCs/>
        </w:rPr>
        <w:t>62</w:t>
      </w:r>
      <w:r w:rsidRPr="004100CF">
        <w:rPr>
          <w:rFonts w:ascii="Times New Roman" w:hAnsi="Times New Roman" w:cs="Times New Roman"/>
        </w:rPr>
        <w:t xml:space="preserve"> (5), 1328–1344. https://doi.org/10.1021/acs.jcim.1c01193.</w:t>
      </w:r>
    </w:p>
    <w:p w14:paraId="6A57D8E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(71)</w:t>
      </w:r>
      <w:r w:rsidRPr="004100CF">
        <w:rPr>
          <w:rFonts w:ascii="Times New Roman" w:hAnsi="Times New Roman" w:cs="Times New Roman"/>
        </w:rPr>
        <w:tab/>
        <w:t xml:space="preserve">Plattner, N.; Noé, F. Protein Conformational Plasticity and Complex Ligand-Binding Kinetics Explored by Atomistic Simulations and Markov Models. </w:t>
      </w:r>
      <w:r w:rsidRPr="004100CF">
        <w:rPr>
          <w:rFonts w:ascii="Times New Roman" w:hAnsi="Times New Roman" w:cs="Times New Roman"/>
          <w:i/>
          <w:iCs/>
        </w:rPr>
        <w:t>Nat Commun</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6</w:t>
      </w:r>
      <w:r w:rsidRPr="004100CF">
        <w:rPr>
          <w:rFonts w:ascii="Times New Roman" w:hAnsi="Times New Roman" w:cs="Times New Roman"/>
        </w:rPr>
        <w:t xml:space="preserve"> (1), 7653. https://doi.org/10.1038/ncomms8653.</w:t>
      </w:r>
    </w:p>
    <w:p w14:paraId="4727F54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(72)</w:t>
      </w:r>
      <w:r w:rsidRPr="004100CF">
        <w:rPr>
          <w:rFonts w:ascii="Times New Roman" w:hAnsi="Times New Roman" w:cs="Times New Roman"/>
        </w:rPr>
        <w:tab/>
        <w:t xml:space="preserve">Tiwary, P.; Limongelli, V.; </w:t>
      </w:r>
      <w:proofErr w:type="spellStart"/>
      <w:r w:rsidRPr="004100CF">
        <w:rPr>
          <w:rFonts w:ascii="Times New Roman" w:hAnsi="Times New Roman" w:cs="Times New Roman"/>
        </w:rPr>
        <w:t>Salvalaglio</w:t>
      </w:r>
      <w:proofErr w:type="spellEnd"/>
      <w:r w:rsidRPr="004100CF">
        <w:rPr>
          <w:rFonts w:ascii="Times New Roman" w:hAnsi="Times New Roman" w:cs="Times New Roman"/>
        </w:rPr>
        <w:t xml:space="preserve">, M.; Parrinello, M. Kinetics of Protein–Ligand Unbinding: Predicting Pathways, Rates, and Rate-Limiting Steps. </w:t>
      </w:r>
      <w:r w:rsidRPr="004100CF">
        <w:rPr>
          <w:rFonts w:ascii="Times New Roman" w:hAnsi="Times New Roman" w:cs="Times New Roman"/>
          <w:i/>
          <w:iCs/>
        </w:rPr>
        <w:t>Proceedings of the National Academy of Sciences</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112</w:t>
      </w:r>
      <w:r w:rsidRPr="004100CF">
        <w:rPr>
          <w:rFonts w:ascii="Times New Roman" w:hAnsi="Times New Roman" w:cs="Times New Roman"/>
        </w:rPr>
        <w:t xml:space="preserve"> (5), E386–E391. https://doi.org/10.1073/pnas.1424461112.</w:t>
      </w:r>
    </w:p>
    <w:p w14:paraId="62F9477C"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(73)</w:t>
      </w:r>
      <w:r w:rsidRPr="004100CF">
        <w:rPr>
          <w:rFonts w:ascii="Times New Roman" w:hAnsi="Times New Roman" w:cs="Times New Roman"/>
        </w:rPr>
        <w:tab/>
        <w:t xml:space="preserve">Jagger, B. R.; Ojha, A. A.; Amaro, R. E. Predicting Ligand Binding Kinetics Using a Markovian </w:t>
      </w:r>
      <w:proofErr w:type="spellStart"/>
      <w:r w:rsidRPr="004100CF">
        <w:rPr>
          <w:rFonts w:ascii="Times New Roman" w:hAnsi="Times New Roman" w:cs="Times New Roman"/>
        </w:rPr>
        <w:t>Milestoning</w:t>
      </w:r>
      <w:proofErr w:type="spellEnd"/>
      <w:r w:rsidRPr="004100CF">
        <w:rPr>
          <w:rFonts w:ascii="Times New Roman" w:hAnsi="Times New Roman" w:cs="Times New Roman"/>
        </w:rPr>
        <w:t xml:space="preserve"> with Voronoi Tessellations Multiscale Approach. </w:t>
      </w:r>
      <w:r w:rsidRPr="004100CF">
        <w:rPr>
          <w:rFonts w:ascii="Times New Roman" w:hAnsi="Times New Roman" w:cs="Times New Roman"/>
          <w:i/>
          <w:iCs/>
        </w:rPr>
        <w:t xml:space="preserve">J. Chem. Theory </w:t>
      </w:r>
      <w:proofErr w:type="spellStart"/>
      <w:r w:rsidRPr="004100CF">
        <w:rPr>
          <w:rFonts w:ascii="Times New Roman" w:hAnsi="Times New Roman" w:cs="Times New Roman"/>
          <w:i/>
          <w:iCs/>
        </w:rPr>
        <w:t>Comput</w:t>
      </w:r>
      <w:proofErr w:type="spellEnd"/>
      <w:r w:rsidRPr="004100CF">
        <w:rPr>
          <w:rFonts w:ascii="Times New Roman" w:hAnsi="Times New Roman" w:cs="Times New Roman"/>
          <w:i/>
          <w:iCs/>
        </w:rPr>
        <w:t>.</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16</w:t>
      </w:r>
      <w:r w:rsidRPr="004100CF">
        <w:rPr>
          <w:rFonts w:ascii="Times New Roman" w:hAnsi="Times New Roman" w:cs="Times New Roman"/>
        </w:rPr>
        <w:t xml:space="preserve"> (8), 5348–5357. https://doi.org/10.1021/acs.jctc.0c00495.</w:t>
      </w:r>
    </w:p>
    <w:p w14:paraId="10383DB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(74)</w:t>
      </w:r>
      <w:r w:rsidRPr="004100CF">
        <w:rPr>
          <w:rFonts w:ascii="Times New Roman" w:hAnsi="Times New Roman" w:cs="Times New Roman"/>
        </w:rPr>
        <w:tab/>
        <w:t xml:space="preserve">Corso, G.; </w:t>
      </w:r>
      <w:proofErr w:type="spellStart"/>
      <w:r w:rsidRPr="004100CF">
        <w:rPr>
          <w:rFonts w:ascii="Times New Roman" w:hAnsi="Times New Roman" w:cs="Times New Roman"/>
        </w:rPr>
        <w:t>Stärk</w:t>
      </w:r>
      <w:proofErr w:type="spellEnd"/>
      <w:r w:rsidRPr="004100CF">
        <w:rPr>
          <w:rFonts w:ascii="Times New Roman" w:hAnsi="Times New Roman" w:cs="Times New Roman"/>
        </w:rPr>
        <w:t xml:space="preserve">, H.; Jing, B.; Barzilay, R.; Jaakkola, T. </w:t>
      </w:r>
      <w:proofErr w:type="spellStart"/>
      <w:r w:rsidRPr="004100CF">
        <w:rPr>
          <w:rFonts w:ascii="Times New Roman" w:hAnsi="Times New Roman" w:cs="Times New Roman"/>
        </w:rPr>
        <w:t>DiffDock</w:t>
      </w:r>
      <w:proofErr w:type="spellEnd"/>
      <w:r w:rsidRPr="004100CF">
        <w:rPr>
          <w:rFonts w:ascii="Times New Roman" w:hAnsi="Times New Roman" w:cs="Times New Roman"/>
        </w:rPr>
        <w:t>: Diffusion Steps, Twists, and Turns for Molecular Docking. arXiv February 11, 2023. https://doi.org/10.48550/arXiv.2210.01776.</w:t>
      </w:r>
    </w:p>
    <w:p w14:paraId="58A4248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(75)</w:t>
      </w:r>
      <w:r w:rsidRPr="004100CF">
        <w:rPr>
          <w:rFonts w:ascii="Times New Roman" w:hAnsi="Times New Roman" w:cs="Times New Roman"/>
        </w:rPr>
        <w:tab/>
        <w:t xml:space="preserve">Wohlwend, J.; Corso, G.; Passaro, S.; Getz, N.; Reveiz, M.; Leidal, K.; Swiderski, W.; Atkinson, L.; </w:t>
      </w:r>
      <w:proofErr w:type="spellStart"/>
      <w:r w:rsidRPr="004100CF">
        <w:rPr>
          <w:rFonts w:ascii="Times New Roman" w:hAnsi="Times New Roman" w:cs="Times New Roman"/>
        </w:rPr>
        <w:t>Portnoi</w:t>
      </w:r>
      <w:proofErr w:type="spellEnd"/>
      <w:r w:rsidRPr="004100CF">
        <w:rPr>
          <w:rFonts w:ascii="Times New Roman" w:hAnsi="Times New Roman" w:cs="Times New Roman"/>
        </w:rPr>
        <w:t xml:space="preserve">, T.; Chinn, I.; </w:t>
      </w:r>
      <w:proofErr w:type="spellStart"/>
      <w:r w:rsidRPr="004100CF">
        <w:rPr>
          <w:rFonts w:ascii="Times New Roman" w:hAnsi="Times New Roman" w:cs="Times New Roman"/>
        </w:rPr>
        <w:t>Silterra</w:t>
      </w:r>
      <w:proofErr w:type="spellEnd"/>
      <w:r w:rsidRPr="004100CF">
        <w:rPr>
          <w:rFonts w:ascii="Times New Roman" w:hAnsi="Times New Roman" w:cs="Times New Roman"/>
        </w:rPr>
        <w:t>, J.; Jaakkola, T.; Barzilay, R. Boltz-1 Democratizing Biomolecular Interaction Modeling. bioRxiv May 6, 2025, p 2024.11.19.624167. https://doi.org/10.1101/2024.11.19.624167.</w:t>
      </w:r>
    </w:p>
    <w:p w14:paraId="2C1AAF88"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(76)</w:t>
      </w:r>
      <w:r w:rsidRPr="004100CF">
        <w:rPr>
          <w:rFonts w:ascii="Times New Roman" w:hAnsi="Times New Roman" w:cs="Times New Roman"/>
        </w:rPr>
        <w:tab/>
        <w:t xml:space="preserve">Passaro, S.; Corso, G.; Wohlwend, J.; Reveiz, M.; Thaler, S.; Somnath, V. R.; Getz, N.; </w:t>
      </w:r>
      <w:proofErr w:type="spellStart"/>
      <w:r w:rsidRPr="004100CF">
        <w:rPr>
          <w:rFonts w:ascii="Times New Roman" w:hAnsi="Times New Roman" w:cs="Times New Roman"/>
        </w:rPr>
        <w:t>Portnoi</w:t>
      </w:r>
      <w:proofErr w:type="spellEnd"/>
      <w:r w:rsidRPr="004100CF">
        <w:rPr>
          <w:rFonts w:ascii="Times New Roman" w:hAnsi="Times New Roman" w:cs="Times New Roman"/>
        </w:rPr>
        <w:t xml:space="preserve">, T.; Roy, J.; Stark, H.; </w:t>
      </w:r>
      <w:proofErr w:type="spellStart"/>
      <w:r w:rsidRPr="004100CF">
        <w:rPr>
          <w:rFonts w:ascii="Times New Roman" w:hAnsi="Times New Roman" w:cs="Times New Roman"/>
        </w:rPr>
        <w:t>Kwabi</w:t>
      </w:r>
      <w:proofErr w:type="spellEnd"/>
      <w:r w:rsidRPr="004100CF">
        <w:rPr>
          <w:rFonts w:ascii="Times New Roman" w:hAnsi="Times New Roman" w:cs="Times New Roman"/>
        </w:rPr>
        <w:t xml:space="preserve">-Addo, D.; </w:t>
      </w:r>
      <w:proofErr w:type="spellStart"/>
      <w:r w:rsidRPr="004100CF">
        <w:rPr>
          <w:rFonts w:ascii="Times New Roman" w:hAnsi="Times New Roman" w:cs="Times New Roman"/>
        </w:rPr>
        <w:t>Beaini</w:t>
      </w:r>
      <w:proofErr w:type="spellEnd"/>
      <w:r w:rsidRPr="004100CF">
        <w:rPr>
          <w:rFonts w:ascii="Times New Roman" w:hAnsi="Times New Roman" w:cs="Times New Roman"/>
        </w:rPr>
        <w:t xml:space="preserve">, D.; Jaakkola, T.; Barzilay, R. </w:t>
      </w:r>
      <w:r w:rsidRPr="004100CF">
        <w:rPr>
          <w:rFonts w:ascii="Times New Roman" w:hAnsi="Times New Roman" w:cs="Times New Roman"/>
        </w:rPr>
        <w:lastRenderedPageBreak/>
        <w:t>Boltz-2: Towards Accurate and Efficient Binding Affinity Prediction. bioRxiv June 18, 2025, p 2025.06.14.659707. https://doi.org/10.1101/2025.06.14.659707.</w:t>
      </w:r>
    </w:p>
    <w:p w14:paraId="58013FE1" w14:textId="16CCAF61" w:rsidR="00574C6E" w:rsidRPr="004100CF" w:rsidRDefault="00574C6E" w:rsidP="00793866">
      <w:pPr>
        <w:pStyle w:val="Bibliography"/>
        <w:rPr>
          <w:rFonts w:ascii="Times New Roman" w:hAnsi="Times New Roman" w:cs="Times New Roman"/>
        </w:rPr>
      </w:pPr>
      <w:r w:rsidRPr="004100CF">
        <w:rPr>
          <w:rFonts w:ascii="Times New Roman" w:hAnsi="Times New Roman" w:cs="Times New Roman"/>
        </w:rPr>
        <w:fldChar w:fldCharType="end"/>
      </w:r>
    </w:p>
    <w:sectPr w:rsidR="00574C6E" w:rsidRPr="004100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610964"/>
    <w:multiLevelType w:val="hybridMultilevel"/>
    <w:tmpl w:val="98D6EA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651900">
    <w:abstractNumId w:val="1"/>
  </w:num>
  <w:num w:numId="2" w16cid:durableId="6678316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42"/>
    <w:rsid w:val="000062F9"/>
    <w:rsid w:val="000073C6"/>
    <w:rsid w:val="000412F0"/>
    <w:rsid w:val="0004553D"/>
    <w:rsid w:val="0006771E"/>
    <w:rsid w:val="000745F0"/>
    <w:rsid w:val="000B5278"/>
    <w:rsid w:val="000C3A23"/>
    <w:rsid w:val="000C66C6"/>
    <w:rsid w:val="000E15E2"/>
    <w:rsid w:val="000E2996"/>
    <w:rsid w:val="00100DCA"/>
    <w:rsid w:val="00106118"/>
    <w:rsid w:val="001521FB"/>
    <w:rsid w:val="001B25CB"/>
    <w:rsid w:val="001C4CE6"/>
    <w:rsid w:val="001D654C"/>
    <w:rsid w:val="00200876"/>
    <w:rsid w:val="00230627"/>
    <w:rsid w:val="00247D42"/>
    <w:rsid w:val="0025147D"/>
    <w:rsid w:val="002975D3"/>
    <w:rsid w:val="002C6515"/>
    <w:rsid w:val="002E236A"/>
    <w:rsid w:val="00327F04"/>
    <w:rsid w:val="00376843"/>
    <w:rsid w:val="003874B7"/>
    <w:rsid w:val="003D726F"/>
    <w:rsid w:val="003D7E51"/>
    <w:rsid w:val="003E5220"/>
    <w:rsid w:val="003F5FB4"/>
    <w:rsid w:val="004100CF"/>
    <w:rsid w:val="00423928"/>
    <w:rsid w:val="004260F0"/>
    <w:rsid w:val="00426549"/>
    <w:rsid w:val="0045260D"/>
    <w:rsid w:val="0047062D"/>
    <w:rsid w:val="004770A2"/>
    <w:rsid w:val="004917E3"/>
    <w:rsid w:val="00492042"/>
    <w:rsid w:val="004B4FAC"/>
    <w:rsid w:val="005125AB"/>
    <w:rsid w:val="00523326"/>
    <w:rsid w:val="00567977"/>
    <w:rsid w:val="00574C6E"/>
    <w:rsid w:val="005F2C5F"/>
    <w:rsid w:val="005F4A15"/>
    <w:rsid w:val="00627654"/>
    <w:rsid w:val="00672978"/>
    <w:rsid w:val="00674E9E"/>
    <w:rsid w:val="006F0935"/>
    <w:rsid w:val="006F69F6"/>
    <w:rsid w:val="00703302"/>
    <w:rsid w:val="00714E97"/>
    <w:rsid w:val="00717134"/>
    <w:rsid w:val="00725DDC"/>
    <w:rsid w:val="007842CF"/>
    <w:rsid w:val="00785447"/>
    <w:rsid w:val="00793866"/>
    <w:rsid w:val="007B5479"/>
    <w:rsid w:val="007C27D8"/>
    <w:rsid w:val="007D7A4D"/>
    <w:rsid w:val="007E05DC"/>
    <w:rsid w:val="00831C83"/>
    <w:rsid w:val="008437F2"/>
    <w:rsid w:val="00851C44"/>
    <w:rsid w:val="0087658B"/>
    <w:rsid w:val="00880E04"/>
    <w:rsid w:val="00883619"/>
    <w:rsid w:val="00896543"/>
    <w:rsid w:val="008D0E12"/>
    <w:rsid w:val="00904E1B"/>
    <w:rsid w:val="00943376"/>
    <w:rsid w:val="0095348C"/>
    <w:rsid w:val="009B49B5"/>
    <w:rsid w:val="009D30A5"/>
    <w:rsid w:val="009D3750"/>
    <w:rsid w:val="00A56C40"/>
    <w:rsid w:val="00A9487C"/>
    <w:rsid w:val="00AB074A"/>
    <w:rsid w:val="00AB26F7"/>
    <w:rsid w:val="00AC54E3"/>
    <w:rsid w:val="00AC6E17"/>
    <w:rsid w:val="00AD1C7A"/>
    <w:rsid w:val="00AF24CC"/>
    <w:rsid w:val="00B06E69"/>
    <w:rsid w:val="00B62678"/>
    <w:rsid w:val="00B813C0"/>
    <w:rsid w:val="00B96F1D"/>
    <w:rsid w:val="00B97C82"/>
    <w:rsid w:val="00BA0839"/>
    <w:rsid w:val="00BE1E8F"/>
    <w:rsid w:val="00C13FA8"/>
    <w:rsid w:val="00C67814"/>
    <w:rsid w:val="00C96A03"/>
    <w:rsid w:val="00CA031B"/>
    <w:rsid w:val="00CB56D2"/>
    <w:rsid w:val="00CC257C"/>
    <w:rsid w:val="00CD7535"/>
    <w:rsid w:val="00D10CD4"/>
    <w:rsid w:val="00D51091"/>
    <w:rsid w:val="00D57381"/>
    <w:rsid w:val="00D620D9"/>
    <w:rsid w:val="00DA2A0D"/>
    <w:rsid w:val="00DB01C0"/>
    <w:rsid w:val="00DB0CDA"/>
    <w:rsid w:val="00DD61CC"/>
    <w:rsid w:val="00DE20DB"/>
    <w:rsid w:val="00DE40F6"/>
    <w:rsid w:val="00E00FF0"/>
    <w:rsid w:val="00E032F1"/>
    <w:rsid w:val="00E366D3"/>
    <w:rsid w:val="00E4582F"/>
    <w:rsid w:val="00E50017"/>
    <w:rsid w:val="00E62ECA"/>
    <w:rsid w:val="00ED7148"/>
    <w:rsid w:val="00EF12BD"/>
    <w:rsid w:val="00F21F97"/>
    <w:rsid w:val="00F775DD"/>
    <w:rsid w:val="00F77785"/>
    <w:rsid w:val="00F84272"/>
    <w:rsid w:val="00F84BC2"/>
    <w:rsid w:val="00F908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4912"/>
  <w15:chartTrackingRefBased/>
  <w15:docId w15:val="{2575B2F0-105E-2945-830D-1CDDA070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935"/>
  </w:style>
  <w:style w:type="paragraph" w:styleId="Heading1">
    <w:name w:val="heading 1"/>
    <w:basedOn w:val="Normal"/>
    <w:next w:val="Normal"/>
    <w:link w:val="Heading1Char"/>
    <w:uiPriority w:val="9"/>
    <w:qFormat/>
    <w:rsid w:val="0049204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9204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9204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92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0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0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0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0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4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9204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9204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92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042"/>
    <w:rPr>
      <w:rFonts w:eastAsiaTheme="majorEastAsia" w:cstheme="majorBidi"/>
      <w:color w:val="272727" w:themeColor="text1" w:themeTint="D8"/>
    </w:rPr>
  </w:style>
  <w:style w:type="paragraph" w:styleId="Title">
    <w:name w:val="Title"/>
    <w:basedOn w:val="Normal"/>
    <w:next w:val="Normal"/>
    <w:link w:val="TitleChar"/>
    <w:uiPriority w:val="10"/>
    <w:qFormat/>
    <w:rsid w:val="00492042"/>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204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2042"/>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9204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920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2042"/>
    <w:rPr>
      <w:i/>
      <w:iCs/>
      <w:color w:val="404040" w:themeColor="text1" w:themeTint="BF"/>
    </w:rPr>
  </w:style>
  <w:style w:type="paragraph" w:styleId="ListParagraph">
    <w:name w:val="List Paragraph"/>
    <w:basedOn w:val="Normal"/>
    <w:uiPriority w:val="34"/>
    <w:qFormat/>
    <w:rsid w:val="00492042"/>
    <w:pPr>
      <w:ind w:left="720"/>
      <w:contextualSpacing/>
    </w:pPr>
  </w:style>
  <w:style w:type="character" w:styleId="IntenseEmphasis">
    <w:name w:val="Intense Emphasis"/>
    <w:basedOn w:val="DefaultParagraphFont"/>
    <w:uiPriority w:val="21"/>
    <w:qFormat/>
    <w:rsid w:val="00492042"/>
    <w:rPr>
      <w:i/>
      <w:iCs/>
      <w:color w:val="0F4761" w:themeColor="accent1" w:themeShade="BF"/>
    </w:rPr>
  </w:style>
  <w:style w:type="paragraph" w:styleId="IntenseQuote">
    <w:name w:val="Intense Quote"/>
    <w:basedOn w:val="Normal"/>
    <w:next w:val="Normal"/>
    <w:link w:val="IntenseQuoteChar"/>
    <w:uiPriority w:val="30"/>
    <w:qFormat/>
    <w:rsid w:val="00492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042"/>
    <w:rPr>
      <w:i/>
      <w:iCs/>
      <w:color w:val="0F4761" w:themeColor="accent1" w:themeShade="BF"/>
    </w:rPr>
  </w:style>
  <w:style w:type="character" w:styleId="IntenseReference">
    <w:name w:val="Intense Reference"/>
    <w:basedOn w:val="DefaultParagraphFont"/>
    <w:uiPriority w:val="32"/>
    <w:qFormat/>
    <w:rsid w:val="00492042"/>
    <w:rPr>
      <w:b/>
      <w:bCs/>
      <w:smallCaps/>
      <w:color w:val="0F4761" w:themeColor="accent1" w:themeShade="BF"/>
      <w:spacing w:val="5"/>
    </w:rPr>
  </w:style>
  <w:style w:type="table" w:styleId="TableGrid">
    <w:name w:val="Table Grid"/>
    <w:basedOn w:val="TableNormal"/>
    <w:uiPriority w:val="39"/>
    <w:rsid w:val="00BA0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0839"/>
    <w:rPr>
      <w:color w:val="467886" w:themeColor="hyperlink"/>
      <w:u w:val="single"/>
    </w:rPr>
  </w:style>
  <w:style w:type="paragraph" w:styleId="NormalWeb">
    <w:name w:val="Normal (Web)"/>
    <w:basedOn w:val="Normal"/>
    <w:uiPriority w:val="99"/>
    <w:unhideWhenUsed/>
    <w:rsid w:val="00E50017"/>
    <w:pPr>
      <w:spacing w:before="100" w:beforeAutospacing="1" w:after="100" w:afterAutospacing="1"/>
    </w:pPr>
    <w:rPr>
      <w:rFonts w:ascii="Times New Roman" w:eastAsia="Times New Roman" w:hAnsi="Times New Roman" w:cs="Times New Roman"/>
      <w:szCs w:val="24"/>
    </w:rPr>
  </w:style>
  <w:style w:type="table" w:styleId="GridTable2">
    <w:name w:val="Grid Table 2"/>
    <w:basedOn w:val="TableNormal"/>
    <w:uiPriority w:val="47"/>
    <w:rsid w:val="00674E9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717134"/>
    <w:pPr>
      <w:tabs>
        <w:tab w:val="left" w:pos="500"/>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vdb.stanford.edu/" TargetMode="Externa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chem.ncbi.nlm.nih.gov/compound/Doravirine" TargetMode="External"/><Relationship Id="rId11" Type="http://schemas.openxmlformats.org/officeDocument/2006/relationships/theme" Target="theme/theme1.xml"/><Relationship Id="rId5" Type="http://schemas.openxmlformats.org/officeDocument/2006/relationships/hyperlink" Target="https://www.rcsb.org/structure/4NC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18</Pages>
  <Words>42291</Words>
  <Characters>241061</Characters>
  <Application>Microsoft Office Word</Application>
  <DocSecurity>0</DocSecurity>
  <Lines>2008</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73</cp:revision>
  <dcterms:created xsi:type="dcterms:W3CDTF">2026-08-18T19:54:00Z</dcterms:created>
  <dcterms:modified xsi:type="dcterms:W3CDTF">2026-08-20T20:37:00Z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id="sGQf21Pk"/&gt;&lt;style id="http://www.zotero.org/styles/american-chemical-society" hasBibliography="1" bibliographyStyleHasBeenSet="1"/&gt;&lt;prefs&gt;&lt;pref name="fieldType" value="Field"/&gt;&lt;/prefs&gt;&lt;/data&gt;</vt:lpwstr>
  </property>
</Properties>
</file>