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rPr>
          <w:b/>
          <w:bCs/>
        </w:rPr>
        <w:t xml:space="preserve">Response to Reviewers</w:t>
      </w:r>
    </w:p>
    <w:p>
      <w:pPr>
        <w:spacing w:after="120"/>
      </w:pPr>
      <w:r>
        <w:rPr>
          <w:b/>
          <w:bCs/>
        </w:rPr>
        <w:t xml:space="preserve">Manuscript ci-2026-030865 — “Molecular Simulation of Doravirine Resistance in HIV-1 Reverse Transcriptase”</w:t>
      </w:r>
    </w:p>
    <w:p>
      <w:pPr>
        <w:spacing w:after="260"/>
      </w:pPr>
      <w:r>
        <w:t xml:space="preserve">Rohit Satija, Kaiming Tao, Robert W. Shafer</w:t>
      </w:r>
    </w:p>
    <w:p>
      <w:pPr>
        <w:spacing w:after="160"/>
      </w:pPr>
      <w:r>
        <w:rPr>
          <w:b/>
          <w:bCs/>
          <w:color w:val="FF0000"/>
        </w:rPr>
        <w:t xml:space="preserve">Response: </w:t>
      </w:r>
      <w:r>
        <w:rPr>
          <w:color w:val="FF0000"/>
        </w:rPr>
        <w:t xml:space="preserve">We thank the editor and the three reviewers for a careful and constructive set of reports. The reviewers converge on one substantive point — that the sampled DOR-bound ensemble is treated as representative without that assumption being tested — and we have taken it seriously, both in new analysis and in how the claims are now framed. Reviewer comments are reproduced below in black; our responses are in red. All changes to the manuscript are marked in red in the revised file.</w:t>
      </w:r>
    </w:p>
    <w:p>
      <w:pPr>
        <w:pStyle w:val="Heading2"/>
        <w:spacing w:after="160" w:before="320"/>
      </w:pPr>
      <w:r>
        <w:rPr>
          <w:b/>
          <w:bCs/>
        </w:rPr>
        <w:t xml:space="preserve">Reviewer 1</w:t>
      </w:r>
    </w:p>
    <w:p>
      <w:pPr>
        <w:spacing w:after="140"/>
        <w:ind w:left="420"/>
      </w:pPr>
      <w:r>
        <w:rPr>
          <w:i/>
          <w:iCs/>
        </w:rPr>
        <w:t xml:space="preserve">Reviewer: 1</w:t>
      </w:r>
    </w:p>
    <w:p>
      <w:pPr>
        <w:spacing w:after="140"/>
        <w:ind w:left="420"/>
      </w:pPr>
      <w:r>
        <w:rPr>
          <w:i/>
          <w:iCs/>
        </w:rPr>
        <w:t xml:space="preserve">Comments:</w:t>
      </w:r>
    </w:p>
    <w:p>
      <w:pPr>
        <w:spacing w:after="140"/>
        <w:ind w:left="420"/>
      </w:pPr>
      <w:r>
        <w:rPr>
          <w:i/>
          <w:iCs/>
        </w:rPr>
        <w:t xml:space="preserve">This is a methodologically solid study that asks a genuinely useful question: whether relative RT–DOR binding free energies, computed from molecular simulation, track phenotypic resistance across a clinically representative genotype panel. Several individual cases, particularly Y188L and V106A, give a convincing structural account of altered DOR recognition, consistent with prior crystallography.</w:t>
      </w:r>
    </w:p>
    <w:p>
      <w:pPr>
        <w:spacing w:after="140"/>
        <w:ind w:left="420"/>
      </w:pPr>
      <w:r>
        <w:rPr>
          <w:i/>
          <w:iCs/>
        </w:rPr>
        <w:t xml:space="preserve">The deeper limitation is conceptual rather than computational: the manuscript treats the sampled DOR-bound pose (inherited unmodified from the crystal structure) as representative of the relevant binding ensemble, without testing that assumption. Because the NNRTI pocket only forms upon ligand binding, and RT itself rearranges on timescales far longer than the 100 ns</w:t>
      </w:r>
    </w:p>
    <w:p>
      <w:pPr>
        <w:spacing w:after="140"/>
        <w:ind w:left="420"/>
      </w:pPr>
      <w:r>
        <w:rPr>
          <w:i/>
          <w:iCs/>
        </w:rPr>
        <w:t xml:space="preserve">simulated here, that assumption is precisely what the manuscript's own inconsistent results (Section 3, below) call into question.</w:t>
      </w:r>
    </w:p>
    <w:p>
      <w:pPr>
        <w:spacing w:after="160"/>
      </w:pPr>
      <w:r>
        <w:rPr>
          <w:b/>
          <w:bCs/>
          <w:color w:val="FF0000"/>
        </w:rPr>
        <w:t xml:space="preserve">Response: </w:t>
      </w:r>
      <w:r>
        <w:rPr>
          <w:color w:val="FF0000"/>
        </w:rPr>
        <w:t xml:space="preserve">We appreciate this framing, which identifies the central limitation more precisely than we had. The NNIBP is an induced-fit pocket that does not exist in unliganded RT, and our thermodynamic cycle introduces the mutation in both the holo and the apo state. A mutation that acts by shifting the conformational equilibrium of the apo enzyme, or the free-energy cost of opening the pocket, therefore perturbs both legs in the same direction and largely cancels in ΔΔGbind. We now state this explicitly in the Discussion and use it as the organizing explanation for the genotypes where our calculation misses the phenotype.</w:t>
      </w:r>
    </w:p>
    <w:p>
      <w:pPr>
        <w:pStyle w:val="Heading2"/>
        <w:spacing w:after="160" w:before="320"/>
      </w:pPr>
      <w:r>
        <w:rPr>
          <w:b/>
          <w:bCs/>
        </w:rPr>
        <w:t xml:space="preserve">Reviewer 1, comment 1 — weak correlation with phenotype</w:t>
      </w:r>
    </w:p>
    <w:p>
      <w:pPr>
        <w:spacing w:after="140"/>
        <w:ind w:left="420"/>
      </w:pPr>
      <w:r>
        <w:rPr>
          <w:i/>
          <w:iCs/>
        </w:rPr>
        <w:t xml:space="preserve">Major comments:</w:t>
      </w:r>
    </w:p>
    <w:p>
      <w:pPr>
        <w:spacing w:after="140"/>
        <w:ind w:left="420"/>
      </w:pPr>
      <w:r>
        <w:rPr>
          <w:i/>
          <w:iCs/>
        </w:rPr>
        <w:t xml:space="preserve">1. Weak correlation with phenotype. FEP gets the direction right for most genotypes, but the correlation with the experimental phenotype across the full panel is weak and not significant. The more important issue is whether the sampled RT-DOR conformations adequately represent the resistance mechanism. The weak correlation may therefore reflect not only limitations</w:t>
      </w:r>
    </w:p>
    <w:p>
      <w:pPr>
        <w:spacing w:after="140"/>
        <w:ind w:left="420"/>
      </w:pPr>
      <w:r>
        <w:rPr>
          <w:i/>
          <w:iCs/>
        </w:rPr>
        <w:t xml:space="preserve">of the free-energy calculation, but also resistance mechanisms involving mutation-induced changes in RT conformation and NNIBP formation.</w:t>
      </w:r>
    </w:p>
    <w:p>
      <w:pPr>
        <w:spacing w:after="160"/>
      </w:pPr>
      <w:r>
        <w:rPr>
          <w:b/>
          <w:bCs/>
          <w:color w:val="FF0000"/>
        </w:rPr>
        <w:t xml:space="preserve">Response: </w:t>
      </w:r>
      <w:r>
        <w:rPr>
          <w:color w:val="FF0000"/>
        </w:rPr>
        <w:t xml:space="preserve">We agree and have tempered the claim accordingly. We have added a quantitative classification analysis with a pre-specified cutoff (see our response to Reviewer 3, comment 1) so that the level of agreement is stated reproducibly rather than as a narrative count, and we now report the threshold-free AUC alongside the regression, since the regression on 13 genotypes is weakly powered.</w:t>
      </w:r>
    </w:p>
    <w:p>
      <w:pPr>
        <w:spacing w:after="160"/>
      </w:pPr>
      <w:r>
        <w:rPr>
          <w:color w:val="FF0000"/>
        </w:rPr>
        <w:t xml:space="preserve">On the substantive point, we agree that the weak correlation is unlikely to be purely a free-energy-calculation error. The three genotypes our calculation misclassifies — K103N+M230L, A98G+F227C and G190E — are precisely those whose reported mechanisms act before or outside the bound complex. We now make that argument explicitly in the Discussion rather than attributing the scatter to method error alone.</w:t>
      </w:r>
    </w:p>
    <w:p>
      <w:pPr>
        <w:pStyle w:val="Heading2"/>
        <w:spacing w:after="160" w:before="320"/>
      </w:pPr>
      <w:r>
        <w:rPr>
          <w:b/>
          <w:bCs/>
        </w:rPr>
        <w:t xml:space="preserve">Reviewer 1, comment 2 — convergence within a basin</w:t>
      </w:r>
    </w:p>
    <w:p>
      <w:pPr>
        <w:spacing w:after="140"/>
        <w:ind w:left="420"/>
      </w:pPr>
      <w:r>
        <w:rPr>
          <w:i/>
          <w:iCs/>
        </w:rPr>
        <w:t xml:space="preserve">2. Convergence within a basin does not establish adequate conformational sampling. Stable RMSD, work distributions, and small replicate errors show convergence within the sampled conformational basin, but do not establish that this is the biologically relevant RT-DOR state. This is particularly important for an induced NNIBP, where mutations may alter the RT conformation before DOR binding. The authors should address this in two ways:</w:t>
      </w:r>
    </w:p>
    <w:p>
      <w:pPr>
        <w:spacing w:after="140"/>
        <w:ind w:left="420"/>
      </w:pPr>
      <w:r>
        <w:rPr>
          <w:i/>
          <w:iCs/>
        </w:rPr>
        <w:t xml:space="preserve">First, test representative systems from independent starting poses to determine whether the same DOR-bound state is recovered.</w:t>
      </w:r>
    </w:p>
    <w:p>
      <w:pPr>
        <w:spacing w:after="140"/>
        <w:ind w:left="420"/>
      </w:pPr>
      <w:r>
        <w:rPr>
          <w:i/>
          <w:iCs/>
        </w:rPr>
        <w:t xml:space="preserve">The authors should perform longer-timescale apo simulations for a selected set of mutants, particularly P225- and M230-containing genotypes, and compare the resulting RT and pocket conformational ensembles with WT. These mutations are located in loop-rich regions and could affect pocket formation through slower conformational remodeling that is not captured in the current simulations.</w:t>
      </w:r>
    </w:p>
    <w:p>
      <w:pPr>
        <w:spacing w:after="160"/>
      </w:pPr>
      <w:r>
        <w:rPr>
          <w:b/>
          <w:bCs/>
          <w:color w:val="FF0000"/>
        </w:rPr>
        <w:t xml:space="preserve">Response: </w:t>
      </w:r>
      <w:r>
        <w:rPr>
          <w:color w:val="FF0000"/>
        </w:rPr>
        <w:t xml:space="preserve">We accept this distinction and have adopted the reviewer's language in the Discussion: stable RMSD values, overlapping work distributions and small replicate errors establish convergence within the sampled basin, not that the basin is the relevant one. We also now state plainly that our three replicates were seeded from the same crystallographic pose with only a 0.1 Å coordinate perturbation, so they are not independent in the sense the reviewer means.</w:t>
      </w:r>
    </w:p>
    <w:p>
      <w:pPr>
        <w:spacing w:after="160"/>
      </w:pPr>
      <w:r>
        <w:rPr>
          <w:color w:val="FF0000"/>
        </w:rPr>
        <w:t xml:space="preserve">On the apo simulations, we note that our existing apo data is more extensive than the submitted manuscript conveyed. We hold three 100 ns apo replicates for A98G+F227C, F227C and G190E, and 37–75 ns for K103N+M230L, which covers all three genotypes where ΔΔGbind misses the phenotype as well as the M230-containing genotype the reviewer names. We are completing a WT-referenced comparison of the apo and holo pocket ensembles for these systems.</w:t>
      </w:r>
    </w:p>
    <w:p>
      <w:pPr>
        <w:spacing w:after="200"/>
        <w:ind w:left="420"/>
      </w:pPr>
      <w:r>
        <w:rPr>
          <w:b/>
          <w:bCs/>
          <w:color w:val="FF0000"/>
        </w:rPr>
        <w:t xml:space="preserve">[PENDING — apo-vs-holo ensemble comparison (pocket volume, RMSF, 225–230 and 100–110 loop conformations) and the independent-starting-pose test. Insert results and state which simulations were added, if any.]</w:t>
      </w:r>
    </w:p>
    <w:p>
      <w:pPr>
        <w:pStyle w:val="Heading2"/>
        <w:spacing w:after="160" w:before="320"/>
      </w:pPr>
      <w:r>
        <w:rPr>
          <w:b/>
          <w:bCs/>
        </w:rPr>
        <w:t xml:space="preserve">Reviewer 1, comment 3 — the mismatches suggest different mechanisms</w:t>
      </w:r>
    </w:p>
    <w:p>
      <w:pPr>
        <w:spacing w:after="140"/>
        <w:ind w:left="420"/>
      </w:pPr>
      <w:r>
        <w:rPr>
          <w:i/>
          <w:iCs/>
        </w:rPr>
        <w:t xml:space="preserve">3. The mismatches suggest different resistance mechanisms. The mismatches between calculated ΔΔGbind and the experimental phenotype are not simply random errors and should be discussed mechanistically. For example:</w:t>
      </w:r>
    </w:p>
    <w:p>
      <w:pPr>
        <w:spacing w:after="140"/>
        <w:ind w:left="420"/>
      </w:pPr>
      <w:r>
        <w:rPr>
          <w:i/>
          <w:iCs/>
        </w:rPr>
        <w:t xml:space="preserve">K103N+M230L shows only a small calculated binding penalty despite 36-fold resistance.</w:t>
      </w:r>
    </w:p>
    <w:p>
      <w:pPr>
        <w:spacing w:after="140"/>
        <w:ind w:left="420"/>
      </w:pPr>
      <w:r>
        <w:rPr>
          <w:i/>
          <w:iCs/>
        </w:rPr>
        <w:t xml:space="preserve">A98G+F227C and G190E show substantial resistance despite favorable calculated ΔΔGbind. G190E is particularly notable because it produces the largest pocket expansion, yet no binding penalty. The authors should examine whether mutation-induced changes occur in both apo and holo RT and whether such remodeling could therefore be poorly reflected in ΔΔGbind.</w:t>
      </w:r>
    </w:p>
    <w:p>
      <w:pPr>
        <w:spacing w:after="160"/>
      </w:pPr>
      <w:r>
        <w:rPr>
          <w:b/>
          <w:bCs/>
          <w:color w:val="FF0000"/>
        </w:rPr>
        <w:t xml:space="preserve">Response: </w:t>
      </w:r>
      <w:r>
        <w:rPr>
          <w:color w:val="FF0000"/>
        </w:rPr>
        <w:t xml:space="preserve">We agree that these are not random errors, and the revised Discussion treats them as mechanistically informative. For G190E and A98G+F227C, the interface distortion is real in the holo state (ΔΔETotal = 1.94 ± 0.40 and 2.47 ± 0.24 kcal/mol) but comparable distortion is present in the apo simulations, so the penalty cancels in the thermodynamic cycle and the residual favors binding. That cancellation is the mechanism, not an artifact to be explained away, and it is exactly what the reviewer anticipates when asking whether the remodeling occurs in both apo and holo RT.</w:t>
      </w:r>
    </w:p>
    <w:p>
      <w:pPr>
        <w:spacing w:after="160"/>
      </w:pPr>
      <w:r>
        <w:rPr>
          <w:color w:val="FF0000"/>
        </w:rPr>
        <w:t xml:space="preserve">For K103N+M230L the DOR interface is essentially unperturbed in our trajectories — chlorocyanophenyl burial is the second highest in the panel and the Lys103 anchor is intact — while Met230 lies in the p66 primer grip and contacts the primer terminus. Our binary complex contains no template/primer, so this mechanism is structurally absent from the simulation rather than poorly sampled by it.</w:t>
      </w:r>
    </w:p>
    <w:p>
      <w:pPr>
        <w:pStyle w:val="Heading2"/>
        <w:spacing w:after="160" w:before="320"/>
      </w:pPr>
      <w:r>
        <w:rPr>
          <w:b/>
          <w:bCs/>
        </w:rPr>
        <w:t xml:space="preserve">Reviewer 1, comment 4 — clearer summary of the structural analysis</w:t>
      </w:r>
    </w:p>
    <w:p>
      <w:pPr>
        <w:spacing w:after="140"/>
        <w:ind w:left="420"/>
      </w:pPr>
      <w:r>
        <w:rPr>
          <w:i/>
          <w:iCs/>
        </w:rPr>
        <w:t xml:space="preserve">4. The structural analysis needs a clearer summary. The structural information is currently spread across several dense tables, making it difficult to see how the different mutations alter the RT-DOR system. A figure mapping all mutations onto the RT-DOR structure would be important, particularly to show their positions relative to DOR and the NNIBP. A WT-referenced</w:t>
      </w:r>
    </w:p>
    <w:p>
      <w:pPr>
        <w:spacing w:after="140"/>
        <w:ind w:left="420"/>
      </w:pPr>
      <w:r>
        <w:rPr>
          <w:i/>
          <w:iCs/>
        </w:rPr>
        <w:t xml:space="preserve">heatmap summarizing the structural metrics in Table 3 would also help identify patterns in DOR contacts, pocket size, and mutation-induced remodeling across genotypes.</w:t>
      </w:r>
    </w:p>
    <w:p>
      <w:pPr>
        <w:spacing w:after="140"/>
        <w:ind w:left="420"/>
      </w:pPr>
      <w:r>
        <w:rPr>
          <w:i/>
          <w:iCs/>
        </w:rPr>
        <w:t xml:space="preserve">The structural analysis would be further strengthened by including protein-level changes that are currently not shown, particularly RMSF, secondary-structure changes, and pocket conformational distributions. These would help distinguish direct changes in DOR contacts from broader conformational effects on the RT pocket.</w:t>
      </w:r>
    </w:p>
    <w:p>
      <w:pPr>
        <w:spacing w:after="160"/>
      </w:pPr>
      <w:r>
        <w:rPr>
          <w:b/>
          <w:bCs/>
          <w:color w:val="FF0000"/>
        </w:rPr>
        <w:t xml:space="preserve">Response: </w:t>
      </w:r>
      <w:r>
        <w:rPr>
          <w:color w:val="FF0000"/>
        </w:rPr>
        <w:t xml:space="preserve">We agree that the structural results are hard to navigate as three dense tables. We are adding a figure mapping all 18 genotypes onto the RT–DOR structure relative to DOR and the NNIBP, and a WT-referenced heatmap of the Table 3 metrics, and are extending the analysis to the protein-level observables the reviewer lists — RMSF, secondary-structure changes and pocket conformational distributions — so that direct changes in DOR contacts can be separated from broader remodeling of the pocket.</w:t>
      </w:r>
    </w:p>
    <w:p>
      <w:pPr>
        <w:spacing w:after="200"/>
        <w:ind w:left="420"/>
      </w:pPr>
      <w:r>
        <w:rPr>
          <w:b/>
          <w:bCs/>
          <w:color w:val="FF0000"/>
        </w:rPr>
        <w:t xml:space="preserve">[PENDING — new mutation-map figure, WT-referenced heatmap, and RMSF / secondary-structure / pocket-distribution analyses. Insert figure numbers and findings.]</w:t>
      </w:r>
    </w:p>
    <w:p>
      <w:pPr>
        <w:pStyle w:val="Heading2"/>
        <w:spacing w:after="160" w:before="320"/>
      </w:pPr>
      <w:r>
        <w:rPr>
          <w:b/>
          <w:bCs/>
        </w:rPr>
        <w:t xml:space="preserve">Reviewer 2</w:t>
      </w:r>
    </w:p>
    <w:p>
      <w:pPr>
        <w:spacing w:after="140"/>
        <w:ind w:left="420"/>
      </w:pPr>
      <w:r>
        <w:rPr>
          <w:i/>
          <w:iCs/>
        </w:rPr>
        <w:t xml:space="preserve">Reviewer: 2</w:t>
      </w:r>
    </w:p>
    <w:p>
      <w:pPr>
        <w:spacing w:after="140"/>
        <w:ind w:left="420"/>
      </w:pPr>
      <w:r>
        <w:rPr>
          <w:i/>
          <w:iCs/>
        </w:rPr>
        <w:t xml:space="preserve">Comments:</w:t>
      </w:r>
    </w:p>
    <w:p>
      <w:pPr>
        <w:spacing w:after="140"/>
        <w:ind w:left="420"/>
      </w:pPr>
      <w:r>
        <w:rPr>
          <w:i/>
          <w:iCs/>
        </w:rPr>
        <w:t xml:space="preserve">In this manuscript, the authors use all-atom MD simulations with alchemical FEP and MM/GBSA to retrospectively assess doravirine resistance across 18 clinically observed HIV-1 RT genotypes. FEP correctly predicts little effect for 3 of 4 susceptible mutations and reduced binding for 7 of 9 resistant genotypes, though correlations with experimental fold-change are weak (R2 = 0.26, p = 0.07). MM/GBSA performs less well for susceptible mutations but identifies unfavorable changes for 7 of 9 resistant genotypes. Structural observables rationalize mechanisms, including V106A versus V106I/M and G190E. The manuscript is well written, and the topic is clinically relevant given the sparse public phenotype data for DOR. However, several methodological and interpretive issues need to be addressed before the manuscript can be considered for publication. Therefore, it is recommended for publication in the Journal of Chemical Information and Modeling after major revisions to the following details.</w:t>
      </w:r>
    </w:p>
    <w:p>
      <w:pPr>
        <w:spacing w:after="140"/>
        <w:ind w:left="420"/>
      </w:pPr>
      <w:r>
        <w:rPr>
          <w:i/>
          <w:iCs/>
        </w:rPr>
        <w:t xml:space="preserve">More comments:</w:t>
      </w:r>
    </w:p>
    <w:p>
      <w:pPr>
        <w:spacing w:after="160"/>
      </w:pPr>
      <w:r>
        <w:rPr>
          <w:b/>
          <w:bCs/>
          <w:color w:val="FF0000"/>
        </w:rPr>
        <w:t xml:space="preserve">Response: </w:t>
      </w:r>
      <w:r>
        <w:rPr>
          <w:color w:val="FF0000"/>
        </w:rPr>
        <w:t xml:space="preserve">We thank the reviewer for the accurate summary and for the methodological points below, several of which identified real gaps in what we reported.</w:t>
      </w:r>
    </w:p>
    <w:p>
      <w:pPr>
        <w:pStyle w:val="Heading2"/>
        <w:spacing w:after="160" w:before="320"/>
      </w:pPr>
      <w:r>
        <w:rPr>
          <w:b/>
          <w:bCs/>
        </w:rPr>
        <w:t xml:space="preserve">Reviewer 2, comment 1 — convergence diagnostics</w:t>
      </w:r>
    </w:p>
    <w:p>
      <w:pPr>
        <w:spacing w:after="140"/>
        <w:ind w:left="420"/>
      </w:pPr>
      <w:r>
        <w:rPr>
          <w:i/>
          <w:iCs/>
        </w:rPr>
        <w:t xml:space="preserve">1. The three independent 100 ns replicates are short relative to the timescales of RT domain rearrangements and unliganded pocket conformational equilibria. The authors should provide more rigorous convergence diagnostics (e.g., block averaging, autocorrelation analysis) for both the structural observables and the FEP/MM-GBSA estimates, and discuss how limited sampling may bias the results.</w:t>
      </w:r>
    </w:p>
    <w:p>
      <w:pPr>
        <w:spacing w:after="160"/>
      </w:pPr>
      <w:r>
        <w:rPr>
          <w:b/>
          <w:bCs/>
          <w:color w:val="FF0000"/>
        </w:rPr>
        <w:t xml:space="preserve">Response: </w:t>
      </w:r>
      <w:r>
        <w:rPr>
          <w:color w:val="FF0000"/>
        </w:rPr>
        <w:t xml:space="preserve">Block averaging over the production trajectories was already part of our analysis but was not reported. We are now including it together with autocorrelation times and the resulting effective sample sizes, applied to the structural observables and to the MM/GBSA and FEP estimates, and we discuss in the Discussion how the limited sampling may bias the results — specifically that our replicates establish convergence within one conformational basin rather than across the accessible landscape.</w:t>
      </w:r>
    </w:p>
    <w:p>
      <w:pPr>
        <w:spacing w:after="200"/>
        <w:ind w:left="420"/>
      </w:pPr>
      <w:r>
        <w:rPr>
          <w:color w:val="FF0000"/>
        </w:rPr>
        <w:t xml:space="preserve">We have added integrated autocorrelation times and effective sample sizes for six structural observables across all 60 holo replicates, estimated with Geyer's initial positive sequence. Median autocorrelation times are 1.0 to 3.7 ns, giving a median effective sample size of 14 to 50 per 100 ns replicate; per-genotype median ESS ranges from 8 (V106M) to 73 (F227C), and the worst individual series fall to about 2. This supports the precision we report on the replicate means. We are explicit in the Discussion about what it does not support: an autocorrelation time measures motion within the sampled basin, so a replicate that never leaves its starting basin can show a short correlation time and a healthy effective sample size while still not surveying the landscape. MM/GBSA and FEP are not serially correlated series by construction and so are not treated this way: MM/GBSA snapshots are spread evenly across the post-equilibration region rather than taken consecutively, and each FEP work value comes from a switch seeded from a separately drawn frame.</w:t>
      </w:r>
    </w:p>
    <w:p>
      <w:pPr>
        <w:pStyle w:val="Heading2"/>
        <w:spacing w:after="160" w:before="320"/>
      </w:pPr>
      <w:r>
        <w:rPr>
          <w:b/>
          <w:bCs/>
        </w:rPr>
        <w:t xml:space="preserve">Reviewer 2, comment 2 — the binary RT–DOR system</w:t>
      </w:r>
    </w:p>
    <w:p>
      <w:pPr>
        <w:spacing w:after="140"/>
        <w:ind w:left="420"/>
      </w:pPr>
      <w:r>
        <w:rPr>
          <w:i/>
          <w:iCs/>
        </w:rPr>
        <w:t xml:space="preserve">2. The binary RT–DOR system omits the nucleic acid substrate and incoming dNTP, which are essential for resistance mechanisms involving the primer grip (e.g., M230L) and allosteric coupling (e.g., K103N). The authors should explicitly discuss which mechanisms are inaccessible in this setup and how this may affect the correlation with phenotypic data.</w:t>
      </w:r>
    </w:p>
    <w:p>
      <w:pPr>
        <w:spacing w:after="160"/>
      </w:pPr>
      <w:r>
        <w:rPr>
          <w:b/>
          <w:bCs/>
          <w:color w:val="FF0000"/>
        </w:rPr>
        <w:t xml:space="preserve">Response: </w:t>
      </w:r>
      <w:r>
        <w:rPr>
          <w:color w:val="FF0000"/>
        </w:rPr>
        <w:t xml:space="preserve">We agree, and the revised Discussion states explicitly which mechanisms this setup forecloses. The binary complex contains no template/primer and no incoming dNTP, so resistance acting through the primer grip (M230L) is structurally inaccessible to our calculations, as is any mechanism operating through the catalytically productive ternary complex. We also note that resistance can act through the conformational equilibrium of the unliganded pocket on timescales far longer than we sample, and through effects on processivity and replicative capacity, none of which enter ΔΔGbind. We argue that this is a leading explanation for the K103N+M230L false negative rather than a generic caveat.</w:t>
      </w:r>
    </w:p>
    <w:p>
      <w:pPr>
        <w:pStyle w:val="Heading2"/>
        <w:spacing w:after="160" w:before="320"/>
      </w:pPr>
      <w:r>
        <w:rPr>
          <w:b/>
          <w:bCs/>
        </w:rPr>
        <w:t xml:space="preserve">Reviewer 2, comment 3 — effect sizes and confidence intervals</w:t>
      </w:r>
    </w:p>
    <w:p>
      <w:pPr>
        <w:spacing w:after="140"/>
        <w:ind w:left="420"/>
      </w:pPr>
      <w:r>
        <w:rPr>
          <w:i/>
          <w:iCs/>
        </w:rPr>
        <w:t xml:space="preserve">3. Some mechanistic interpretations rely on small differences that may be within simulation error. The authors should provide effect sizes with confidence intervals for key comparisons (e.g., V106A vs. V106I/M, G190A vs. G190E) and, where possible, per-atom or torsion-level analyses to support claims about ligand displacement.</w:t>
      </w:r>
    </w:p>
    <w:p>
      <w:pPr>
        <w:spacing w:after="160"/>
      </w:pPr>
      <w:r>
        <w:rPr>
          <w:b/>
          <w:bCs/>
          <w:color w:val="FF0000"/>
        </w:rPr>
        <w:t xml:space="preserve">Response: </w:t>
      </w:r>
      <w:r>
        <w:rPr>
          <w:color w:val="FF0000"/>
        </w:rPr>
        <w:t xml:space="preserve">We accept that several mechanistic statements rested on differences presented only as means with replicate SEMs. We are adding bootstrap confidence intervals on the effect sizes for the specific comparisons the reviewer names, V106A versus V106I/M and G190A versus G190E, and are supporting the ligand-displacement claims with a torsion-level analysis of the four rotatable DOR dihedrals in addition to the per-moiety contact counts already reported.</w:t>
      </w:r>
    </w:p>
    <w:p>
      <w:pPr>
        <w:spacing w:after="200"/>
        <w:ind w:left="420"/>
      </w:pPr>
      <w:r>
        <w:rPr>
          <w:b/>
          <w:bCs/>
          <w:color w:val="FF0000"/>
        </w:rPr>
        <w:t xml:space="preserve">[PENDING — bootstrap confidence intervals and the DOR torsion analysis. Insert effect sizes with CIs and the torsion distributions.]</w:t>
      </w:r>
    </w:p>
    <w:p>
      <w:pPr>
        <w:pStyle w:val="Heading2"/>
        <w:spacing w:after="160" w:before="320"/>
      </w:pPr>
      <w:r>
        <w:rPr>
          <w:b/>
          <w:bCs/>
        </w:rPr>
        <w:t xml:space="preserve">Reviewer 2, comment 4 — charge-changing legs</w:t>
      </w:r>
    </w:p>
    <w:p>
      <w:pPr>
        <w:spacing w:after="140"/>
        <w:ind w:left="420"/>
      </w:pPr>
      <w:r>
        <w:rPr>
          <w:i/>
          <w:iCs/>
        </w:rPr>
        <w:t xml:space="preserve">4. The FEP calculations involve two charge-changing legs (WT → K103N, WT → G190E). The authors should verify that protonation states of titratable residues in the NNIBP are consistent across WT and mutants, and provide more detail on the hybrid residue topologies, soft-core parameters, and finite-size correction.</w:t>
      </w:r>
    </w:p>
    <w:p>
      <w:pPr>
        <w:spacing w:after="160"/>
      </w:pPr>
      <w:r>
        <w:rPr>
          <w:b/>
          <w:bCs/>
          <w:color w:val="FF0000"/>
        </w:rPr>
        <w:t xml:space="preserve">Response: </w:t>
      </w:r>
      <w:r>
        <w:rPr>
          <w:color w:val="FF0000"/>
        </w:rPr>
        <w:t xml:space="preserve">This prompted us to verify rather than assume, and we can now state the result explicitly in the Methods. Protonation states are identical between the wild type and every mutant by construction: all systems inherit their states from the same prepared wild-type structure, in which hydrogens were built once and carried unchanged through mutation modeling. We confirmed this directly — all thirteen histidines are neutral with the proton on Nδ1, identically across the wild type and all 18 genotypes — so no titratable residue in the NNIBP differs between the end states of any leg. The glutamate introduced by G190E was modeled deprotonated and singly charged, which is what makes that leg charge-changing.</w:t>
      </w:r>
    </w:p>
    <w:p>
      <w:pPr>
        <w:spacing w:after="160"/>
      </w:pPr>
      <w:r>
        <w:rPr>
          <w:color w:val="FF0000"/>
        </w:rPr>
        <w:t xml:space="preserve">The Methods now also describe the hybrid residue topologies (pmx single-topology construction, with atoms unique to one end state present as non-interacting dummies at the other, bonded parameters interpolated linearly in λ, dummies relaxed during end-state minimization) and give the soft-core parameters as run: the linearized Gapsys form with α = 0.3, σ = 0.25 nm, soft-core power 1, applied to both Lennard-Jones and Coulomb interactions.</w:t>
      </w:r>
    </w:p>
    <w:p>
      <w:pPr>
        <w:spacing w:after="160"/>
      </w:pPr>
      <w:r>
        <w:rPr>
          <w:color w:val="FF0000"/>
        </w:rPr>
        <w:t xml:space="preserve">On the finite-size correction we have chosen to be explicit rather than to imply completeness. We applied the periodicity self-energy term of the Rocklin scheme to both charged legs, computed from the box dimensions and the TIP3P dielectric constant. The higher-order terms — net-charge undersolvation and discrete-solvent — were not applied in the submitted work, and we now state this and report their estimated magnitude so the residual uncertainty on these two legs is visible to the reader.</w:t>
      </w:r>
    </w:p>
    <w:p>
      <w:pPr>
        <w:spacing w:after="200"/>
        <w:ind w:left="420"/>
      </w:pPr>
      <w:r>
        <w:rPr>
          <w:color w:val="FF0000"/>
        </w:rPr>
        <w:t xml:space="preserve">We have bounded them rather than left them unquantified. The leading periodicity term is +0.0407 kcal/mol per phase and cancels to below 0.0001 kcal/mol in the binding double difference for both charge legs. For the higher-order terms, which would need a Poisson-Boltzmann pass over each environment to compute exactly, the bound follows from the same cancellation: each depends on the net charge, the box, the solvent density and the solute excluded volume; the charge change is identical in the holo and apo phases by construction; and the cells are matched to within 0.13 percent (K103N) and 0.31 percent (G190E) in volume, with DOR occupying 0.019 percent of the cell. Taking a per-phase correction of 1 kcal/mol, about 25 times the leading term we compute, the residual on the binding free energy is at most 0.003 kcal/mol, two to three orders of magnitude below the 0.2 to 1.2 kcal/mol per-leg statistical uncertainties in Table 2. The conclusion does not depend on the assumed magnitude.</w:t>
      </w:r>
    </w:p>
    <w:p>
      <w:pPr>
        <w:pStyle w:val="Heading2"/>
        <w:spacing w:after="160" w:before="320"/>
      </w:pPr>
      <w:r>
        <w:rPr>
          <w:b/>
          <w:bCs/>
        </w:rPr>
        <w:t xml:space="preserve">Reviewer 2, comment 5 — Gasteiger charges</w:t>
      </w:r>
    </w:p>
    <w:p>
      <w:pPr>
        <w:spacing w:after="140"/>
        <w:ind w:left="420"/>
      </w:pPr>
      <w:r>
        <w:rPr>
          <w:i/>
          <w:iCs/>
        </w:rPr>
        <w:t xml:space="preserve">5. Gasteiger charges are less accurate than AM1-BCC or RESP for drug-like molecules. The authors should either compare with a more accurate charge model for a subset of systems or explicitly discuss how this choice may affect the computed energies and the resulting correlations.</w:t>
      </w:r>
    </w:p>
    <w:p>
      <w:pPr>
        <w:spacing w:after="160"/>
      </w:pPr>
      <w:r>
        <w:rPr>
          <w:b/>
          <w:bCs/>
          <w:color w:val="FF0000"/>
        </w:rPr>
        <w:t xml:space="preserve">Response: </w:t>
      </w:r>
      <w:r>
        <w:rPr>
          <w:color w:val="FF0000"/>
        </w:rPr>
        <w:t xml:space="preserve">We accept this and have done both of the things the reviewer offers as alternatives. The Discussion now explains why the choice affects our two calculations unequally: MM/GBSA evaluates an absolute interaction energy, so ΔEelec and ΔEGB depend directly on the ligand charge set, whereas the alchemical calculation perturbs the protein and not the ligand — DOR is neutral and parameterized identically at both end states of every leg, so the ligand contribution largely cancels in the thermodynamic cycle. We are also recomputing MM/GBSA with AM1-BCC charges for a subset of genotypes to quantify the effect directly rather than argue it.</w:t>
      </w:r>
    </w:p>
    <w:p>
      <w:pPr>
        <w:spacing w:after="200"/>
        <w:ind w:left="420"/>
      </w:pPr>
      <w:r>
        <w:rPr>
          <w:b/>
          <w:bCs/>
          <w:color w:val="FF0000"/>
        </w:rPr>
        <w:t xml:space="preserve">[PENDING — AM1-BCC MM/GBSA recomputation for a genotype subset. Insert the comparison.]</w:t>
      </w:r>
    </w:p>
    <w:p>
      <w:pPr>
        <w:pStyle w:val="Heading2"/>
        <w:spacing w:after="160" w:before="320"/>
      </w:pPr>
      <w:r>
        <w:rPr>
          <w:b/>
          <w:bCs/>
        </w:rPr>
        <w:t xml:space="preserve">Reviewer 3</w:t>
      </w:r>
    </w:p>
    <w:p>
      <w:pPr>
        <w:spacing w:after="140"/>
        <w:ind w:left="420"/>
      </w:pPr>
      <w:r>
        <w:rPr>
          <w:i/>
          <w:iCs/>
        </w:rPr>
        <w:t xml:space="preserve">Reviewer: 3</w:t>
      </w:r>
    </w:p>
    <w:p>
      <w:pPr>
        <w:spacing w:after="140"/>
        <w:ind w:left="420"/>
      </w:pPr>
      <w:r>
        <w:rPr>
          <w:i/>
          <w:iCs/>
        </w:rPr>
        <w:t xml:space="preserve">Comments:</w:t>
      </w:r>
    </w:p>
    <w:p>
      <w:pPr>
        <w:spacing w:after="140"/>
        <w:ind w:left="420"/>
      </w:pPr>
      <w:r>
        <w:rPr>
          <w:i/>
          <w:iCs/>
        </w:rPr>
        <w:t xml:space="preserve">The topic of this manuscript is timely and clinically relevant, the genotype panel is thoughtfully curated with transparent provenance (Stanford HIVDB, PhenoSense/Merck assays), and the use of open-source tooling (OpenMM, GROMACS, pmx, OpenFF) is commendable for reproducibility. The manuscript is generally well written and the structural analysis is a genuine strength. However, the central quantitative claim — that FEP "partially tracks" phenotype — rests on weak statistics derived from a small panel, and several methodological choices and interpretive statements require clarification, additional support, or tempering before the work can be considered suitable for publication. My specific concerns follow:</w:t>
      </w:r>
    </w:p>
    <w:p>
      <w:pPr>
        <w:spacing w:after="160"/>
      </w:pPr>
      <w:r>
        <w:rPr>
          <w:b/>
          <w:bCs/>
          <w:color w:val="FF0000"/>
        </w:rPr>
        <w:t xml:space="preserve">Response: </w:t>
      </w:r>
      <w:r>
        <w:rPr>
          <w:color w:val="FF0000"/>
        </w:rPr>
        <w:t xml:space="preserve">We thank the reviewer, and we agree that the central quantitative claim needed either firmer statistical support or more careful wording. We have taken both routes: the agreement with phenotype is now stated against a pre-specified threshold with a full confusion matrix and a threshold-free AUC, and the claim itself is tempered.</w:t>
      </w:r>
    </w:p>
    <w:p>
      <w:pPr>
        <w:pStyle w:val="Heading2"/>
        <w:spacing w:after="160" w:before="320"/>
      </w:pPr>
      <w:r>
        <w:rPr>
          <w:b/>
          <w:bCs/>
        </w:rPr>
        <w:t xml:space="preserve">Reviewer 3, comment 1 — define “correctly predicted”</w:t>
      </w:r>
    </w:p>
    <w:p>
      <w:pPr>
        <w:spacing w:after="140"/>
        <w:ind w:left="420"/>
      </w:pPr>
      <w:r>
        <w:rPr>
          <w:i/>
          <w:iCs/>
        </w:rPr>
        <w:t xml:space="preserve">1. The Abstract states "FEP correctly predicted little effect on DOR binding for 3 of 4 susceptible mutations and reduced binding for 7 of 9 resistant genotypes." Please define "correctly predicted" quantitatively — what threshold on ΔΔGbind constitutes "little effect" versus "reduced binding"? A stated cutoff (e.g., | ΔΔGbind| &gt; 1 kcal/mol) would make this claim reproducible.</w:t>
      </w:r>
    </w:p>
    <w:p>
      <w:pPr>
        <w:spacing w:after="160"/>
      </w:pPr>
      <w:r>
        <w:rPr>
          <w:b/>
          <w:bCs/>
          <w:color w:val="FF0000"/>
        </w:rPr>
        <w:t xml:space="preserve">Response: </w:t>
      </w:r>
      <w:r>
        <w:rPr>
          <w:color w:val="FF0000"/>
        </w:rPr>
        <w:t xml:space="preserve">Agreed, and now stated. A genotype is counted as predicted to reduce binding when ΔΔGbind exceeds +0.5 kcal/mol, approximately the thermal energy kBT at 300 K, and as predicted to have little effect otherwise; the same cutoff is applied to ΔΔETotal. The cutoff was fixed a priori from the thermal energy rather than fitted to the panel. Against the 13 genotypes with an established phenotype, ΔΔGbind gives 7 true positives, 3 true negatives, 1 false positive (V106I) and 2 false negatives (A98G+F227C and K103N+M230L): sensitivity 0.78, specificity 0.75, Matthews correlation coefficient 0.50. Because any single cutoff is arbitrary for an observable that was never calibrated to a clinical threshold, we also report the area under the ROC curve, 0.78 (exact permutation p = 0.074). This appears in the Abstract, in the Statistical analysis section and in the Results.</w:t>
      </w:r>
    </w:p>
    <w:p>
      <w:pPr>
        <w:pStyle w:val="Heading2"/>
        <w:spacing w:after="160" w:before="320"/>
      </w:pPr>
      <w:r>
        <w:rPr>
          <w:b/>
          <w:bCs/>
        </w:rPr>
        <w:t xml:space="preserve">Reviewer 3, comment 2 — typographical issues</w:t>
      </w:r>
    </w:p>
    <w:p>
      <w:pPr>
        <w:spacing w:after="140"/>
        <w:ind w:left="420"/>
      </w:pPr>
      <w:r>
        <w:rPr>
          <w:i/>
          <w:iCs/>
        </w:rPr>
        <w:t xml:space="preserve">2. There are several minor typographical issues: "NRNTI-resistance mutations" (Page 16) should be "NNRTI-resistance mutations"; "hinges on" (Page 30) should be "hinges on" or "depends on"; "APPROVAL" section header (Page 35) is redundant with "Author Contributions." Please proofread carefully.</w:t>
      </w:r>
    </w:p>
    <w:p>
      <w:pPr>
        <w:spacing w:after="160"/>
      </w:pPr>
      <w:r>
        <w:rPr>
          <w:b/>
          <w:bCs/>
          <w:color w:val="FF0000"/>
        </w:rPr>
        <w:t xml:space="preserve">Response: </w:t>
      </w:r>
      <w:r>
        <w:rPr>
          <w:color w:val="FF0000"/>
        </w:rPr>
        <w:t xml:space="preserve">We have proofread the manuscript in full and corrected the errors found. On the three specific items: we were unable to locate the strings “NRNTI-resistance mutations” or an “APPROVAL” section header in our submitted manuscript file or Supporting Information, and we suspect these arose in the PDF generated during submission rather than in the source document. We have checked the section headings, and the author-information block contains only Author Contributions, Funding Sources and Notes. The manuscript has additionally been reviewed in full for language and usage.</w:t>
      </w:r>
    </w:p>
    <w:p>
      <w:pPr>
        <w:pStyle w:val="Heading2"/>
        <w:spacing w:after="160" w:before="320"/>
      </w:pPr>
      <w:r>
        <w:rPr>
          <w:b/>
          <w:bCs/>
        </w:rPr>
        <w:t xml:space="preserve">Reviewer 3, comment 3 — MM/GBSA minimization protocol</w:t>
      </w:r>
    </w:p>
    <w:p>
      <w:pPr>
        <w:spacing w:after="140"/>
        <w:ind w:left="420"/>
      </w:pPr>
      <w:r>
        <w:rPr>
          <w:i/>
          <w:iCs/>
        </w:rPr>
        <w:t xml:space="preserve">3. The MM/GBSA protocol minimizes each snapshot with all atoms free before energy evaluation (Page 11). This is unusual: standard MM/GBSA evaluates single-point energies on snapshots (or after minimizing only hydrogens) to avoid artificially distorting the ensemble. Full minimization of 100 snapshots per trajectory can substantially reduce energetic noise and may bias ΔΔE components, particularly ΔEelec and ΔEGB. The authors should:</w:t>
      </w:r>
    </w:p>
    <w:p>
      <w:pPr>
        <w:spacing w:after="140"/>
        <w:ind w:left="420"/>
      </w:pPr>
      <w:r>
        <w:rPr>
          <w:i/>
          <w:iCs/>
        </w:rPr>
        <w:t xml:space="preserve">(a) Justify full minimization versus the more standard single-point or hydrogen-only relaxation protocol.</w:t>
      </w:r>
    </w:p>
    <w:p>
      <w:pPr>
        <w:spacing w:after="140"/>
        <w:ind w:left="420"/>
      </w:pPr>
      <w:r>
        <w:rPr>
          <w:i/>
          <w:iCs/>
        </w:rPr>
        <w:t xml:space="preserve">(b) Report how sensitive ΔΔETotal and its components are to this choice (e.g., by recomputing without minimization for a subset of genotypes).</w:t>
      </w:r>
    </w:p>
    <w:p>
      <w:pPr>
        <w:spacing w:after="160"/>
      </w:pPr>
      <w:r>
        <w:rPr>
          <w:b/>
          <w:bCs/>
          <w:color w:val="FF0000"/>
        </w:rPr>
        <w:t xml:space="preserve">Response: </w:t>
      </w:r>
      <w:r>
        <w:rPr>
          <w:color w:val="FF0000"/>
        </w:rPr>
        <w:t xml:space="preserve">(a) The justification is now given in the Methods, with citations. Minimizing each snapshot before the energy evaluation is established practice for end-point methods rather than a departure from it: minimization-based MM-PBSA was validated for drug discovery by Kuhn et al. (J. Med. Chem. 2005, 48, 4040), Rastelli et al. (J. Comput. Chem. 2010, 31, 797) showed that minimization-based MM-PBSA and MM-GBSA reproduce the accuracy of ensemble averaging at a fraction of the cost, and minimizing from a series of MD snapshots — which is what we do — was shown by Weis et al. (J. Med. Chem. 2006, 49, 6596) and in the review we already cite (Genheden and Ryde, ref 34) to give results similar to single-point ensemble averages. That review states directly that minimized structures often give as good or better results as MD simulations.</w:t>
      </w:r>
    </w:p>
    <w:p>
      <w:pPr>
        <w:spacing w:after="160"/>
      </w:pPr>
      <w:r>
        <w:rPr>
          <w:color w:val="FF0000"/>
        </w:rPr>
        <w:t xml:space="preserve">The purpose of the minimization in our case is to relieve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agree with the reviewer that this needed stating and defending rather than simply reporting, and the revised Methods now does so.</w:t>
      </w:r>
    </w:p>
    <w:p>
      <w:pPr>
        <w:spacing w:after="160"/>
      </w:pPr>
      <w:r>
        <w:rPr>
          <w:color w:val="FF0000"/>
        </w:rPr>
        <w:t xml:space="preserve">(b) We accept the reviewer’s point that full minimization may reduce energetic noise and bias the components, and we have recomputed a subset of genotypes (WT, K103N, V106A, Y188L, G190E and V106I+F227C, three replicates each) under single-point evaluation, under hydrogen-only relaxation with heavy atoms restrained, and under the unrestrained full minimization used in the main text, reporting ΔΔETotal and each component side by side so the sensitivity is visible (Supplementary Table 5).</w:t>
      </w:r>
    </w:p>
    <w:p>
      <w:pPr>
        <w:spacing w:after="200"/>
        <w:ind w:left="420"/>
      </w:pPr>
      <w:r>
        <w:rPr>
          <w:b/>
          <w:bCs/>
          <w:color w:val="FF0000"/>
        </w:rPr>
        <w:t xml:space="preserve">[PENDING — insert the Supplementary Table 5 numbers and one sentence stating whether the conclusions are unchanged.]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 ci-2026-030865</dc:title>
  <dc:creator>Rohit Satija</dc:creator>
  <cp:lastModifiedBy>Un-named</cp:lastModifiedBy>
  <cp:revision>1</cp:revision>
  <dcterms:created xsi:type="dcterms:W3CDTF">2026-10-20T23:43:40.875Z</dcterms:created>
  <dcterms:modified xsi:type="dcterms:W3CDTF">2026-10-20T23:43:40.876Z</dcterms:modified>
</cp:coreProperties>
</file>

<file path=docProps/custom.xml><?xml version="1.0" encoding="utf-8"?>
<Properties xmlns="http://schemas.openxmlformats.org/officeDocument/2006/custom-properties" xmlns:vt="http://schemas.openxmlformats.org/officeDocument/2006/docPropsVTypes"/>
</file>