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rPr>
        <w:t xml:space="preserve">Additions for Revision 1 (placeholders)</w:t>
      </w:r>
    </w:p>
    <w:p>
      <w:pPr>
        <w:spacing w:after="200"/>
      </w:pPr>
      <w:r>
        <w:t xml:space="preserve">The sections below are referenced from the revised manuscript and are to be completed once the corresponding analyses finish. They are listed here so that every forward reference in the manuscript has a destination.</w:t>
      </w:r>
    </w:p>
    <w:p>
      <w:pPr>
        <w:spacing w:after="200"/>
      </w:pPr>
      <w: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p>
      <w:pPr>
        <w:spacing w:after="200"/>
      </w:pPr>
      <w: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t xml:space="preserve">Supplementary Note 2. Effect of the ligand charge model. MM/GBSA energies recomputed with AM1-BCC partial charges for WT, V106A and Y188L, using the same trajectories, snapshots, sampling and relaxation protocol as the main text, so that the ligand charge set is the only difference. The two charge sets are both neutral and correlate at 0.890, but AM1-BCC is more polarised (mean |q| 0.228 e against 0.138 e; RMS difference 0.165 e, maximum 0.390 e), with the largest differences on the triazolinone and pyridinone carbonyl and amide atoms. Absolute binding energies shift by 3.5–4.6 kcal/mol. The WT-referenced ΔΔETotal reported in Table 2 shifts by at most 0.81 kcal/mol (V106A 1.73 → 2.54, Y188L 2.78 → 2.34) with the sign preserved, and the shift falls almost entirely on the charge-dependent components (ΔΔEelec up to 1.17, ΔΔEGB up to 1.32) while ΔΔEvdW moves only 0.23–0.29 kcal/mol. Much of the charge-model effect is therefore common to wild type and mutant and cancels in the WT-referenced difference. This applies to MM/GBSA only; ΔΔGbind is unaffected because DOR is neutral and identically parameterised at both end states of every alchemical leg.</w:t>
      </w:r>
    </w:p>
    <w:p>
      <w:pPr>
        <w:spacing w:after="200"/>
      </w:pPr>
      <w: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t xml:space="preserve">Supplementary Figure 5. Apo and holo NNIBP volume distributions. Per-frame pocket volume for the bound state over full production, and for the unliganded state over a matched 10 ns window, since the wild-type apo trajectories are 10 ns and serve as the reference. The unliganded pocket is substantially collapsed relative to the bound state, and the difference between the two medians — the conformational change DOR must pay for — is larger than wild type (129 Å³) for all three genotypes whose ΔΔGbind misses the phenotype: G190E (253 Å³), V106I+F227C and A98G+F227C (172 Å³ each) and K103N+M230L (163 Å³). In one G190E apo replicate the measured volume expands after roughly 20 ns. This is an artifact of reconstructing periodic images for a chain-broken topology rather than a conformational event: RT's disordered loops leave each chain as several bonded fragments, which image independently and scatter across the box, while the simulation's potential energy stays flat to within 0.5% for the whole run. Those frames are excluded from interpretation; the matched 10 ns window precedes them and is unaffected.</w:t>
      </w: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