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we report their estimated magnitude in the Supporting Information so that the residual uncertainty on these two legs is explicit.</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