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DCDB22" w14:textId="77777777" w:rsidR="002F2B1F" w:rsidRPr="000F7070" w:rsidRDefault="00000000">
      <w:pPr>
        <w:pStyle w:val="Heading1"/>
        <w:spacing w:after="200"/>
        <w:rPr>
          <w:color w:val="000000" w:themeColor="text1"/>
        </w:rPr>
      </w:pPr>
      <w:r w:rsidRPr="000F7070">
        <w:rPr>
          <w:b/>
          <w:bCs/>
          <w:color w:val="000000" w:themeColor="text1"/>
        </w:rPr>
        <w:t>Response to Reviewers</w:t>
      </w:r>
    </w:p>
    <w:p w14:paraId="38CF87EF" w14:textId="77777777" w:rsidR="002F2B1F" w:rsidRDefault="00000000">
      <w:pPr>
        <w:spacing w:after="120"/>
      </w:pPr>
      <w:r>
        <w:rPr>
          <w:b/>
          <w:bCs/>
        </w:rPr>
        <w:t>Manuscript ci-2026-030865 — “Molecular Simulation of Doravirine Resistance in HIV-1 Reverse Transcriptase”</w:t>
      </w:r>
    </w:p>
    <w:p w14:paraId="0C9EBAD6" w14:textId="77777777" w:rsidR="002F2B1F" w:rsidRDefault="00000000">
      <w:pPr>
        <w:spacing w:after="260"/>
      </w:pPr>
      <w:r>
        <w:t>Rohit Satija, Kaiming Tao, Robert W. Shafer</w:t>
      </w:r>
    </w:p>
    <w:p w14:paraId="40726382" w14:textId="5F3A6B3E" w:rsidR="002F2B1F" w:rsidRDefault="00000000">
      <w:pPr>
        <w:spacing w:after="160"/>
      </w:pPr>
      <w:r>
        <w:rPr>
          <w:b/>
          <w:bCs/>
          <w:color w:val="FF0000"/>
        </w:rPr>
        <w:t xml:space="preserve">Response: </w:t>
      </w:r>
      <w:r>
        <w:rPr>
          <w:color w:val="FF0000"/>
        </w:rPr>
        <w:t xml:space="preserve">We thank the editor and the three reviewers for a careful and constructive set of reports. </w:t>
      </w:r>
      <w:r w:rsidR="00A102CD">
        <w:rPr>
          <w:color w:val="FF0000"/>
        </w:rPr>
        <w:t xml:space="preserve">We believe the updates made due to these reviews have significantly improved the </w:t>
      </w:r>
      <w:r w:rsidR="00EA50B4">
        <w:rPr>
          <w:color w:val="FF0000"/>
        </w:rPr>
        <w:t xml:space="preserve">manuscript. </w:t>
      </w:r>
      <w:r>
        <w:rPr>
          <w:color w:val="FF0000"/>
        </w:rPr>
        <w:t>Reviewer comments are reproduced below in black</w:t>
      </w:r>
      <w:r w:rsidR="000F7070">
        <w:rPr>
          <w:color w:val="FF0000"/>
        </w:rPr>
        <w:t xml:space="preserve"> and</w:t>
      </w:r>
      <w:r>
        <w:rPr>
          <w:color w:val="FF0000"/>
        </w:rPr>
        <w:t xml:space="preserve"> our responses are in red. All changes to the manuscript </w:t>
      </w:r>
      <w:r w:rsidR="00EA50B4">
        <w:rPr>
          <w:color w:val="FF0000"/>
        </w:rPr>
        <w:t xml:space="preserve">and the supplementary text </w:t>
      </w:r>
      <w:r>
        <w:rPr>
          <w:color w:val="FF0000"/>
        </w:rPr>
        <w:t xml:space="preserve">are marked in red in </w:t>
      </w:r>
      <w:r w:rsidR="003139B1">
        <w:rPr>
          <w:color w:val="FF0000"/>
        </w:rPr>
        <w:t xml:space="preserve">accompanying </w:t>
      </w:r>
      <w:r>
        <w:rPr>
          <w:color w:val="FF0000"/>
        </w:rPr>
        <w:t>revised file</w:t>
      </w:r>
      <w:r w:rsidR="00EA50B4">
        <w:rPr>
          <w:color w:val="FF0000"/>
        </w:rPr>
        <w:t>s</w:t>
      </w:r>
      <w:r>
        <w:rPr>
          <w:color w:val="FF0000"/>
        </w:rPr>
        <w:t>.</w:t>
      </w:r>
    </w:p>
    <w:p w14:paraId="7F603BCD" w14:textId="77777777" w:rsidR="002F2B1F" w:rsidRPr="000F7070" w:rsidRDefault="00000000">
      <w:pPr>
        <w:pStyle w:val="Heading2"/>
        <w:spacing w:before="320" w:after="160"/>
        <w:rPr>
          <w:color w:val="000000" w:themeColor="text1"/>
        </w:rPr>
      </w:pPr>
      <w:r w:rsidRPr="000F7070">
        <w:rPr>
          <w:b/>
          <w:bCs/>
          <w:color w:val="000000" w:themeColor="text1"/>
        </w:rPr>
        <w:t>Reviewer 1</w:t>
      </w:r>
    </w:p>
    <w:p w14:paraId="0C981107" w14:textId="77777777" w:rsidR="002F2B1F" w:rsidRDefault="00000000">
      <w:pPr>
        <w:spacing w:after="140"/>
        <w:ind w:left="420"/>
      </w:pPr>
      <w:r>
        <w:rPr>
          <w:i/>
          <w:iCs/>
        </w:rPr>
        <w:t>Comments:</w:t>
      </w:r>
    </w:p>
    <w:p w14:paraId="40D1E3CE" w14:textId="77777777" w:rsidR="002F2B1F" w:rsidRDefault="00000000">
      <w:pPr>
        <w:spacing w:after="140"/>
        <w:ind w:left="420"/>
      </w:pPr>
      <w:r>
        <w:rPr>
          <w:i/>
          <w:iCs/>
        </w:rPr>
        <w:t>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14:paraId="2A8A7640" w14:textId="20607D0F" w:rsidR="002F2B1F" w:rsidRDefault="00000000" w:rsidP="000F7070">
      <w:pPr>
        <w:spacing w:after="140"/>
        <w:ind w:left="420"/>
      </w:pPr>
      <w:r>
        <w:rPr>
          <w:i/>
          <w:iCs/>
        </w:rPr>
        <w:t>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r w:rsidR="000F7070">
        <w:t xml:space="preserve"> </w:t>
      </w:r>
      <w:r>
        <w:rPr>
          <w:i/>
          <w:iCs/>
        </w:rPr>
        <w:t>simulated here, that assumption is precisely what the manuscript's own inconsistent results (Section 3, below) call into question.</w:t>
      </w:r>
    </w:p>
    <w:p w14:paraId="1CE73BC3" w14:textId="61E233C9" w:rsidR="002F2B1F" w:rsidRDefault="00000000">
      <w:pPr>
        <w:spacing w:after="160"/>
      </w:pPr>
      <w:r>
        <w:rPr>
          <w:b/>
          <w:bCs/>
          <w:color w:val="FF0000"/>
        </w:rPr>
        <w:t xml:space="preserve">Response: </w:t>
      </w:r>
      <w:r>
        <w:rPr>
          <w:color w:val="FF0000"/>
        </w:rPr>
        <w:t xml:space="preserve">We appreciate this framing, </w:t>
      </w:r>
      <w:r w:rsidR="000F7070">
        <w:rPr>
          <w:color w:val="FF0000"/>
        </w:rPr>
        <w:t>pointing to a central limitation of our wor</w:t>
      </w:r>
      <w:r w:rsidR="00B9253F">
        <w:rPr>
          <w:color w:val="FF0000"/>
        </w:rPr>
        <w:t>k. Accordingly,</w:t>
      </w:r>
      <w:r>
        <w:rPr>
          <w:color w:val="FF0000"/>
        </w:rPr>
        <w:t xml:space="preserve"> </w:t>
      </w:r>
      <w:r w:rsidR="00B9253F">
        <w:rPr>
          <w:color w:val="FF0000"/>
        </w:rPr>
        <w:t>we have made several updates to the manuscript</w:t>
      </w:r>
      <w:r>
        <w:rPr>
          <w:color w:val="FF0000"/>
        </w:rPr>
        <w:t>.</w:t>
      </w:r>
    </w:p>
    <w:p w14:paraId="6DEC5864" w14:textId="77777777" w:rsidR="002F2B1F" w:rsidRDefault="00000000">
      <w:pPr>
        <w:pStyle w:val="Heading2"/>
        <w:spacing w:before="320" w:after="160"/>
      </w:pPr>
      <w:r>
        <w:rPr>
          <w:b/>
          <w:bCs/>
        </w:rPr>
        <w:t>Reviewer 1, comment 1 — weak correlation with phenotype</w:t>
      </w:r>
    </w:p>
    <w:p w14:paraId="1F07E925" w14:textId="77777777" w:rsidR="002F2B1F" w:rsidRDefault="00000000">
      <w:pPr>
        <w:spacing w:after="140"/>
        <w:ind w:left="420"/>
      </w:pPr>
      <w:r>
        <w:rPr>
          <w:i/>
          <w:iCs/>
        </w:rPr>
        <w:t>Major comments:</w:t>
      </w:r>
    </w:p>
    <w:p w14:paraId="3247F425" w14:textId="5512B1F1" w:rsidR="002F2B1F" w:rsidRDefault="00000000" w:rsidP="00C14EB5">
      <w:pPr>
        <w:spacing w:after="140"/>
        <w:ind w:left="420"/>
      </w:pPr>
      <w:r>
        <w:rPr>
          <w:i/>
          <w:iCs/>
        </w:rPr>
        <w:t xml:space="preserve">1. </w:t>
      </w:r>
      <w:r w:rsidRPr="00785267">
        <w:rPr>
          <w:b/>
          <w:bCs/>
          <w:i/>
          <w:iCs/>
        </w:rPr>
        <w:t>Weak correlation with phenotype</w:t>
      </w:r>
      <w:r>
        <w:rPr>
          <w:i/>
          <w:iCs/>
        </w:rPr>
        <w:t>.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r w:rsidR="00C14EB5">
        <w:t xml:space="preserve"> </w:t>
      </w:r>
      <w:r>
        <w:rPr>
          <w:i/>
          <w:iCs/>
        </w:rPr>
        <w:t>of the free-energy calculation, but also resistance mechanisms involving mutation-induced changes in RT conformation and NNIBP formation.</w:t>
      </w:r>
    </w:p>
    <w:p w14:paraId="520219D8" w14:textId="2027B6DC" w:rsidR="002F2B1F" w:rsidRDefault="00000000" w:rsidP="00785267">
      <w:pPr>
        <w:spacing w:after="160"/>
        <w:rPr>
          <w:color w:val="FF0000"/>
        </w:rPr>
      </w:pPr>
      <w:r>
        <w:rPr>
          <w:b/>
          <w:bCs/>
          <w:color w:val="FF0000"/>
        </w:rPr>
        <w:t xml:space="preserve">Response: </w:t>
      </w:r>
      <w:r w:rsidR="00785267">
        <w:rPr>
          <w:color w:val="FF0000"/>
        </w:rPr>
        <w:t>This is correct and, accordingly, we have added the following text in the Discussion section:</w:t>
      </w:r>
    </w:p>
    <w:p w14:paraId="1C67A251" w14:textId="55F141F9" w:rsidR="00785267" w:rsidRDefault="00785267" w:rsidP="00785267">
      <w:pPr>
        <w:spacing w:after="160"/>
      </w:pPr>
      <w:r>
        <w:rPr>
          <w:color w:val="FF0000"/>
        </w:rPr>
        <w:t>“”</w:t>
      </w:r>
    </w:p>
    <w:p w14:paraId="35A65480" w14:textId="77777777" w:rsidR="002F2B1F" w:rsidRDefault="00000000">
      <w:pPr>
        <w:pStyle w:val="Heading2"/>
        <w:spacing w:before="320" w:after="160"/>
      </w:pPr>
      <w:r>
        <w:rPr>
          <w:b/>
          <w:bCs/>
        </w:rPr>
        <w:t>Reviewer 1, comment 2 — convergence within a basin</w:t>
      </w:r>
    </w:p>
    <w:p w14:paraId="490494F5" w14:textId="77777777" w:rsidR="002F2B1F" w:rsidRDefault="00000000">
      <w:pPr>
        <w:spacing w:after="140"/>
        <w:ind w:left="420"/>
      </w:pPr>
      <w:r>
        <w:rPr>
          <w:i/>
          <w:iCs/>
        </w:rPr>
        <w:t>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14:paraId="4FD34867" w14:textId="77777777" w:rsidR="002F2B1F" w:rsidRDefault="00000000">
      <w:pPr>
        <w:spacing w:after="140"/>
        <w:ind w:left="420"/>
      </w:pPr>
      <w:r>
        <w:rPr>
          <w:i/>
          <w:iCs/>
        </w:rPr>
        <w:t>First, test representative systems from independent starting poses to determine whether the same DOR-bound state is recovered.</w:t>
      </w:r>
    </w:p>
    <w:p w14:paraId="778D899B" w14:textId="77777777" w:rsidR="002F2B1F" w:rsidRDefault="00000000">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w:t>
      </w:r>
      <w:r>
        <w:rPr>
          <w:i/>
          <w:iCs/>
        </w:rPr>
        <w:lastRenderedPageBreak/>
        <w:t>These mutations are located in loop-rich regions and could affect pocket formation through slower conformational remodeling that is not captured in the current simulations.</w:t>
      </w:r>
    </w:p>
    <w:p w14:paraId="0BE4F89F" w14:textId="77777777" w:rsidR="002F2B1F" w:rsidRDefault="00000000">
      <w:pPr>
        <w:spacing w:after="160"/>
      </w:pPr>
      <w:r>
        <w:rPr>
          <w:b/>
          <w:bCs/>
          <w:color w:val="FF0000"/>
        </w:rPr>
        <w:t xml:space="preserve">Response: </w:t>
      </w:r>
      <w:r>
        <w:rPr>
          <w:color w:val="FF0000"/>
        </w:rPr>
        <w:t>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14:paraId="6A22A23B" w14:textId="77777777" w:rsidR="002F2B1F" w:rsidRDefault="00000000">
      <w:pPr>
        <w:spacing w:after="160"/>
      </w:pPr>
      <w:r>
        <w:rPr>
          <w:color w:val="FF0000"/>
        </w:rPr>
        <w:t>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14:paraId="4DB6B3A9" w14:textId="77777777" w:rsidR="002F2B1F" w:rsidRDefault="00000000">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w:t>
      </w:r>
      <w:proofErr w:type="spellStart"/>
      <w:r>
        <w:rPr>
          <w:color w:val="FF0000"/>
        </w:rPr>
        <w:t>ddG_bind</w:t>
      </w:r>
      <w:proofErr w:type="spellEnd"/>
      <w:r>
        <w:rPr>
          <w:color w:val="FF0000"/>
        </w:rPr>
        <w:t xml:space="preserve">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in one G190E apo replicate the measured volume expands after roughly 20 ns. We traced this to the reconstruction of periodic images for a chain-broken topology rather than to a conformational event. RT's disordered loops leave each chain as several bonded fragments, which image independently and scatter across the box, while the simulation's potential energy stays flat to within 0.5 percent across the whole run. Those frames are excluded, and the matched 10 ns window precedes them. On the reviewer's first request, independent starting poses, we have not run new simulations, and we would rather quantify that gap than leave it as a caveat. Our replicates differ only by a 0.1 angstrom coordinate perturbation, and across the whole panel the DOR heavy-atom RMSD from the crystallographic pose settles between 0.64 and 0.93 angstroms, with wild type at 0.66. The complexes are therefore stable, which is a physical result for a tightly bound inhibitor, but the ensembles plainly do not visit alternative poses. That is the reviewer's point stated numerically: nothing in our data could distinguish a pose that is correct from one that is merely the one we started from, and only a test from independent starts could. We say so in the Discussion rather than describing the replicates as independent.</w:t>
      </w:r>
    </w:p>
    <w:p w14:paraId="75172864" w14:textId="77777777" w:rsidR="002F2B1F" w:rsidRDefault="00000000">
      <w:pPr>
        <w:pStyle w:val="Heading2"/>
        <w:spacing w:before="320" w:after="160"/>
      </w:pPr>
      <w:r>
        <w:rPr>
          <w:b/>
          <w:bCs/>
        </w:rPr>
        <w:t>Reviewer 1, comment 3 — the mismatches suggest different mechanisms</w:t>
      </w:r>
    </w:p>
    <w:p w14:paraId="147587E8" w14:textId="77777777" w:rsidR="002F2B1F" w:rsidRDefault="00000000">
      <w:pPr>
        <w:spacing w:after="140"/>
        <w:ind w:left="420"/>
      </w:pPr>
      <w:r>
        <w:rPr>
          <w:i/>
          <w:iCs/>
        </w:rPr>
        <w:t>3. The mismatches suggest different resistance mechanisms. The mismatches between calculated ΔΔGbind and the experimental phenotype are not simply random errors and should be discussed mechanistically. For example:</w:t>
      </w:r>
    </w:p>
    <w:p w14:paraId="7BEB8141" w14:textId="77777777" w:rsidR="002F2B1F" w:rsidRDefault="00000000">
      <w:pPr>
        <w:spacing w:after="140"/>
        <w:ind w:left="420"/>
      </w:pPr>
      <w:r>
        <w:rPr>
          <w:i/>
          <w:iCs/>
        </w:rPr>
        <w:t>K103N+M230L shows only a small calculated binding penalty despite 36-fold resistance.</w:t>
      </w:r>
    </w:p>
    <w:p w14:paraId="14CAA0BD" w14:textId="77777777" w:rsidR="002F2B1F" w:rsidRDefault="00000000">
      <w:pPr>
        <w:spacing w:after="140"/>
        <w:ind w:left="420"/>
      </w:pPr>
      <w:r>
        <w:rPr>
          <w:i/>
          <w:iCs/>
        </w:rPr>
        <w:t>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14:paraId="3C852B62" w14:textId="77777777" w:rsidR="002F2B1F" w:rsidRDefault="00000000">
      <w:pPr>
        <w:spacing w:after="160"/>
      </w:pPr>
      <w:r>
        <w:rPr>
          <w:b/>
          <w:bCs/>
          <w:color w:val="FF0000"/>
        </w:rPr>
        <w:t xml:space="preserve">Response: </w:t>
      </w:r>
      <w:r>
        <w:rPr>
          <w:color w:val="FF0000"/>
        </w:rPr>
        <w:t>We agree that these are not random errors, and the revised Discussion treats them as mechanistically informative. For G190E and A98G+F227C, the interface distortion is real in the holo state (</w:t>
      </w:r>
      <w:proofErr w:type="spellStart"/>
      <w:r>
        <w:rPr>
          <w:color w:val="FF0000"/>
        </w:rPr>
        <w:t>ΔΔETotal</w:t>
      </w:r>
      <w:proofErr w:type="spellEnd"/>
      <w:r>
        <w:rPr>
          <w:color w:val="FF0000"/>
        </w:rPr>
        <w:t xml:space="preserve"> = 1.94 ± 0.40 and 2.47 ± 0.24 kcal/mol) but comparable distortion is present in the apo simulations, so the penalty cancels in the </w:t>
      </w:r>
      <w:r>
        <w:rPr>
          <w:color w:val="FF0000"/>
        </w:rPr>
        <w:lastRenderedPageBreak/>
        <w:t>thermodynamic cycle and the residual favors binding. That cancellation is the mechanism, not an artifact to be explained away, and it is exactly what the reviewer anticipates when asking whether the remodeling occurs in both apo and holo RT.</w:t>
      </w:r>
    </w:p>
    <w:p w14:paraId="5BDE1555" w14:textId="77777777" w:rsidR="002F2B1F" w:rsidRDefault="00000000">
      <w:pPr>
        <w:spacing w:after="160"/>
      </w:pPr>
      <w:r>
        <w:rPr>
          <w:color w:val="FF0000"/>
        </w:rPr>
        <w:t>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14:paraId="71E549B3" w14:textId="77777777" w:rsidR="002F2B1F" w:rsidRDefault="00000000">
      <w:pPr>
        <w:pStyle w:val="Heading2"/>
        <w:spacing w:before="320" w:after="160"/>
      </w:pPr>
      <w:r>
        <w:rPr>
          <w:b/>
          <w:bCs/>
        </w:rPr>
        <w:t>Reviewer 1, comment 4 — clearer summary of the structural analysis</w:t>
      </w:r>
    </w:p>
    <w:p w14:paraId="0449407B" w14:textId="77777777" w:rsidR="002F2B1F" w:rsidRDefault="00000000">
      <w:pPr>
        <w:spacing w:after="140"/>
        <w:ind w:left="420"/>
      </w:pPr>
      <w:r>
        <w:rPr>
          <w:i/>
          <w:iCs/>
        </w:rPr>
        <w:t>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14:paraId="093B6A1B" w14:textId="77777777" w:rsidR="002F2B1F" w:rsidRDefault="00000000">
      <w:pPr>
        <w:spacing w:after="140"/>
        <w:ind w:left="420"/>
      </w:pPr>
      <w:r>
        <w:rPr>
          <w:i/>
          <w:iCs/>
        </w:rPr>
        <w:t>heatmap summarizing the structural metrics in Table 3 would also help identify patterns in DOR contacts, pocket size, and mutation-induced remodeling across genotypes.</w:t>
      </w:r>
    </w:p>
    <w:p w14:paraId="476242DC" w14:textId="77777777" w:rsidR="002F2B1F" w:rsidRDefault="00000000">
      <w:pPr>
        <w:spacing w:after="140"/>
        <w:ind w:left="420"/>
      </w:pPr>
      <w:r>
        <w:rPr>
          <w:i/>
          <w:iCs/>
        </w:rPr>
        <w:t>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14:paraId="1FABBC7A" w14:textId="77777777" w:rsidR="002F2B1F" w:rsidRDefault="00000000">
      <w:pPr>
        <w:spacing w:after="160"/>
      </w:pPr>
      <w:r>
        <w:rPr>
          <w:b/>
          <w:bCs/>
          <w:color w:val="FF0000"/>
        </w:rPr>
        <w:t xml:space="preserve">Response: </w:t>
      </w:r>
      <w:r>
        <w:rPr>
          <w:color w:val="FF0000"/>
        </w:rPr>
        <w:t>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14:paraId="1A6A63E6" w14:textId="77777777" w:rsidR="002F2B1F" w:rsidRDefault="00000000">
      <w:pPr>
        <w:spacing w:after="200"/>
        <w:ind w:left="420"/>
      </w:pPr>
      <w:r>
        <w:rPr>
          <w:color w:val="FF0000"/>
        </w:rPr>
        <w:t xml:space="preserve">All three are now done. The mutation map places every substituted position on the p66 structure, projected onto the plane that best spreads the NNIBP-lining residues so the pocket is seen face-on, with a companion panel giving each position's minimum heavy-atom distance to DOR. That second panel carries a result we had not previously stated: ten of the twelve substituted positions lie within 4.2 angstroms of DOR, and only two do not, M230L at 6.9 and A98G at 8.2. Those are the positions in two of the three genotypes where </w:t>
      </w:r>
      <w:proofErr w:type="spellStart"/>
      <w:r>
        <w:rPr>
          <w:color w:val="FF0000"/>
        </w:rPr>
        <w:t>ddG_bind</w:t>
      </w:r>
      <w:proofErr w:type="spellEnd"/>
      <w:r>
        <w:rPr>
          <w:color w:val="FF0000"/>
        </w:rPr>
        <w:t xml:space="preserve"> misses the phenotype, so the argument that these act through the protein rather than on the ligand is now quantitative. The WT-referenced heatmap expresses each Table 3 metric as a deviation from wild type in units of the pooled replicate standard error, which puts metrics in angstroms, counts, degrees and cubic angstroms on one comparable scale; it makes the groupings immediate, with all four V106A genotypes sharing the Ser105 approach, all four K103N genotypes sharing the side-chain signature, and G190A pale across every metric. On the protein-level observables, we have added per-residue Ca RMSF and three-state secondary structure, both WT-referenced. The outcome is a negative result that we think strengthens the paper rather than weakening it: regional RMSF changes reach at most 0.25 angstroms, in the primer grip and the beta9-beta10 sheet for Y181C and G190S, and secondary structure is essentially unchanged throughout, the largest shift being G190E losing 0.08 of strand character at the NNIBP lining. No genotype remodels the fold in the bound state, so the differences in Table 3 are local to the DOR interface rather than consequences of broader conformational change, which is precisely the distinction the reviewer asked us to be able to draw.</w:t>
      </w:r>
    </w:p>
    <w:p w14:paraId="7E871E48" w14:textId="77777777" w:rsidR="002F2B1F" w:rsidRDefault="00000000">
      <w:pPr>
        <w:pStyle w:val="Heading2"/>
        <w:spacing w:before="320" w:after="160"/>
      </w:pPr>
      <w:r>
        <w:rPr>
          <w:b/>
          <w:bCs/>
        </w:rPr>
        <w:t>Reviewer 2</w:t>
      </w:r>
    </w:p>
    <w:p w14:paraId="20A1A50C" w14:textId="77777777" w:rsidR="002F2B1F" w:rsidRDefault="00000000">
      <w:pPr>
        <w:spacing w:after="140"/>
        <w:ind w:left="420"/>
      </w:pPr>
      <w:r>
        <w:rPr>
          <w:i/>
          <w:iCs/>
        </w:rPr>
        <w:t>Reviewer: 2</w:t>
      </w:r>
    </w:p>
    <w:p w14:paraId="74457E9E" w14:textId="77777777" w:rsidR="002F2B1F" w:rsidRDefault="00000000">
      <w:pPr>
        <w:spacing w:after="140"/>
        <w:ind w:left="420"/>
      </w:pPr>
      <w:r>
        <w:rPr>
          <w:i/>
          <w:iCs/>
        </w:rPr>
        <w:t>Comments:</w:t>
      </w:r>
    </w:p>
    <w:p w14:paraId="29177B9F" w14:textId="77777777" w:rsidR="002F2B1F" w:rsidRDefault="00000000">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w:t>
      </w:r>
      <w:r>
        <w:rPr>
          <w:i/>
          <w:iCs/>
        </w:rPr>
        <w:lastRenderedPageBreak/>
        <w:t>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14:paraId="04EE3EC9" w14:textId="77777777" w:rsidR="002F2B1F" w:rsidRDefault="00000000">
      <w:pPr>
        <w:spacing w:after="140"/>
        <w:ind w:left="420"/>
      </w:pPr>
      <w:r>
        <w:rPr>
          <w:i/>
          <w:iCs/>
        </w:rPr>
        <w:t>More comments:</w:t>
      </w:r>
    </w:p>
    <w:p w14:paraId="42EB4517" w14:textId="77777777" w:rsidR="002F2B1F" w:rsidRDefault="00000000">
      <w:pPr>
        <w:spacing w:after="160"/>
      </w:pPr>
      <w:r>
        <w:rPr>
          <w:b/>
          <w:bCs/>
          <w:color w:val="FF0000"/>
        </w:rPr>
        <w:t xml:space="preserve">Response: </w:t>
      </w:r>
      <w:r>
        <w:rPr>
          <w:color w:val="FF0000"/>
        </w:rPr>
        <w:t>We thank the reviewer for the accurate summary and for the methodological points below, several of which identified real gaps in what we reported.</w:t>
      </w:r>
    </w:p>
    <w:p w14:paraId="56C6534E" w14:textId="77777777" w:rsidR="002F2B1F" w:rsidRDefault="00000000">
      <w:pPr>
        <w:pStyle w:val="Heading2"/>
        <w:spacing w:before="320" w:after="160"/>
      </w:pPr>
      <w:r>
        <w:rPr>
          <w:b/>
          <w:bCs/>
        </w:rPr>
        <w:t>Reviewer 2, comment 1 — convergence diagnostics</w:t>
      </w:r>
    </w:p>
    <w:p w14:paraId="1176A9E9" w14:textId="77777777" w:rsidR="002F2B1F" w:rsidRDefault="00000000">
      <w:pPr>
        <w:spacing w:after="140"/>
        <w:ind w:left="420"/>
      </w:pPr>
      <w:r>
        <w:rPr>
          <w:i/>
          <w:iCs/>
        </w:rPr>
        <w:t>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14:paraId="10610991" w14:textId="77777777" w:rsidR="002F2B1F" w:rsidRDefault="00000000">
      <w:pPr>
        <w:spacing w:after="160"/>
      </w:pPr>
      <w:r>
        <w:rPr>
          <w:b/>
          <w:bCs/>
          <w:color w:val="FF0000"/>
        </w:rPr>
        <w:t xml:space="preserve">Response: </w:t>
      </w:r>
      <w:r>
        <w:rPr>
          <w:color w:val="FF0000"/>
        </w:rPr>
        <w:t>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14:paraId="75B8C2CF" w14:textId="77777777" w:rsidR="002F2B1F" w:rsidRDefault="00000000">
      <w:pPr>
        <w:spacing w:after="200"/>
        <w:ind w:left="420"/>
      </w:pPr>
      <w:r>
        <w:rPr>
          <w:color w:val="FF0000"/>
        </w:rPr>
        <w:t>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14:paraId="4C1675CF" w14:textId="77777777" w:rsidR="002F2B1F" w:rsidRDefault="00000000">
      <w:pPr>
        <w:pStyle w:val="Heading2"/>
        <w:spacing w:before="320" w:after="160"/>
      </w:pPr>
      <w:r>
        <w:rPr>
          <w:b/>
          <w:bCs/>
        </w:rPr>
        <w:t>Reviewer 2, comment 2 — the binary RT–DOR system</w:t>
      </w:r>
    </w:p>
    <w:p w14:paraId="14B274B9" w14:textId="77777777" w:rsidR="002F2B1F" w:rsidRDefault="00000000">
      <w:pPr>
        <w:spacing w:after="140"/>
        <w:ind w:left="420"/>
      </w:pPr>
      <w:r>
        <w:rPr>
          <w:i/>
          <w:iCs/>
        </w:rPr>
        <w:t>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14:paraId="1D348D9D" w14:textId="77777777" w:rsidR="002F2B1F" w:rsidRDefault="00000000">
      <w:pPr>
        <w:spacing w:after="160"/>
      </w:pPr>
      <w:r>
        <w:rPr>
          <w:b/>
          <w:bCs/>
          <w:color w:val="FF0000"/>
        </w:rPr>
        <w:t xml:space="preserve">Response: </w:t>
      </w:r>
      <w:r>
        <w:rPr>
          <w:color w:val="FF0000"/>
        </w:rPr>
        <w:t>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14:paraId="0429808D" w14:textId="77777777" w:rsidR="002F2B1F" w:rsidRDefault="00000000">
      <w:pPr>
        <w:pStyle w:val="Heading2"/>
        <w:spacing w:before="320" w:after="160"/>
      </w:pPr>
      <w:r>
        <w:rPr>
          <w:b/>
          <w:bCs/>
        </w:rPr>
        <w:t>Reviewer 2, comment 3 — effect sizes and confidence intervals</w:t>
      </w:r>
    </w:p>
    <w:p w14:paraId="473563C2" w14:textId="77777777" w:rsidR="002F2B1F" w:rsidRDefault="00000000">
      <w:pPr>
        <w:spacing w:after="140"/>
        <w:ind w:left="420"/>
      </w:pPr>
      <w:r>
        <w:rPr>
          <w:i/>
          <w:iCs/>
        </w:rPr>
        <w:t>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14:paraId="6640EEB4" w14:textId="77777777" w:rsidR="002F2B1F" w:rsidRDefault="00000000">
      <w:pPr>
        <w:spacing w:after="160"/>
      </w:pPr>
      <w:r>
        <w:rPr>
          <w:b/>
          <w:bCs/>
          <w:color w:val="FF0000"/>
        </w:rPr>
        <w:lastRenderedPageBreak/>
        <w:t xml:space="preserve">Response: </w:t>
      </w:r>
      <w:r>
        <w:rPr>
          <w:color w:val="FF0000"/>
        </w:rPr>
        <w:t>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14:paraId="64125870" w14:textId="77777777" w:rsidR="002F2B1F" w:rsidRDefault="00000000">
      <w:pPr>
        <w:spacing w:after="200"/>
        <w:ind w:left="420"/>
      </w:pPr>
      <w:r>
        <w:rPr>
          <w:color w:val="FF0000"/>
        </w:rPr>
        <w:t>Both are now in hand, and the confidence intervals change what we claim. Treating the replicate as the unit of replication, since frames within a replicate are autocorrelated and pooling them would assert a precision the data does not have, we computed Welch intervals and Hedges' g for the comparisons the reviewer named along with WT references. Of 42 comparisons, 7 have a 95 percent interval excluding zero, and they are the manuscript's load-bearing claims: V106A against V106I on the DOR-Ser105 distance, +1.85 angstroms [1.25, 2.45], g = 8.5; WT against V106A on the same metric, -1.35 [-1.73, -0.97], g = -9.5; G190A against G190E on NNIBP volume, +51.0 cubic angstroms [39.5, 62.5], g = 9.6; and WT against Y188L on chlorocyanophenyl burial, -5.8 [-11.5, -0.1]. Equally important, the V106A against V106M contrast the reviewer specifically named survives on no metric, and for G190A against G190E only the pocket volume does. We have tempered the Discussion accordingly rather than leaving those comparisons stated as though they were established. On the torsion analysis, all four rotatable DOR dihedrals were computed across every replicate using circular statistics. The width rather than the mean carries the signal: tau4 broadens most in G190S (+13.0 degrees) and G190E (+5.2), and tau2 broadens across the V106 family, by +8.1 degrees in V106A+F227L, +7.9 in V106M, +4.8 in V106I and +4.6 in V106A+P225H, which is consistent with the chlorocyanophenyl ring repacking as DOR slides toward Ser105. The K103N-containing and F227C genotypes are flat to within a degree of WT. These are intramolecular coordinates, so unlike contact counts they are unaffected by periodic imaging, which makes them the cleanest available evidence that the ligand's internal conformation changes in the V106 and G190 families and not elsewhere.</w:t>
      </w:r>
    </w:p>
    <w:p w14:paraId="2ED7B3DB" w14:textId="77777777" w:rsidR="002F2B1F" w:rsidRDefault="00000000">
      <w:pPr>
        <w:pStyle w:val="Heading2"/>
        <w:spacing w:before="320" w:after="160"/>
      </w:pPr>
      <w:r>
        <w:rPr>
          <w:b/>
          <w:bCs/>
        </w:rPr>
        <w:t>Reviewer 2, comment 4 — charge-changing legs</w:t>
      </w:r>
    </w:p>
    <w:p w14:paraId="241B9301" w14:textId="77777777" w:rsidR="002F2B1F" w:rsidRDefault="00000000">
      <w:pPr>
        <w:spacing w:after="140"/>
        <w:ind w:left="420"/>
      </w:pPr>
      <w:r>
        <w:rPr>
          <w:i/>
          <w:iCs/>
        </w:rPr>
        <w:t>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14:paraId="50E35AEA" w14:textId="77777777" w:rsidR="002F2B1F" w:rsidRDefault="00000000">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w:t>
      </w:r>
      <w:proofErr w:type="spellStart"/>
      <w:r>
        <w:rPr>
          <w:color w:val="FF0000"/>
        </w:rPr>
        <w:t>histidines</w:t>
      </w:r>
      <w:proofErr w:type="spellEnd"/>
      <w:r>
        <w:rPr>
          <w:color w:val="FF0000"/>
        </w:rPr>
        <w:t xml:space="preserve">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14:paraId="3D239CC6" w14:textId="77777777" w:rsidR="002F2B1F" w:rsidRDefault="00000000">
      <w:pPr>
        <w:spacing w:after="160"/>
      </w:pPr>
      <w:r>
        <w:rPr>
          <w:color w:val="FF0000"/>
        </w:rPr>
        <w:t>The Methods now also describe the hybrid residue topologies (</w:t>
      </w:r>
      <w:proofErr w:type="spellStart"/>
      <w:r>
        <w:rPr>
          <w:color w:val="FF0000"/>
        </w:rPr>
        <w:t>pmx</w:t>
      </w:r>
      <w:proofErr w:type="spellEnd"/>
      <w:r>
        <w:rPr>
          <w:color w:val="FF0000"/>
        </w:rPr>
        <w:t xml:space="preserve"> single-topology construction, with atoms unique to one end state present as non-interacting dummies at the other, bonded parameters interpolated linearly in λ, dummies relaxed during end-state minimization) and give the soft-core parameters as run: the linearized </w:t>
      </w:r>
      <w:proofErr w:type="spellStart"/>
      <w:r>
        <w:rPr>
          <w:color w:val="FF0000"/>
        </w:rPr>
        <w:t>Gapsys</w:t>
      </w:r>
      <w:proofErr w:type="spellEnd"/>
      <w:r>
        <w:rPr>
          <w:color w:val="FF0000"/>
        </w:rPr>
        <w:t xml:space="preserve"> form with α = 0.3, σ = 0.25 nm, soft-core power 1, applied to both Lennard-Jones and Coulomb interactions.</w:t>
      </w:r>
    </w:p>
    <w:p w14:paraId="1A4222A3" w14:textId="77777777" w:rsidR="002F2B1F" w:rsidRDefault="00000000">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w:t>
      </w:r>
      <w:proofErr w:type="spellStart"/>
      <w:r>
        <w:rPr>
          <w:color w:val="FF0000"/>
        </w:rPr>
        <w:t>undersolvation</w:t>
      </w:r>
      <w:proofErr w:type="spellEnd"/>
      <w:r>
        <w:rPr>
          <w:color w:val="FF0000"/>
        </w:rPr>
        <w:t xml:space="preserve"> and discrete-solvent — were not applied in the submitted work, and we now state this and report their estimated magnitude so the residual uncertainty on these two legs is visible to the reader.</w:t>
      </w:r>
    </w:p>
    <w:p w14:paraId="76377E5C" w14:textId="77777777" w:rsidR="002F2B1F" w:rsidRDefault="00000000">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w:t>
      </w:r>
      <w:r>
        <w:rPr>
          <w:color w:val="FF0000"/>
        </w:rPr>
        <w:lastRenderedPageBreak/>
        <w:t>compute, the residual on the binding free energy is at most 0.003 kcal/mol, two to three orders of magnitude below the 0.2 to 1.2 kcal/mol per-leg statistical uncertainties in Table 2. The conclusion does not depend on the assumed magnitude.</w:t>
      </w:r>
    </w:p>
    <w:p w14:paraId="49F783A3" w14:textId="77777777" w:rsidR="002F2B1F" w:rsidRDefault="00000000">
      <w:pPr>
        <w:pStyle w:val="Heading2"/>
        <w:spacing w:before="320" w:after="160"/>
      </w:pPr>
      <w:r>
        <w:rPr>
          <w:b/>
          <w:bCs/>
        </w:rPr>
        <w:t>Reviewer 2, comment 5 — Gasteiger charges</w:t>
      </w:r>
    </w:p>
    <w:p w14:paraId="3781D391" w14:textId="77777777" w:rsidR="002F2B1F" w:rsidRDefault="00000000">
      <w:pPr>
        <w:spacing w:after="140"/>
        <w:ind w:left="420"/>
      </w:pPr>
      <w:r>
        <w:rPr>
          <w:i/>
          <w:iCs/>
        </w:rPr>
        <w:t>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14:paraId="0A9E22DE" w14:textId="77777777" w:rsidR="002F2B1F" w:rsidRDefault="00000000">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w:t>
      </w:r>
      <w:proofErr w:type="spellStart"/>
      <w:r>
        <w:rPr>
          <w:color w:val="FF0000"/>
        </w:rPr>
        <w:t>ΔEelec</w:t>
      </w:r>
      <w:proofErr w:type="spellEnd"/>
      <w:r>
        <w:rPr>
          <w:color w:val="FF0000"/>
        </w:rPr>
        <w:t xml:space="preserve">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14:paraId="6FAC532C" w14:textId="77777777" w:rsidR="002F2B1F" w:rsidRDefault="00000000">
      <w:pPr>
        <w:spacing w:after="200"/>
        <w:ind w:left="420"/>
      </w:pPr>
      <w:r>
        <w:rPr>
          <w:color w:val="FF0000"/>
        </w:rPr>
        <w:t xml:space="preserve">We have now done the </w:t>
      </w:r>
      <w:proofErr w:type="spellStart"/>
      <w:r>
        <w:rPr>
          <w:color w:val="FF0000"/>
        </w:rPr>
        <w:t>recomputation</w:t>
      </w:r>
      <w:proofErr w:type="spellEnd"/>
      <w:r>
        <w:rPr>
          <w:color w:val="FF0000"/>
        </w:rPr>
        <w:t xml:space="preserve"> as well as the discussion. The same trajectories were re-scored with AM1-BCC charges under an otherwise identical protocol, so the only difference between the two sets of numbers is the ligand charge model. First, the charge sets themselves differ substantially: both are neutral overall and correlate at 0.890, but AM1-BCC is markedly more </w:t>
      </w:r>
      <w:proofErr w:type="spellStart"/>
      <w:r>
        <w:rPr>
          <w:color w:val="FF0000"/>
        </w:rPr>
        <w:t>polarised</w:t>
      </w:r>
      <w:proofErr w:type="spellEnd"/>
      <w:r>
        <w:rPr>
          <w:color w:val="FF0000"/>
        </w:rPr>
        <w:t>, with a mean absolute charge of 0.228 e against 0.138 e, an RMS difference of 0.165 e and a maximum of 0.390 e, concentrated on the carbonyl and amide atoms of the triazolinone and pyridinone that Gasteiger under-</w:t>
      </w:r>
      <w:proofErr w:type="spellStart"/>
      <w:r>
        <w:rPr>
          <w:color w:val="FF0000"/>
        </w:rPr>
        <w:t>polarises</w:t>
      </w:r>
      <w:proofErr w:type="spellEnd"/>
      <w:r>
        <w:rPr>
          <w:color w:val="FF0000"/>
        </w:rPr>
        <w:t xml:space="preserve">. Second, that difference propagates to the absolute energies exactly as expected, moving them by 3.5 to 4.6 kcal/mol. Third, and this is the point for the manuscript, it does not propagate to the WT-referenced quantity that Table 2 reports: </w:t>
      </w:r>
      <w:proofErr w:type="spellStart"/>
      <w:r>
        <w:rPr>
          <w:color w:val="FF0000"/>
        </w:rPr>
        <w:t>ddE_Total</w:t>
      </w:r>
      <w:proofErr w:type="spellEnd"/>
      <w:r>
        <w:rPr>
          <w:color w:val="FF0000"/>
        </w:rPr>
        <w:t xml:space="preserve"> shifts by at most 0.81 kcal/mol (V106A from 1.73 to 2.54, Y188L from 2.78 to 2.34) and the sign is preserved for both genotypes. The component breakdown confirms the mechanism rather than leaving it as an assertion — the charge-dependent terms move most, </w:t>
      </w:r>
      <w:proofErr w:type="spellStart"/>
      <w:r>
        <w:rPr>
          <w:color w:val="FF0000"/>
        </w:rPr>
        <w:t>ddE_elec</w:t>
      </w:r>
      <w:proofErr w:type="spellEnd"/>
      <w:r>
        <w:rPr>
          <w:color w:val="FF0000"/>
        </w:rPr>
        <w:t xml:space="preserve"> by up to 1.17 and </w:t>
      </w:r>
      <w:proofErr w:type="spellStart"/>
      <w:r>
        <w:rPr>
          <w:color w:val="FF0000"/>
        </w:rPr>
        <w:t>ddE_GB</w:t>
      </w:r>
      <w:proofErr w:type="spellEnd"/>
      <w:r>
        <w:rPr>
          <w:color w:val="FF0000"/>
        </w:rPr>
        <w:t xml:space="preserve"> by up to 1.32 kcal/mol, while </w:t>
      </w:r>
      <w:proofErr w:type="spellStart"/>
      <w:r>
        <w:rPr>
          <w:color w:val="FF0000"/>
        </w:rPr>
        <w:t>ddE_vdW</w:t>
      </w:r>
      <w:proofErr w:type="spellEnd"/>
      <w:r>
        <w:rPr>
          <w:color w:val="FF0000"/>
        </w:rPr>
        <w:t xml:space="preserve">, which does not depend on the charges at all, moves only 0.23 to 0.29. Much of the charge-model effect is therefore common to wild type and mutant and cancels in the difference. We note the scope honestly: this covers WT, V106A and Y188L, three replicates each, and it addresses MM/GBSA only. </w:t>
      </w:r>
      <w:proofErr w:type="spellStart"/>
      <w:r>
        <w:rPr>
          <w:color w:val="FF0000"/>
        </w:rPr>
        <w:t>ddG_bind</w:t>
      </w:r>
      <w:proofErr w:type="spellEnd"/>
      <w:r>
        <w:rPr>
          <w:color w:val="FF0000"/>
        </w:rPr>
        <w:t xml:space="preserve"> is unaffected by construction, since DOR is neutral and carries identical parameters at both end states of every alchemical leg.</w:t>
      </w:r>
    </w:p>
    <w:p w14:paraId="40FFA57D" w14:textId="77777777" w:rsidR="002F2B1F" w:rsidRDefault="00000000">
      <w:pPr>
        <w:pStyle w:val="Heading2"/>
        <w:spacing w:before="320" w:after="160"/>
      </w:pPr>
      <w:r>
        <w:rPr>
          <w:b/>
          <w:bCs/>
        </w:rPr>
        <w:t>Reviewer 3</w:t>
      </w:r>
    </w:p>
    <w:p w14:paraId="2A7C7278" w14:textId="77777777" w:rsidR="002F2B1F" w:rsidRDefault="00000000">
      <w:pPr>
        <w:spacing w:after="140"/>
        <w:ind w:left="420"/>
      </w:pPr>
      <w:r>
        <w:rPr>
          <w:i/>
          <w:iCs/>
        </w:rPr>
        <w:t>Reviewer: 3</w:t>
      </w:r>
    </w:p>
    <w:p w14:paraId="03403911" w14:textId="77777777" w:rsidR="002F2B1F" w:rsidRDefault="00000000">
      <w:pPr>
        <w:spacing w:after="140"/>
        <w:ind w:left="420"/>
      </w:pPr>
      <w:r>
        <w:rPr>
          <w:i/>
          <w:iCs/>
        </w:rPr>
        <w:t>Comments:</w:t>
      </w:r>
    </w:p>
    <w:p w14:paraId="51DA01FD" w14:textId="77777777" w:rsidR="002F2B1F" w:rsidRDefault="00000000">
      <w:pPr>
        <w:spacing w:after="140"/>
        <w:ind w:left="420"/>
      </w:pPr>
      <w:r>
        <w:rPr>
          <w:i/>
          <w:iCs/>
        </w:rPr>
        <w:t xml:space="preserve">The topic of this manuscript is timely and clinically relevant, the genotype panel is thoughtfully curated with transparent provenance (Stanford HIVDB, </w:t>
      </w:r>
      <w:proofErr w:type="spellStart"/>
      <w:r>
        <w:rPr>
          <w:i/>
          <w:iCs/>
        </w:rPr>
        <w:t>PhenoSense</w:t>
      </w:r>
      <w:proofErr w:type="spellEnd"/>
      <w:r>
        <w:rPr>
          <w:i/>
          <w:iCs/>
        </w:rPr>
        <w:t>/Merck assays), and the use of open-source tooling (</w:t>
      </w:r>
      <w:proofErr w:type="spellStart"/>
      <w:r>
        <w:rPr>
          <w:i/>
          <w:iCs/>
        </w:rPr>
        <w:t>OpenMM</w:t>
      </w:r>
      <w:proofErr w:type="spellEnd"/>
      <w:r>
        <w:rPr>
          <w:i/>
          <w:iCs/>
        </w:rPr>
        <w:t xml:space="preserve">, GROMACS, </w:t>
      </w:r>
      <w:proofErr w:type="spellStart"/>
      <w:r>
        <w:rPr>
          <w:i/>
          <w:iCs/>
        </w:rPr>
        <w:t>pmx</w:t>
      </w:r>
      <w:proofErr w:type="spellEnd"/>
      <w:r>
        <w:rPr>
          <w:i/>
          <w:iCs/>
        </w:rPr>
        <w:t xml:space="preserve">, </w:t>
      </w:r>
      <w:proofErr w:type="spellStart"/>
      <w:r>
        <w:rPr>
          <w:i/>
          <w:iCs/>
        </w:rPr>
        <w:t>OpenFF</w:t>
      </w:r>
      <w:proofErr w:type="spellEnd"/>
      <w:r>
        <w:rPr>
          <w:i/>
          <w:iCs/>
        </w:rPr>
        <w:t>)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14:paraId="338B2553" w14:textId="77777777" w:rsidR="002F2B1F" w:rsidRDefault="00000000">
      <w:pPr>
        <w:spacing w:after="160"/>
      </w:pPr>
      <w:r>
        <w:rPr>
          <w:b/>
          <w:bCs/>
          <w:color w:val="FF0000"/>
        </w:rPr>
        <w:t xml:space="preserve">Response: </w:t>
      </w:r>
      <w:r>
        <w:rPr>
          <w:color w:val="FF0000"/>
        </w:rPr>
        <w:t>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14:paraId="7C23A688" w14:textId="77777777" w:rsidR="002F2B1F" w:rsidRDefault="00000000">
      <w:pPr>
        <w:pStyle w:val="Heading2"/>
        <w:spacing w:before="320" w:after="160"/>
      </w:pPr>
      <w:r>
        <w:rPr>
          <w:b/>
          <w:bCs/>
        </w:rPr>
        <w:t>Reviewer 3, comment 1 — define “correctly predicted”</w:t>
      </w:r>
    </w:p>
    <w:p w14:paraId="7EB8B73F" w14:textId="77777777" w:rsidR="002F2B1F" w:rsidRDefault="00000000">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w:t>
      </w:r>
      <w:r>
        <w:rPr>
          <w:i/>
          <w:iCs/>
        </w:rPr>
        <w:lastRenderedPageBreak/>
        <w:t>threshold on ΔΔGbind constitutes "little effect" versus "reduced binding"? A stated cutoff (e.g., | ΔΔGbind| &gt; 1 kcal/mol) would make this claim reproducible.</w:t>
      </w:r>
    </w:p>
    <w:p w14:paraId="0F5AF83B" w14:textId="77777777" w:rsidR="002F2B1F" w:rsidRDefault="00000000">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w:t>
      </w:r>
      <w:proofErr w:type="spellStart"/>
      <w:r>
        <w:rPr>
          <w:color w:val="FF0000"/>
        </w:rPr>
        <w:t>ΔΔETotal</w:t>
      </w:r>
      <w:proofErr w:type="spellEnd"/>
      <w:r>
        <w:rPr>
          <w:color w:val="FF0000"/>
        </w:rPr>
        <w:t>.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14:paraId="2FF1AB27" w14:textId="77777777" w:rsidR="002F2B1F" w:rsidRDefault="00000000">
      <w:pPr>
        <w:pStyle w:val="Heading2"/>
        <w:spacing w:before="320" w:after="160"/>
      </w:pPr>
      <w:r>
        <w:rPr>
          <w:b/>
          <w:bCs/>
        </w:rPr>
        <w:t>Reviewer 3, comment 2 — typographical issues</w:t>
      </w:r>
    </w:p>
    <w:p w14:paraId="653FC817" w14:textId="77777777" w:rsidR="002F2B1F" w:rsidRDefault="00000000">
      <w:pPr>
        <w:spacing w:after="140"/>
        <w:ind w:left="420"/>
      </w:pPr>
      <w:r>
        <w:rPr>
          <w:i/>
          <w:iCs/>
        </w:rPr>
        <w:t>2. There are several minor typographical issues: "NRNTI-resistance mutations" (Page 16) should be "NNRTI-resistance mutations"; "hinges on" (Page 30) should be "hinges on" or "depends on"; "APPROVAL" section header (Page 35) is redundant with "Author Contributions." Please proofread carefully.</w:t>
      </w:r>
    </w:p>
    <w:p w14:paraId="5AEBFAC9" w14:textId="77777777" w:rsidR="002F2B1F" w:rsidRDefault="00000000">
      <w:pPr>
        <w:spacing w:after="160"/>
      </w:pPr>
      <w:r>
        <w:rPr>
          <w:b/>
          <w:bCs/>
          <w:color w:val="FF0000"/>
        </w:rPr>
        <w:t xml:space="preserve">Response: </w:t>
      </w:r>
      <w:r>
        <w:rPr>
          <w:color w:val="FF0000"/>
        </w:rPr>
        <w:t>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14:paraId="2A00E875" w14:textId="77777777" w:rsidR="002F2B1F" w:rsidRDefault="00000000">
      <w:pPr>
        <w:pStyle w:val="Heading2"/>
        <w:spacing w:before="320" w:after="160"/>
      </w:pPr>
      <w:r>
        <w:rPr>
          <w:b/>
          <w:bCs/>
        </w:rPr>
        <w:t>Reviewer 3, comment 3 — MM/GBSA minimization protocol</w:t>
      </w:r>
    </w:p>
    <w:p w14:paraId="7FE29882" w14:textId="77777777" w:rsidR="002F2B1F" w:rsidRDefault="00000000">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w:t>
      </w:r>
      <w:proofErr w:type="spellStart"/>
      <w:r>
        <w:rPr>
          <w:i/>
          <w:iCs/>
        </w:rPr>
        <w:t>ΔEelec</w:t>
      </w:r>
      <w:proofErr w:type="spellEnd"/>
      <w:r>
        <w:rPr>
          <w:i/>
          <w:iCs/>
        </w:rPr>
        <w:t xml:space="preserve"> and ΔEGB. The authors should:</w:t>
      </w:r>
    </w:p>
    <w:p w14:paraId="3301A26C" w14:textId="77777777" w:rsidR="002F2B1F" w:rsidRDefault="00000000">
      <w:pPr>
        <w:spacing w:after="140"/>
        <w:ind w:left="420"/>
      </w:pPr>
      <w:r>
        <w:rPr>
          <w:i/>
          <w:iCs/>
        </w:rPr>
        <w:t>(a) Justify full minimization versus the more standard single-point or hydrogen-only relaxation protocol.</w:t>
      </w:r>
    </w:p>
    <w:p w14:paraId="60C0D1FD" w14:textId="77777777" w:rsidR="002F2B1F" w:rsidRDefault="00000000">
      <w:pPr>
        <w:spacing w:after="140"/>
        <w:ind w:left="420"/>
      </w:pPr>
      <w:r>
        <w:rPr>
          <w:i/>
          <w:iCs/>
        </w:rPr>
        <w:t xml:space="preserve">(b) Report how sensitive </w:t>
      </w:r>
      <w:proofErr w:type="spellStart"/>
      <w:r>
        <w:rPr>
          <w:i/>
          <w:iCs/>
        </w:rPr>
        <w:t>ΔΔETotal</w:t>
      </w:r>
      <w:proofErr w:type="spellEnd"/>
      <w:r>
        <w:rPr>
          <w:i/>
          <w:iCs/>
        </w:rPr>
        <w:t xml:space="preserve"> and its components are to this choice (e.g., by recomputing without minimization for a subset of genotypes).</w:t>
      </w:r>
    </w:p>
    <w:p w14:paraId="6044BF0F" w14:textId="77777777" w:rsidR="002F2B1F" w:rsidRDefault="00000000">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w:t>
      </w:r>
      <w:proofErr w:type="spellStart"/>
      <w:r>
        <w:rPr>
          <w:color w:val="FF0000"/>
        </w:rPr>
        <w:t>Comput</w:t>
      </w:r>
      <w:proofErr w:type="spellEnd"/>
      <w:r>
        <w:rPr>
          <w:color w:val="FF0000"/>
        </w:rPr>
        <w: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w:t>
      </w:r>
      <w:proofErr w:type="spellStart"/>
      <w:r>
        <w:rPr>
          <w:color w:val="FF0000"/>
        </w:rPr>
        <w:t>Genheden</w:t>
      </w:r>
      <w:proofErr w:type="spellEnd"/>
      <w:r>
        <w:rPr>
          <w:color w:val="FF0000"/>
        </w:rPr>
        <w:t xml:space="preserve"> and Ryde, ref 34) to give results similar to single-point ensemble averages. That review states directly that minimized structures often give as good or better results as MD simulations.</w:t>
      </w:r>
    </w:p>
    <w:p w14:paraId="48628EB8" w14:textId="77777777" w:rsidR="002F2B1F" w:rsidRDefault="00000000">
      <w:pPr>
        <w:spacing w:after="160"/>
      </w:pPr>
      <w:r>
        <w:rPr>
          <w:color w:val="FF0000"/>
        </w:rPr>
        <w:t>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14:paraId="080A14BF" w14:textId="77777777" w:rsidR="002F2B1F" w:rsidRDefault="00000000">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w:t>
      </w:r>
      <w:proofErr w:type="spellStart"/>
      <w:r>
        <w:rPr>
          <w:color w:val="FF0000"/>
        </w:rPr>
        <w:t>ΔΔETotal</w:t>
      </w:r>
      <w:proofErr w:type="spellEnd"/>
      <w:r>
        <w:rPr>
          <w:color w:val="FF0000"/>
        </w:rPr>
        <w:t xml:space="preserve"> and each component side by side so the sensitivity is visible (Supplementary Table 5).</w:t>
      </w:r>
    </w:p>
    <w:p w14:paraId="05CA8615" w14:textId="77777777" w:rsidR="002F2B1F" w:rsidRDefault="00000000">
      <w:pPr>
        <w:spacing w:after="200"/>
        <w:ind w:left="420"/>
      </w:pPr>
      <w:r>
        <w:rPr>
          <w:color w:val="FF0000"/>
        </w:rPr>
        <w:lastRenderedPageBreak/>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w:t>
      </w:r>
      <w:proofErr w:type="spellStart"/>
      <w:r>
        <w:rPr>
          <w:color w:val="FF0000"/>
        </w:rPr>
        <w:t>ddE_Total</w:t>
      </w:r>
      <w:proofErr w:type="spellEnd"/>
      <w:r>
        <w:rPr>
          <w:color w:val="FF0000"/>
        </w:rPr>
        <w:t xml:space="preserve">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w:t>
      </w:r>
      <w:proofErr w:type="spellStart"/>
      <w:r>
        <w:rPr>
          <w:color w:val="FF0000"/>
        </w:rPr>
        <w:t>ddE_Total</w:t>
      </w:r>
      <w:proofErr w:type="spellEnd"/>
      <w:r>
        <w:rPr>
          <w:color w:val="FF0000"/>
        </w:rPr>
        <w:t xml:space="preserve">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w:t>
      </w:r>
      <w:proofErr w:type="spellStart"/>
      <w:r>
        <w:rPr>
          <w:color w:val="FF0000"/>
        </w:rPr>
        <w:t>ddE_Total</w:t>
      </w:r>
      <w:proofErr w:type="spellEnd"/>
      <w:r>
        <w:rPr>
          <w:color w:val="FF0000"/>
        </w:rPr>
        <w:t xml:space="preserve"> and its components, and we now say so in the manuscript rather than presenting the </w:t>
      </w:r>
      <w:proofErr w:type="spellStart"/>
      <w:r>
        <w:rPr>
          <w:color w:val="FF0000"/>
        </w:rPr>
        <w:t>minimised</w:t>
      </w:r>
      <w:proofErr w:type="spellEnd"/>
      <w:r>
        <w:rPr>
          <w:color w:val="FF0000"/>
        </w:rPr>
        <w:t xml:space="preserve"> values as protocol-independent. We would add two things in </w:t>
      </w:r>
      <w:proofErr w:type="spellStart"/>
      <w:r>
        <w:rPr>
          <w:color w:val="FF0000"/>
        </w:rPr>
        <w:t>defence</w:t>
      </w:r>
      <w:proofErr w:type="spellEnd"/>
      <w:r>
        <w:rPr>
          <w:color w:val="FF0000"/>
        </w:rPr>
        <w:t xml:space="preserve"> of the choice. First, it is the established practice for end-point methods, with the precedent cited in our response to part (a); the review we already cite notes that </w:t>
      </w:r>
      <w:proofErr w:type="spellStart"/>
      <w:r>
        <w:rPr>
          <w:color w:val="FF0000"/>
        </w:rPr>
        <w:t>minimised</w:t>
      </w:r>
      <w:proofErr w:type="spellEnd"/>
      <w:r>
        <w:rPr>
          <w:color w:val="FF0000"/>
        </w:rPr>
        <w:t xml:space="preserve"> structures often perform as well as or better than MD snapshots, and that unrealistic structures sometimes have to be filtered away -- full </w:t>
      </w:r>
      <w:proofErr w:type="spellStart"/>
      <w:r>
        <w:rPr>
          <w:color w:val="FF0000"/>
        </w:rPr>
        <w:t>minimisation</w:t>
      </w:r>
      <w:proofErr w:type="spellEnd"/>
      <w:r>
        <w:rPr>
          <w:color w:val="FF0000"/>
        </w:rPr>
        <w:t xml:space="preserve"> relaxes them instead of discarding frames. Second, and more important for the paper's conclusions, this affects only the MM/GBSA column. </w:t>
      </w:r>
      <w:proofErr w:type="spellStart"/>
      <w:r>
        <w:rPr>
          <w:color w:val="FF0000"/>
        </w:rPr>
        <w:t>ddG_bind</w:t>
      </w:r>
      <w:proofErr w:type="spellEnd"/>
      <w:r>
        <w:rPr>
          <w:color w:val="FF0000"/>
        </w:rPr>
        <w:t xml:space="preserve">, the quantity that corresponds to binding and carries the main claim, is computed by alchemical free energy perturbation and does not involve snapshot </w:t>
      </w:r>
      <w:proofErr w:type="spellStart"/>
      <w:r>
        <w:rPr>
          <w:color w:val="FF0000"/>
        </w:rPr>
        <w:t>minimisation</w:t>
      </w:r>
      <w:proofErr w:type="spellEnd"/>
      <w:r>
        <w:rPr>
          <w:color w:val="FF0000"/>
        </w:rPr>
        <w:t xml:space="preserve"> at all.</w:t>
      </w:r>
    </w:p>
    <w:sectPr w:rsidR="002F2B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593532B"/>
    <w:multiLevelType w:val="hybridMultilevel"/>
    <w:tmpl w:val="E126154A"/>
    <w:lvl w:ilvl="0" w:tplc="2E8E8782">
      <w:start w:val="1"/>
      <w:numFmt w:val="bullet"/>
      <w:lvlText w:val="●"/>
      <w:lvlJc w:val="left"/>
      <w:pPr>
        <w:ind w:left="720" w:hanging="360"/>
      </w:pPr>
    </w:lvl>
    <w:lvl w:ilvl="1" w:tplc="FF863C38">
      <w:start w:val="1"/>
      <w:numFmt w:val="bullet"/>
      <w:lvlText w:val="○"/>
      <w:lvlJc w:val="left"/>
      <w:pPr>
        <w:ind w:left="1440" w:hanging="360"/>
      </w:pPr>
    </w:lvl>
    <w:lvl w:ilvl="2" w:tplc="A4C81692">
      <w:start w:val="1"/>
      <w:numFmt w:val="bullet"/>
      <w:lvlText w:val="■"/>
      <w:lvlJc w:val="left"/>
      <w:pPr>
        <w:ind w:left="2160" w:hanging="360"/>
      </w:pPr>
    </w:lvl>
    <w:lvl w:ilvl="3" w:tplc="62AE313C">
      <w:start w:val="1"/>
      <w:numFmt w:val="bullet"/>
      <w:lvlText w:val="●"/>
      <w:lvlJc w:val="left"/>
      <w:pPr>
        <w:ind w:left="2880" w:hanging="360"/>
      </w:pPr>
    </w:lvl>
    <w:lvl w:ilvl="4" w:tplc="55C60FD8">
      <w:start w:val="1"/>
      <w:numFmt w:val="bullet"/>
      <w:lvlText w:val="○"/>
      <w:lvlJc w:val="left"/>
      <w:pPr>
        <w:ind w:left="3600" w:hanging="360"/>
      </w:pPr>
    </w:lvl>
    <w:lvl w:ilvl="5" w:tplc="14C062C8">
      <w:start w:val="1"/>
      <w:numFmt w:val="bullet"/>
      <w:lvlText w:val="■"/>
      <w:lvlJc w:val="left"/>
      <w:pPr>
        <w:ind w:left="4320" w:hanging="360"/>
      </w:pPr>
    </w:lvl>
    <w:lvl w:ilvl="6" w:tplc="2E4098CE">
      <w:start w:val="1"/>
      <w:numFmt w:val="bullet"/>
      <w:lvlText w:val="●"/>
      <w:lvlJc w:val="left"/>
      <w:pPr>
        <w:ind w:left="5040" w:hanging="360"/>
      </w:pPr>
    </w:lvl>
    <w:lvl w:ilvl="7" w:tplc="848EDD5A">
      <w:start w:val="1"/>
      <w:numFmt w:val="bullet"/>
      <w:lvlText w:val="●"/>
      <w:lvlJc w:val="left"/>
      <w:pPr>
        <w:ind w:left="5760" w:hanging="360"/>
      </w:pPr>
    </w:lvl>
    <w:lvl w:ilvl="8" w:tplc="7504B5C6">
      <w:start w:val="1"/>
      <w:numFmt w:val="bullet"/>
      <w:lvlText w:val="●"/>
      <w:lvlJc w:val="left"/>
      <w:pPr>
        <w:ind w:left="6480" w:hanging="360"/>
      </w:pPr>
    </w:lvl>
  </w:abstractNum>
  <w:num w:numId="1" w16cid:durableId="19283411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B1F"/>
    <w:rsid w:val="000F7070"/>
    <w:rsid w:val="00157C46"/>
    <w:rsid w:val="002F2B1F"/>
    <w:rsid w:val="003139B1"/>
    <w:rsid w:val="00785267"/>
    <w:rsid w:val="008A10A1"/>
    <w:rsid w:val="00A102CD"/>
    <w:rsid w:val="00B9253F"/>
    <w:rsid w:val="00C14EB5"/>
    <w:rsid w:val="00EA50B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21D8313B"/>
  <w15:docId w15:val="{A3AE8557-23C4-3F4F-9B51-954AE02E0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4825</Words>
  <Characters>27504</Characters>
  <Application>Microsoft Office Word</Application>
  <DocSecurity>0</DocSecurity>
  <Lines>229</Lines>
  <Paragraphs>64</Paragraphs>
  <ScaleCrop>false</ScaleCrop>
  <Company/>
  <LinksUpToDate>false</LinksUpToDate>
  <CharactersWithSpaces>32265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Rohit Satija</cp:lastModifiedBy>
  <cp:revision>9</cp:revision>
  <dcterms:created xsi:type="dcterms:W3CDTF">2026-10-20T23:43:00Z</dcterms:created>
  <dcterms:modified xsi:type="dcterms:W3CDTF">2026-10-22T05:57:00Z</dcterms:modified>
</cp:coreProperties>
</file>