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462F55" w14:textId="77777777" w:rsidR="00AC700D" w:rsidRDefault="00000000">
      <w:pPr>
        <w:spacing w:after="200"/>
      </w:pPr>
      <w:r>
        <w:rPr>
          <w:color w:val="FF0000"/>
        </w:rPr>
        <w:t xml:space="preserve">S1.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rPr>
          <w:color w:val="FF0000"/>
        </w:rPr>
        <w:t xml:space="preserve">S2. Effect of the ligand charge model. 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14:paraId="419C7BCD" w14:textId="77777777" w:rsidR="00AC700D" w:rsidRDefault="00000000">
      <w:pPr>
        <w:spacing w:after="200"/>
      </w:pPr>
      <w:r>
        <w:rPr>
          <w:color w:val="FF0000"/>
        </w:rPr>
        <w:t xml:space="preserve">S3. Snapshot relaxation protocol. 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234EB0A8" w14:textId="77777777" w:rsidR="00AC700D" w:rsidRDefault="00000000">
      <w:pPr>
        <w:spacing w:after="200"/>
      </w:pPr>
      <w:r>
        <w:rPr>
          <w:color w:val="FF0000"/>
        </w:rPr>
        <w:t xml:space="preserve">S4.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14:paraId="234EB0A8" w14:textId="77777777" w:rsidR="00AC700D" w:rsidRDefault="00000000">
      <w:pPr>
        <w:spacing w:after="200"/>
      </w:pPr>
      <w:r>
        <w:rPr>
          <w:b/>
          <w:color w:val="FF0000"/>
        </w:rPr>
        <w:t xml:space="preserve">Supplementary Figures</w:t>
      </w:r>
    </w:p>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14:paraId="34984C40" w14:textId="77777777" w:rsidR="00AC700D" w:rsidRDefault="00000000">
      <w:pPr>
        <w:spacing w:after="200"/>
      </w:pPr>
      <w:r>
        <w:rPr>
          <w:color w:val="FF0000"/>
        </w:rP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14:paraId="51B21422" w14:textId="77777777" w:rsidR="00AC700D" w:rsidRDefault="00000000">
      <w:pPr>
        <w:spacing w:after="200"/>
      </w:pPr>
      <w:r>
        <w:rPr>
          <w:color w:val="FF0000"/>
        </w:rP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14:paraId="37BB30DF" w14:textId="77777777" w:rsidR="00AC700D" w:rsidRDefault="00000000">
      <w:pPr>
        <w:spacing w:after="200"/>
      </w:pPr>
      <w:r>
        <w:rPr>
          <w:color w:val="FF0000"/>
        </w:rP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