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w:t>
      </w:r>
      <w:proofErr w:type="spellStart"/>
      <w:r w:rsidR="002E0084">
        <w:t>k</w:t>
      </w:r>
      <w:r w:rsidR="002E0084" w:rsidRPr="002E0084">
        <w:rPr>
          <w:vertAlign w:val="subscript"/>
        </w:rPr>
        <w:t>B</w:t>
      </w:r>
      <w:r w:rsidR="002E0084">
        <w:t>T</w:t>
      </w:r>
      <w:proofErr w:type="spellEnd"/>
      <w:r w:rsidR="002E0084">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w:t>
      </w:r>
      <w:r>
        <w:lastRenderedPageBreak/>
        <w:t>under single-point evaluation and under hydrogen-only relaxation with heavy atoms restrained (Supplementary Table 5).</w:t>
      </w:r>
      <w: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t>histidines</w:t>
      </w:r>
      <w:proofErr w:type="spellEnd"/>
      <w: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t>Gapsys</w:t>
      </w:r>
      <w:proofErr w:type="spellEnd"/>
      <w:r>
        <w:t xml:space="preserve"> form48 with α = 0.3, σ = 0.25 nm and a soft-core power of 1, applied to both Lennard-Jones and Coulomb interactions (</w:t>
      </w:r>
      <w:proofErr w:type="spellStart"/>
      <w:r>
        <w:t>sc-coul</w:t>
      </w:r>
      <w:proofErr w:type="spellEnd"/>
      <w: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t>undersolvation</w:t>
      </w:r>
      <w:proofErr w:type="spellEnd"/>
      <w: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t>kBT</w:t>
      </w:r>
      <w:proofErr w:type="spellEnd"/>
      <w: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t>ΔEelec</w:t>
      </w:r>
      <w:proofErr w:type="spellEnd"/>
      <w: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t xml:space="preserve">The sampling is a limitation of a different kind. Three 100 ns replicates are long relative to the local relaxation of the DOR pose, which converges within the first few </w:t>
      </w:r>
      <w: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In three of the four genotypes whose apo trajectories run to 100 ns, the pocket volume changes by only 1–5 Å³ between the first 10 ns and the remaining 90 ns, so this comparison is not an artifact of the shorter reference.</w:t>
      </w:r>
      <w:r>
        <w:t xml:space="preserve"> Across the panel the DOR heavy-atom RMSD from the crystallographic pose settles between 0.64 and 0.93 Å, wild type at 0.66 Å, so the complexes are stable but the ensembles do not visit alternative poses.</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p>
      <w:r>
        <w:br w:type="page"/>
      </w:r>
    </w:p>
    <w:p>
      <w:pPr>
        <w:spacing w:after="240"/>
      </w:pPr>
      <w:r>
        <w:rPr>
          <w:b/>
        </w:rPr>
        <w:t>TOC Graphic</w:t>
      </w:r>
    </w:p>
    <w:p>
      <w:r>
        <w:drawing>
          <wp:inline distT="0" distB="0" distL="0" distR="0">
            <wp:extent cx="3017520" cy="1645920"/>
            <wp:docPr id="1001" name="TOC Graphic"/>
            <a:graphic xmlns:a="http://schemas.openxmlformats.org/drawingml/2006/main">
              <a:graphicData uri="http://schemas.openxmlformats.org/drawingml/2006/picture">
                <pic:pic xmlns:pic="http://schemas.openxmlformats.org/drawingml/2006/picture">
                  <pic:nvPicPr>
                    <pic:cNvPr id="1001" name="TOC Graphic"/>
                    <pic:cNvPicPr/>
                  </pic:nvPicPr>
                  <pic:blipFill>
                    <a:blip r:embed="rId21"/>
                    <a:stretch>
                      <a:fillRect/>
                    </a:stretch>
                  </pic:blipFill>
                  <pic:spPr>
                    <a:xfrm>
                      <a:off x="0" y="0"/>
                      <a:ext cx="3017520" cy="1645920"/>
                    </a:xfrm>
                    <a:prstGeom prst="rect">
                      <a:avLst/>
                    </a:prstGeom>
                  </pic:spPr>
                </pic:pic>
              </a:graphicData>
            </a:graphic>
          </wp:inline>
        </w:drawing>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 Id="rId21" Type="http://schemas.openxmlformats.org/officeDocument/2006/relationships/image" Target="media/toc_graphi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