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4EABD86B"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t>*Corresponding author (</w:t>
      </w:r>
      <w:hyperlink r:id="rId6" w:history="1">
        <w:r>
          <w:rPr>
            <w:rStyle w:val="Hyperlink"/>
            <w:rFonts w:ascii="Times New Roman" w:hAnsi="Times New Roman"/>
            <w:szCs w:val="24"/>
          </w:rPr>
          <w:t>rsatija@stanford.edu</w:t>
        </w:r>
      </w:hyperlink>
      <w:r>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3FD9456B"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0D48E879"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455C1DDA"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79F202DE" w14:textId="110B71D5" w:rsidR="00C96A03" w:rsidRPr="00E536AD" w:rsidRDefault="00F6395D" w:rsidP="00C96A03">
      <w:pPr>
        <w:pStyle w:val="TAMainText"/>
        <w:spacing w:after="240"/>
        <w:rPr>
          <w:rFonts w:ascii="Times New Roman" w:hAnsi="Times New Roman"/>
          <w:szCs w:val="24"/>
        </w:rPr>
      </w:pPr>
      <w:r>
        <w:t>Doravirine (DOR) was designed by introducing cyclic constraints in a novel class of diaryl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rsidR="008A2546">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tyrosines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rsidR="008A2546">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rPr>
        <w:instrText>ô</w:instrText>
      </w:r>
      <w:r w:rsidR="008A2546">
        <w:instrText>t</w:instrText>
      </w:r>
      <w:r w:rsidR="008A2546">
        <w:rPr>
          <w:rFonts w:hint="eastAsia"/>
        </w:rPr>
        <w:instrText>é</w:instrText>
      </w:r>
      <w:r w:rsidR="008A2546">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5464F436" w14:textId="54C9558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rsidR="008A2546">
        <w:instrText xml:space="preserve"> ADDIN ZOTERO_ITEM CSL_CITATION {"citationID":"u34mWdrt","properties":{"unsorted":false,"formattedCitation":"\\super 19\\uc0\\u8211{}22\\nosupersub{}","plainCitation":"19</w:instrText>
      </w:r>
      <w:r w:rsidR="008A2546">
        <w:rPr>
          <w:rFonts w:hint="eastAsia"/>
        </w:rPr>
        <w:instrText>–</w:instrText>
      </w:r>
      <w:r w:rsidR="008A2546">
        <w:instrText>22","noteIndex":0},"citationItems":[{"id":169,"uris":["http://zotero.org/users/19404620/items/S7WWFBWH"],"itemData":{"id":169,"type":"article-journal","abstract":"BackgroundDoravirine is a non-nucleoside reverse transcriptase inhibitor (NNRTI) showing high efficacy and tolerability in both na</w:instrText>
      </w:r>
      <w:r w:rsidR="008A2546">
        <w:rPr>
          <w:rFonts w:hint="eastAsia"/>
        </w:rPr>
        <w:instrText>ï</w:instrText>
      </w:r>
      <w:r w:rsidR="008A2546">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sidR="008A2546">
        <w:rPr>
          <w:rFonts w:hint="eastAsia"/>
        </w:rPr>
        <w:instrText> </w:instrText>
      </w:r>
      <w:r w:rsidR="008A2546">
        <w:instrText>mg, lamivudine 300</w:instrText>
      </w:r>
      <w:r w:rsidR="008A2546">
        <w:rPr>
          <w:rFonts w:hint="eastAsia"/>
        </w:rPr>
        <w:instrText> </w:instrText>
      </w:r>
      <w:r w:rsidR="008A2546">
        <w:instrText>mg, and tenofovir disoproxil fumarate 300</w:instrText>
      </w:r>
      <w:r w:rsidR="008A2546">
        <w:rPr>
          <w:rFonts w:hint="eastAsia"/>
        </w:rPr>
        <w:instrText> </w:instrText>
      </w:r>
      <w:r w:rsidR="008A2546">
        <w:instrText>mg.ResultsAs a whole, 62 suppressed patients (51 men, median age, 51.7</w:instrText>
      </w:r>
      <w:r w:rsidR="008A2546">
        <w:rPr>
          <w:rFonts w:hint="eastAsia"/>
        </w:rPr>
        <w:instrText> </w:instrText>
      </w:r>
      <w:r w:rsidR="008A2546">
        <w:instrText>years; median CD4 T+ lymphocyte count, 577</w:instrText>
      </w:r>
      <w:r w:rsidR="008A2546">
        <w:rPr>
          <w:rFonts w:hint="eastAsia"/>
        </w:rPr>
        <w:instrText> </w:instrText>
      </w:r>
      <w:r w:rsidR="008A2546">
        <w:instrText>cells/mm3) were enrolled. After 12</w:instrText>
      </w:r>
      <w:r w:rsidR="008A2546">
        <w:rPr>
          <w:rFonts w:hint="eastAsia"/>
        </w:rPr>
        <w:instrText> </w:instrText>
      </w:r>
      <w:r w:rsidR="008A2546">
        <w:instrText>months, 58 (93.5%) patients showed HIV RNA &lt;20</w:instrText>
      </w:r>
      <w:r w:rsidR="008A2546">
        <w:rPr>
          <w:rFonts w:hint="eastAsia"/>
        </w:rPr>
        <w:instrText> </w:instrText>
      </w:r>
      <w:r w:rsidR="008A2546">
        <w:instrText>copies/mL and reasons for treatment failure were virological failure in one case, missing data in one case, and adverse events in two cases. At month 12, a significant decrease in median serum level of triglycerides (median change −61.2</w:instrText>
      </w:r>
      <w:r w:rsidR="008A2546">
        <w:rPr>
          <w:rFonts w:hint="eastAsia"/>
        </w:rPr>
        <w:instrText> </w:instrText>
      </w:r>
      <w:r w:rsidR="008A2546">
        <w:instrText>mg/dL; p = .009) and total cholesterol (median change −38.4</w:instrText>
      </w:r>
      <w:r w:rsidR="008A2546">
        <w:rPr>
          <w:rFonts w:hint="eastAsia"/>
        </w:rPr>
        <w:instrText> </w:instrText>
      </w:r>
      <w:r w:rsidR="008A2546">
        <w:instrText>mg/dL; p = .021) was reported, while a not significant median weight increase was registered (+0.55</w:instrText>
      </w:r>
      <w:r w:rsidR="008A2546">
        <w:rPr>
          <w:rFonts w:hint="eastAsia"/>
        </w:rPr>
        <w:instrText> </w:instrText>
      </w:r>
      <w:r w:rsidR="008A2546">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sidR="008A2546">
        <w:rPr>
          <w:rFonts w:hint="eastAsia"/>
        </w:rPr>
        <w:instrText>í</w:instrText>
      </w:r>
      <w:r w:rsidR="008A2546">
        <w:instrText>as-Trueba","given":"Marta"},{"family":"Gutierrez-Valencia","given":"Alicia"},{"family":"Llaves-Flores","given":"Silvia"},{"family":"Roca-Oporto","given":"Cristina"},{"family":"Herrero","given":"Marta"},{"family":"Sotomayor de la Piedra","given":"C</w:instrText>
      </w:r>
      <w:r w:rsidR="008A2546">
        <w:rPr>
          <w:rFonts w:hint="eastAsia"/>
        </w:rPr>
        <w:instrText>é</w:instrText>
      </w:r>
      <w:r w:rsidR="008A2546">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sidR="008A2546">
        <w:rPr>
          <w:rFonts w:hint="eastAsia"/>
        </w:rPr>
        <w:instrText>ï</w:instrText>
      </w:r>
      <w:r w:rsidR="008A2546">
        <w:instrText>ve and treatment-experienced PWH. A total of 83 PWH were included from January 1, 2022, to December 31, 2023. The median age was 40 years (32</w:instrText>
      </w:r>
      <w:r w:rsidR="008A2546">
        <w:rPr>
          <w:rFonts w:hint="eastAsia"/>
        </w:rPr>
        <w:instrText>–</w:instrText>
      </w:r>
      <w:r w:rsidR="008A2546">
        <w:instrText>54). Twenty-seven patients (32.5%) were treatment-na</w:instrText>
      </w:r>
      <w:r w:rsidR="008A2546">
        <w:rPr>
          <w:rFonts w:hint="eastAsia"/>
        </w:rPr>
        <w:instrText>ï</w:instrText>
      </w:r>
      <w:r w:rsidR="008A2546">
        <w:instrText>ve PWH, and 56 patients (67.5%) were treatment-experienced PWH, the most common switch was from integrase inhibitors (37/56) to DOR, followed by efavirenz (18/56) and nevirapine (1/56). In treatment-na</w:instrText>
      </w:r>
      <w:r w:rsidR="008A2546">
        <w:rPr>
          <w:rFonts w:hint="eastAsia"/>
        </w:rPr>
        <w:instrText>ï</w:instrText>
      </w:r>
      <w:r w:rsidR="008A2546">
        <w:instrText xml:space="preserve">ve PWH, the median CD4+ T-cell count was 222.9 </w:instrText>
      </w:r>
      <w:r w:rsidR="008A2546">
        <w:rPr>
          <w:rFonts w:hint="eastAsia"/>
        </w:rPr>
        <w:instrText>±</w:instrText>
      </w:r>
      <w:r w:rsidR="008A2546">
        <w:instrText xml:space="preserve"> 144.2 cells/mL at baseline, which increased to 337.8 </w:instrText>
      </w:r>
      <w:r w:rsidR="008A2546">
        <w:rPr>
          <w:rFonts w:hint="eastAsia"/>
        </w:rPr>
        <w:instrText>±</w:instrText>
      </w:r>
      <w:r w:rsidR="008A2546">
        <w:instrText xml:space="preserve"> 189.6 cells/</w:instrText>
      </w:r>
      <w:r w:rsidR="008A2546">
        <w:rPr>
          <w:rFonts w:hint="eastAsia"/>
        </w:rPr>
        <w:instrText>μ</w:instrText>
      </w:r>
      <w:r w:rsidR="008A2546">
        <w:instrText xml:space="preserve">L at week 24 (p &lt; 0.001) and to 431.6 </w:instrText>
      </w:r>
      <w:r w:rsidR="008A2546">
        <w:rPr>
          <w:rFonts w:hint="eastAsia"/>
        </w:rPr>
        <w:instrText>±</w:instrText>
      </w:r>
      <w:r w:rsidR="008A2546">
        <w:instrText xml:space="preserve"> 259.9 cells/</w:instrText>
      </w:r>
      <w:r w:rsidR="008A2546">
        <w:rPr>
          <w:rFonts w:hint="eastAsia"/>
        </w:rPr>
        <w:instrText>μ</w:instrText>
      </w:r>
      <w:r w:rsidR="008A2546">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sidR="008A2546">
        <w:rPr>
          <w:rFonts w:hint="eastAsia"/>
        </w:rPr>
        <w:instrText>ï</w:instrText>
      </w:r>
      <w:r w:rsidR="008A2546">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sidR="008A2546">
        <w:rPr>
          <w:rFonts w:hint="eastAsia"/>
        </w:rPr>
        <w:instrText>·</w:instrText>
      </w:r>
      <w:r w:rsidR="008A2546">
        <w:instrText>25 mg) once daily in virologically suppressed adults with HIV-1 on oral antiretroviral therapy: 48-week results of a phase 3, multicentre, randomised, open-label, non-inferiority trial","title-short":"Switch to fixed-dose doravirine (100 mg) and islatravir (0</w:instrText>
      </w:r>
      <w:r w:rsidR="008A2546">
        <w:rPr>
          <w:rFonts w:hint="eastAsia"/>
        </w:rPr>
        <w:instrText>·</w:instrText>
      </w:r>
      <w:r w:rsidR="008A2546">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sidR="008A2546" w:rsidRPr="008A2546">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3FF9954F"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64E1BB6F"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8"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9" w:history="1">
        <w:r>
          <w:rPr>
            <w:rStyle w:val="Hyperlink"/>
            <w:rFonts w:ascii="Times New Roman" w:hAnsi="Times New Roman"/>
            <w:szCs w:val="24"/>
          </w:rPr>
          <w:t>https://pubchem.ncbi.nlm.nih.gov/compound/Doravirine</w:t>
        </w:r>
      </w:hyperlink>
      <w:r>
        <w:t>) and rigidly aligned to the crystallographic ligand heavy atoms by least-squares superposition using the Kabsch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t>Equilibrium MD simulations were performed with OpenMM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OpenMM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OpenFF/SMIRNOFF template generator (openmmforcefields 0.16.0, OpenFF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w:t>
      </w:r>
      <w:r>
        <w:lastRenderedPageBreak/>
        <w:t>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t>Trajectory analyses were performed with MDAnalysis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MDTraj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t>DOR pose root mean squared deviation (RMSD) was computed after protein-pocket alignment from DOR heavy atoms relative to the crystallographic pose, and the DOR–RT center-of-mass distance as the separation between the center of mass of DOR and that of the protein. Residue–</w:t>
      </w:r>
      <w:r>
        <w:lastRenderedPageBreak/>
        <w:t>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w:lastRenderedPageBreak/>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2F2BAF1A" w14:textId="77777777" w:rsidR="006E0AC1" w:rsidRPr="00E536AD" w:rsidRDefault="006E0AC1" w:rsidP="006E0AC1">
      <w:pPr>
        <w:pStyle w:val="TAMainText"/>
        <w:spacing w:after="240"/>
        <w:rPr>
          <w:rFonts w:ascii="Times New Roman" w:hAnsi="Times New Roman"/>
          <w:szCs w:val="24"/>
        </w:rPr>
      </w:pPr>
      <w:r>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44602AB6" w14:textId="481427A0" w:rsidR="00904E1B" w:rsidRPr="00E536AD" w:rsidRDefault="006E0AC1" w:rsidP="004260F0">
      <w:pPr>
        <w:pStyle w:val="TAMainText"/>
        <w:spacing w:after="240"/>
        <w:rPr>
          <w:rFonts w:ascii="Times New Roman" w:hAnsi="Times New Roman"/>
          <w:szCs w:val="24"/>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w:t>
      </w:r>
      <w:r w:rsidR="00DD322A">
        <w:t xml:space="preserve">artificial </w:t>
      </w:r>
      <w:r>
        <w:t xml:space="preserve">steric </w:t>
      </w:r>
      <w:r w:rsidR="009E0510">
        <w:t>clashes</w:t>
      </w:r>
      <w:r>
        <w:t xml:space="preserve">; minimization was run to convergence over 2,000 iterations. Replicate means are reported from 100 snapshots spaced evenly across the post-equilibration portion (final 75 ns) of each production trajectory. WT-referenced shifts were calculated as </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73D5EF2C"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1455036"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B2310BF" w14:textId="77777777" w:rsidR="0014765A" w:rsidRPr="00E536AD" w:rsidRDefault="0014765A" w:rsidP="00E50017">
      <w:pPr>
        <w:pStyle w:val="TAMainText"/>
      </w:pPr>
      <w:r>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the Hamiltonian of the system at coupling parameter λ. Wild-type and mutant end states were connected by pmx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w:t>
      </w:r>
      <w:r>
        <w:lastRenderedPageBreak/>
        <w:t>to GROMACS format through OpenFF Interchange 0.5.0. 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p>
    <w:p w14:paraId="1611D0E6"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ps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t>Switching times were 100 ps, or 500 ps for legs with widely separated forward and reverse work distributions (e.g. charge-changing WT→K103N leg inherited by the K103N-containing genotypes); control runs on neutral legs gave ∆G values invariant to switching time.</w:t>
      </w:r>
    </w:p>
    <w:p w14:paraId="3B4FD2C2"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(n</w:t>
      </w:r>
      <w:r>
        <w:rPr>
          <w:vertAlign w:val="subscript"/>
        </w:rPr>
        <w:t xml:space="preserve">F </w:t>
      </w:r>
      <w:r>
        <w:t>= n</w:t>
      </w:r>
      <w:r>
        <w:rPr>
          <w:vertAlign w:val="subscript"/>
        </w:rPr>
        <w:t>R</w:t>
      </w:r>
      <w:r>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Pr>
          <w:b/>
          <w:bCs/>
          <w:u w:val="single"/>
        </w:rPr>
        <w:t>Statistical analysis</w:t>
      </w:r>
    </w:p>
    <w:p w14:paraId="51258747" w14:textId="77777777" w:rsidR="00D53F77" w:rsidRDefault="00D53F77" w:rsidP="00C06CDC">
      <w:pPr>
        <w:pStyle w:val="TAMainText"/>
        <w:spacing w:after="240"/>
      </w:pPr>
      <w:r>
        <w:t xml:space="preserve">Associations between the computed energies and phenotype were assessed by ordinary least-squares regression against log₁₀-transformed fold-change in susceptibility, reported as the coefficient of determination R² with the two-sided p-value for a non-zero slope </w:t>
      </w:r>
      <w:r>
        <w:lastRenderedPageBreak/>
        <w:t>(scipy.stats.linregress). Given the small size of the panel, these statistics are reported as descriptive effect sizes rather than as hypothesis tests, and no correction for multiple comparisons was applied.</w:t>
      </w:r>
    </w:p>
    <w:p w14:paraId="27C39B71" w14:textId="77777777" w:rsidR="00766EBA" w:rsidRPr="00E536AD" w:rsidRDefault="00766EBA" w:rsidP="00C06CDC">
      <w:pPr>
        <w:pStyle w:val="TAMainText"/>
        <w:spacing w:after="240"/>
        <w:rPr>
          <w:rFonts w:ascii="Times New Roman" w:hAnsi="Times New Roman"/>
          <w:szCs w:val="24"/>
        </w:rPr>
      </w:pPr>
    </w:p>
    <w:p w14:paraId="162F0011"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2" w:history="1">
        <w:r>
          <w:rPr>
            <w:rStyle w:val="Hyperlink"/>
            <w:rFonts w:ascii="Times New Roman" w:hAnsi="Times New Roman"/>
            <w:szCs w:val="24"/>
          </w:rPr>
          <w:t>https://hivdb.stanford.edu/</w:t>
        </w:r>
      </w:hyperlink>
      <w:r>
        <w:t xml:space="preserve">). These susceptibility data were derived from assays performed using </w:t>
      </w:r>
      <w:r>
        <w:lastRenderedPageBreak/>
        <w:t xml:space="preserve">the Monogram PhenoSense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44AFB71B" w14:textId="77777777" w:rsidTr="005A06D4">
        <w:trPr>
          <w:trHeight w:val="260"/>
        </w:trPr>
        <w:tc>
          <w:tcPr>
            <w:tcW w:w="9558" w:type="dxa"/>
            <w:gridSpan w:val="6"/>
            <w:tcBorders>
              <w:bottom w:val="single" w:sz="4" w:space="0" w:color="auto"/>
            </w:tcBorders>
          </w:tcPr>
          <w:p w14:paraId="6CB3B18F" w14:textId="77777777" w:rsidR="00BA0839" w:rsidRPr="003968DD" w:rsidRDefault="00BA0839" w:rsidP="005A06D4">
            <w:pPr>
              <w:pStyle w:val="TCTableBody"/>
              <w:rPr>
                <w:rFonts w:ascii="Times New Roman" w:hAnsi="Times New Roman"/>
                <w:b/>
                <w:bCs/>
                <w:color w:val="000000"/>
                <w:sz w:val="22"/>
                <w:szCs w:val="22"/>
              </w:rPr>
            </w:pPr>
            <w:r>
              <w:rPr>
                <w:b/>
                <w:bCs/>
                <w:color w:val="000000"/>
                <w:sz w:val="22"/>
                <w:szCs w:val="22"/>
              </w:rPr>
              <w:t>Table 1. Fold-change in DOR susceptibility associated with selected genotypes</w:t>
            </w:r>
          </w:p>
        </w:tc>
      </w:tr>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45DC3130" w14:textId="31B7A01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2A39BBCA" w14:textId="5DD53E55"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3CF6B97" w14:textId="222D3A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36A799CB" w14:textId="51650F21"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1F1383E" w14:textId="05A2B70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580E0E">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580E0E">
              <w:rPr>
                <w:rFonts w:hint="eastAsia"/>
                <w:color w:val="000000"/>
                <w:sz w:val="22"/>
                <w:szCs w:val="22"/>
              </w:rPr>
              <w:instrText>–</w:instrText>
            </w:r>
            <w:r w:rsidR="00580E0E">
              <w:rPr>
                <w:color w:val="000000"/>
                <w:sz w:val="22"/>
                <w:szCs w:val="22"/>
              </w:rPr>
              <w:instrText>96.7%) than to etravirine (91.5%), rilpivirine (89.5%), efavirenz (81.5%), or nevirapine (77.5%). Based on a 3-fold cutoff, doravirine susceptibility was retained in 44.7</w:instrText>
            </w:r>
            <w:r w:rsidR="00580E0E">
              <w:rPr>
                <w:rFonts w:hint="eastAsia"/>
                <w:color w:val="000000"/>
                <w:sz w:val="22"/>
                <w:szCs w:val="22"/>
              </w:rPr>
              <w:instrText>–</w:instrText>
            </w:r>
            <w:r w:rsidR="00580E0E">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55</w:t>
            </w:r>
            <w:r>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0A57A9F8" w14:textId="3CD65D6F"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sidR="008A2546">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5D4B97F" w14:textId="6AEBC4E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6E07353B" w14:textId="1D99F5C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53D98B50" w14:textId="6EB62A40"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580E0E">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7536DC5" w14:textId="0B43D53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580E0E">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sidR="00580E0E">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0E7C6156" w14:textId="009525D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6AC0C6D2" w14:textId="5059A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sidR="008A2546">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580E0E">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sidR="00580E0E">
              <w:rPr>
                <w:rFonts w:hint="eastAsia"/>
                <w:color w:val="000000"/>
                <w:sz w:val="22"/>
                <w:szCs w:val="22"/>
              </w:rPr>
              <w:instrText> </w:instrText>
            </w:r>
            <w:r w:rsidR="00580E0E">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580E0E">
              <w:rPr>
                <w:rFonts w:hint="eastAsia"/>
                <w:color w:val="000000"/>
                <w:sz w:val="22"/>
                <w:szCs w:val="22"/>
              </w:rPr>
              <w:instrText>Å</w:instrText>
            </w:r>
            <w:r w:rsidR="00580E0E">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580E0E">
              <w:rPr>
                <w:rFonts w:hint="eastAsia"/>
                <w:color w:val="000000"/>
                <w:sz w:val="22"/>
                <w:szCs w:val="22"/>
              </w:rPr>
              <w:instrText> </w:instrText>
            </w:r>
            <w:r w:rsidR="00580E0E">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580E0E">
              <w:rPr>
                <w:rFonts w:hint="eastAsia"/>
                <w:color w:val="000000"/>
                <w:sz w:val="22"/>
                <w:szCs w:val="22"/>
              </w:rPr>
              <w:instrText> </w:instrText>
            </w:r>
            <w:r w:rsidR="00580E0E">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580E0E">
              <w:rPr>
                <w:rFonts w:hint="eastAsia"/>
                <w:color w:val="000000"/>
                <w:sz w:val="22"/>
                <w:szCs w:val="22"/>
              </w:rPr>
              <w:instrText> </w:instrText>
            </w:r>
            <w:r w:rsidR="00580E0E">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58</w:t>
            </w:r>
            <w:r>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0E79B13F" w14:textId="4E3882A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0735D52D" w14:textId="57378A7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1F985415" w14:textId="467F6DB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646581C5" w14:textId="084EC2D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41F27E8A" w14:textId="221F1E8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09C2068" w14:textId="581C268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58924B20"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580E0E">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580E0E" w:rsidRPr="00580E0E">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xml:space="preserve">) and for four individual energy </w:t>
      </w:r>
      <w:r>
        <w:lastRenderedPageBreak/>
        <w:t>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w:t>
      </w:r>
      <w:r>
        <w:rPr>
          <w:sz w:val="22"/>
          <w:szCs w:val="18"/>
        </w:rPr>
        <w:lastRenderedPageBreak/>
        <w:t xml:space="preserve">(red)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070417B8"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430E9DDF"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xml:space="preserve">, relative DOR binding free energy </w:t>
      </w:r>
      <w:r>
        <w:rPr>
          <w:sz w:val="22"/>
          <w:szCs w:val="22"/>
        </w:rPr>
        <w:lastRenderedPageBreak/>
        <w:t>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0900EA6"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w:t>
      </w:r>
      <w:r>
        <w:lastRenderedPageBreak/>
        <w:t xml:space="preserve">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25BC051D"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t>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C634FF" w14:paraId="1282DF6A" w14:textId="77777777" w:rsidTr="00453EE8">
        <w:trPr>
          <w:trHeight w:val="539"/>
        </w:trPr>
        <w:tc>
          <w:tcPr>
            <w:tcW w:w="895" w:type="dxa"/>
            <w:hideMark/>
          </w:tcPr>
          <w:p w14:paraId="6F2928FA" w14:textId="77777777" w:rsidR="00EA289C" w:rsidRPr="00C634FF" w:rsidRDefault="00EA289C" w:rsidP="00EA289C">
            <w:pPr>
              <w:pStyle w:val="TCTableBody"/>
              <w:jc w:val="center"/>
              <w:rPr>
                <w:rFonts w:ascii="Times New Roman" w:hAnsi="Times New Roman"/>
                <w:b/>
                <w:bCs/>
                <w:color w:val="000000"/>
                <w:sz w:val="20"/>
              </w:rPr>
            </w:pPr>
            <w:r>
              <w:rPr>
                <w:b/>
                <w:bCs/>
                <w:color w:val="000000"/>
                <w:sz w:val="20"/>
              </w:rPr>
              <w:t>Category</w:t>
            </w:r>
          </w:p>
        </w:tc>
        <w:tc>
          <w:tcPr>
            <w:tcW w:w="810" w:type="dxa"/>
            <w:hideMark/>
          </w:tcPr>
          <w:p w14:paraId="1915EFBD" w14:textId="77777777" w:rsidR="00EA289C" w:rsidRPr="00C634FF" w:rsidRDefault="00EA289C" w:rsidP="00EA289C">
            <w:pPr>
              <w:pStyle w:val="TCTableBody"/>
              <w:spacing w:line="480" w:lineRule="auto"/>
              <w:jc w:val="center"/>
              <w:rPr>
                <w:rFonts w:ascii="Times New Roman" w:hAnsi="Times New Roman"/>
                <w:b/>
                <w:bCs/>
                <w:color w:val="000000"/>
                <w:sz w:val="20"/>
              </w:rPr>
            </w:pPr>
            <w:r>
              <w:rPr>
                <w:b/>
                <w:bCs/>
                <w:color w:val="000000"/>
                <w:sz w:val="20"/>
              </w:rPr>
              <w:t>Genotype</w:t>
            </w:r>
          </w:p>
        </w:tc>
        <w:tc>
          <w:tcPr>
            <w:tcW w:w="1260" w:type="dxa"/>
            <w:hideMark/>
          </w:tcPr>
          <w:p w14:paraId="799AF54E" w14:textId="77777777" w:rsidR="00EA289C" w:rsidRPr="00C634FF" w:rsidRDefault="00453EE8" w:rsidP="00EA289C">
            <w:pPr>
              <w:pStyle w:val="TCTableBody"/>
              <w:jc w:val="center"/>
              <w:rPr>
                <w:rFonts w:ascii="Times New Roman" w:hAnsi="Times New Roman"/>
                <w:b/>
                <w:bCs/>
                <w:color w:val="000000"/>
                <w:sz w:val="20"/>
              </w:rPr>
            </w:pPr>
            <w:r>
              <w:rPr>
                <w:b/>
                <w:bCs/>
                <w:sz w:val="20"/>
              </w:rPr>
              <w:t>Lys103 C=O to DOR triazolinone N (Å)</w:t>
            </w:r>
          </w:p>
        </w:tc>
        <w:tc>
          <w:tcPr>
            <w:tcW w:w="1260" w:type="dxa"/>
            <w:hideMark/>
          </w:tcPr>
          <w:p w14:paraId="48C1B4C3" w14:textId="77777777" w:rsidR="00EA289C" w:rsidRPr="00C634FF" w:rsidRDefault="00453EE8" w:rsidP="00EA289C">
            <w:pPr>
              <w:pStyle w:val="TCTableBody"/>
              <w:jc w:val="center"/>
              <w:rPr>
                <w:rFonts w:ascii="Times New Roman" w:hAnsi="Times New Roman"/>
                <w:b/>
                <w:bCs/>
                <w:color w:val="000000"/>
                <w:sz w:val="20"/>
              </w:rPr>
            </w:pPr>
            <w:r>
              <w:rPr>
                <w:b/>
                <w:bCs/>
                <w:sz w:val="20"/>
              </w:rPr>
              <w:t>Lys103 side-chain polar atoms to DOR (Å)</w:t>
            </w:r>
          </w:p>
        </w:tc>
        <w:tc>
          <w:tcPr>
            <w:tcW w:w="1530" w:type="dxa"/>
            <w:hideMark/>
          </w:tcPr>
          <w:p w14:paraId="4A40673E" w14:textId="77777777" w:rsidR="00EA289C" w:rsidRPr="00C634FF" w:rsidRDefault="00EA289C" w:rsidP="00EA289C">
            <w:pPr>
              <w:pStyle w:val="TCTableBody"/>
              <w:jc w:val="center"/>
              <w:rPr>
                <w:rFonts w:ascii="Times New Roman" w:hAnsi="Times New Roman"/>
                <w:b/>
                <w:bCs/>
                <w:color w:val="000000"/>
                <w:sz w:val="20"/>
              </w:rPr>
            </w:pPr>
            <w:r>
              <w:rPr>
                <w:b/>
                <w:bCs/>
                <w:sz w:val="20"/>
              </w:rPr>
              <w:t>RT heavy-atom contacts &lt; 4.0 Å of chlorocyanophenyl ring</w:t>
            </w:r>
          </w:p>
        </w:tc>
        <w:tc>
          <w:tcPr>
            <w:tcW w:w="1440" w:type="dxa"/>
          </w:tcPr>
          <w:p w14:paraId="23C59D87" w14:textId="77777777" w:rsidR="00EA289C" w:rsidRPr="00C634FF" w:rsidRDefault="00EA289C" w:rsidP="00EA289C">
            <w:pPr>
              <w:pStyle w:val="TCTableBody"/>
              <w:jc w:val="center"/>
              <w:rPr>
                <w:rFonts w:ascii="Times New Roman" w:hAnsi="Times New Roman"/>
                <w:b/>
                <w:bCs/>
                <w:color w:val="000000"/>
                <w:sz w:val="20"/>
              </w:rPr>
            </w:pPr>
            <w:r>
              <w:rPr>
                <w:b/>
                <w:bCs/>
                <w:sz w:val="20"/>
              </w:rPr>
              <w:t>Tyr188 / chlorocyanophenyl interplanar angle (°)</w:t>
            </w:r>
          </w:p>
        </w:tc>
        <w:tc>
          <w:tcPr>
            <w:tcW w:w="1260" w:type="dxa"/>
          </w:tcPr>
          <w:p w14:paraId="6F38FC03" w14:textId="77777777" w:rsidR="00EA289C" w:rsidRPr="00C634FF" w:rsidRDefault="00EA289C" w:rsidP="00EA289C">
            <w:pPr>
              <w:pStyle w:val="TCTableBody"/>
              <w:jc w:val="center"/>
              <w:rPr>
                <w:rFonts w:ascii="Times New Roman" w:hAnsi="Times New Roman"/>
                <w:b/>
                <w:bCs/>
                <w:color w:val="000000"/>
                <w:sz w:val="20"/>
              </w:rPr>
            </w:pPr>
            <w:r>
              <w:rPr>
                <w:b/>
                <w:bCs/>
                <w:sz w:val="20"/>
              </w:rPr>
              <w:t>Val179 to DOR minimum distance (Å)</w:t>
            </w:r>
          </w:p>
        </w:tc>
        <w:tc>
          <w:tcPr>
            <w:tcW w:w="1260" w:type="dxa"/>
          </w:tcPr>
          <w:p w14:paraId="7828F33A" w14:textId="77777777" w:rsidR="00EA289C" w:rsidRPr="00C634FF" w:rsidRDefault="00EA289C" w:rsidP="00EA289C">
            <w:pPr>
              <w:pStyle w:val="TCTableBody"/>
              <w:jc w:val="center"/>
              <w:rPr>
                <w:rFonts w:ascii="Times New Roman" w:hAnsi="Times New Roman"/>
                <w:b/>
                <w:bCs/>
                <w:color w:val="000000"/>
                <w:sz w:val="20"/>
              </w:rPr>
            </w:pPr>
            <w:r>
              <w:rPr>
                <w:b/>
                <w:bCs/>
                <w:sz w:val="20"/>
              </w:rPr>
              <w:t>Ser105 to DOR minimum distance (Å)</w:t>
            </w:r>
          </w:p>
        </w:tc>
        <w:tc>
          <w:tcPr>
            <w:tcW w:w="1170" w:type="dxa"/>
          </w:tcPr>
          <w:p w14:paraId="5607E6BD" w14:textId="77777777" w:rsidR="00EA289C" w:rsidRPr="00C634FF" w:rsidRDefault="00453EE8" w:rsidP="00EA289C">
            <w:pPr>
              <w:pStyle w:val="TCTableBody"/>
              <w:jc w:val="center"/>
              <w:rPr>
                <w:rFonts w:ascii="Times New Roman" w:hAnsi="Times New Roman"/>
                <w:b/>
                <w:bCs/>
                <w:color w:val="000000"/>
                <w:sz w:val="20"/>
              </w:rPr>
            </w:pPr>
            <w:r>
              <w:rPr>
                <w:b/>
                <w:bCs/>
                <w:sz w:val="20"/>
              </w:rPr>
              <w:t>Val106 to DOR minimum distance (Å)</w:t>
            </w:r>
          </w:p>
        </w:tc>
        <w:tc>
          <w:tcPr>
            <w:tcW w:w="990" w:type="dxa"/>
          </w:tcPr>
          <w:p w14:paraId="082BC571" w14:textId="77777777" w:rsidR="00EA289C" w:rsidRPr="00C634FF" w:rsidRDefault="00EA289C" w:rsidP="00EA289C">
            <w:pPr>
              <w:pStyle w:val="TCTableBody"/>
              <w:jc w:val="center"/>
              <w:rPr>
                <w:rFonts w:ascii="Times New Roman" w:hAnsi="Times New Roman"/>
                <w:b/>
                <w:bCs/>
                <w:color w:val="000000"/>
                <w:sz w:val="20"/>
              </w:rPr>
            </w:pPr>
            <w:r>
              <w:rPr>
                <w:b/>
                <w:bCs/>
                <w:sz w:val="20"/>
              </w:rPr>
              <w:t>Pyridinone moiety contacts &lt; 4.0 Å</w:t>
            </w:r>
          </w:p>
        </w:tc>
        <w:tc>
          <w:tcPr>
            <w:tcW w:w="990" w:type="dxa"/>
          </w:tcPr>
          <w:p w14:paraId="12423F4B" w14:textId="77777777" w:rsidR="00EA289C" w:rsidRPr="00C634FF" w:rsidRDefault="00EA289C" w:rsidP="00EA289C">
            <w:pPr>
              <w:pStyle w:val="TCTableBody"/>
              <w:jc w:val="center"/>
              <w:rPr>
                <w:rFonts w:ascii="Times New Roman" w:hAnsi="Times New Roman"/>
                <w:b/>
                <w:bCs/>
                <w:color w:val="000000"/>
                <w:sz w:val="20"/>
              </w:rPr>
            </w:pPr>
            <w:r>
              <w:rPr>
                <w:b/>
                <w:bCs/>
                <w:sz w:val="20"/>
              </w:rPr>
              <w:t>NNIBP volume (Å</w:t>
            </w:r>
            <w:r>
              <w:rPr>
                <w:b/>
                <w:bCs/>
                <w:sz w:val="20"/>
                <w:vertAlign w:val="superscript"/>
              </w:rPr>
              <w:t>3</w:t>
            </w:r>
            <w:r>
              <w:rPr>
                <w:b/>
                <w:bCs/>
                <w:sz w:val="20"/>
              </w:rPr>
              <w:t>)</w:t>
            </w:r>
          </w:p>
        </w:tc>
      </w:tr>
      <w:tr w:rsidR="00FA0CDB" w:rsidRPr="00C634FF" w14:paraId="6A4BF709" w14:textId="77777777" w:rsidTr="00453EE8">
        <w:trPr>
          <w:trHeight w:val="340"/>
        </w:trPr>
        <w:tc>
          <w:tcPr>
            <w:tcW w:w="895" w:type="dxa"/>
          </w:tcPr>
          <w:p w14:paraId="41C19DB4"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Wild Type</w:t>
            </w:r>
          </w:p>
        </w:tc>
        <w:tc>
          <w:tcPr>
            <w:tcW w:w="810" w:type="dxa"/>
          </w:tcPr>
          <w:p w14:paraId="3BCBE512" w14:textId="77777777" w:rsidR="00FA0CDB" w:rsidRPr="00C634FF" w:rsidRDefault="00FA0CDB" w:rsidP="00FA0CDB">
            <w:pPr>
              <w:pStyle w:val="TCTableBody"/>
              <w:jc w:val="center"/>
              <w:rPr>
                <w:rFonts w:ascii="Times New Roman" w:hAnsi="Times New Roman"/>
                <w:color w:val="000000"/>
                <w:sz w:val="20"/>
              </w:rPr>
            </w:pPr>
            <w:r>
              <w:rPr>
                <w:color w:val="000000"/>
                <w:sz w:val="20"/>
              </w:rPr>
              <w:t>WT</w:t>
            </w:r>
          </w:p>
        </w:tc>
        <w:tc>
          <w:tcPr>
            <w:tcW w:w="1260" w:type="dxa"/>
          </w:tcPr>
          <w:p w14:paraId="181FC5D9" w14:textId="77777777" w:rsidR="00FA0CDB" w:rsidRPr="00C634FF" w:rsidRDefault="00FA0CDB" w:rsidP="00FA0CDB">
            <w:pPr>
              <w:pStyle w:val="TCTableBody"/>
              <w:jc w:val="center"/>
              <w:rPr>
                <w:rFonts w:ascii="Times New Roman" w:hAnsi="Times New Roman"/>
                <w:sz w:val="20"/>
              </w:rPr>
            </w:pPr>
            <w:r>
              <w:rPr>
                <w:sz w:val="20"/>
              </w:rPr>
              <w:t>2.97 ± 0.01</w:t>
            </w:r>
          </w:p>
        </w:tc>
        <w:tc>
          <w:tcPr>
            <w:tcW w:w="1260" w:type="dxa"/>
          </w:tcPr>
          <w:p w14:paraId="15F5D54D" w14:textId="77777777" w:rsidR="00FA0CDB" w:rsidRPr="00C634FF" w:rsidRDefault="00FA0CDB" w:rsidP="00FA0CDB">
            <w:pPr>
              <w:pStyle w:val="TCTableBody"/>
              <w:jc w:val="center"/>
              <w:rPr>
                <w:rFonts w:ascii="Times New Roman" w:hAnsi="Times New Roman"/>
                <w:sz w:val="20"/>
              </w:rPr>
            </w:pPr>
            <w:r>
              <w:rPr>
                <w:sz w:val="20"/>
              </w:rPr>
              <w:t>8.38 ± 0.15</w:t>
            </w:r>
          </w:p>
        </w:tc>
        <w:tc>
          <w:tcPr>
            <w:tcW w:w="1530" w:type="dxa"/>
          </w:tcPr>
          <w:p w14:paraId="130498AF" w14:textId="77777777" w:rsidR="00FA0CDB" w:rsidRPr="00C634FF" w:rsidRDefault="00FA0CDB" w:rsidP="00FA0CDB">
            <w:pPr>
              <w:pStyle w:val="TCTableBody"/>
              <w:jc w:val="center"/>
              <w:rPr>
                <w:rFonts w:ascii="Times New Roman" w:hAnsi="Times New Roman"/>
                <w:sz w:val="20"/>
              </w:rPr>
            </w:pPr>
            <w:r>
              <w:rPr>
                <w:sz w:val="20"/>
              </w:rPr>
              <w:t>19.5 ± 0.5</w:t>
            </w:r>
          </w:p>
        </w:tc>
        <w:tc>
          <w:tcPr>
            <w:tcW w:w="1440" w:type="dxa"/>
          </w:tcPr>
          <w:p w14:paraId="32621D69" w14:textId="77777777" w:rsidR="00FA0CDB" w:rsidRPr="00C634FF" w:rsidRDefault="00FA0CDB" w:rsidP="00FA0CDB">
            <w:pPr>
              <w:pStyle w:val="TCTableBody"/>
              <w:jc w:val="center"/>
              <w:rPr>
                <w:rFonts w:ascii="Times New Roman" w:hAnsi="Times New Roman"/>
                <w:sz w:val="20"/>
              </w:rPr>
            </w:pPr>
            <w:r>
              <w:rPr>
                <w:sz w:val="20"/>
              </w:rPr>
              <w:t>13.4 ± 0.4</w:t>
            </w:r>
          </w:p>
        </w:tc>
        <w:tc>
          <w:tcPr>
            <w:tcW w:w="1260" w:type="dxa"/>
          </w:tcPr>
          <w:p w14:paraId="790F0295" w14:textId="77777777" w:rsidR="00FA0CDB" w:rsidRPr="00C634FF" w:rsidRDefault="00FA0CDB" w:rsidP="00FA0CDB">
            <w:pPr>
              <w:pStyle w:val="TCTableBody"/>
              <w:jc w:val="center"/>
              <w:rPr>
                <w:rFonts w:ascii="Times New Roman" w:hAnsi="Times New Roman"/>
                <w:sz w:val="20"/>
              </w:rPr>
            </w:pPr>
            <w:r>
              <w:rPr>
                <w:sz w:val="20"/>
              </w:rPr>
              <w:t>3.62 ± 0.06</w:t>
            </w:r>
          </w:p>
        </w:tc>
        <w:tc>
          <w:tcPr>
            <w:tcW w:w="1260" w:type="dxa"/>
          </w:tcPr>
          <w:p w14:paraId="4FE30C3C" w14:textId="77777777" w:rsidR="00FA0CDB" w:rsidRPr="00C634FF" w:rsidRDefault="00FA0CDB" w:rsidP="00FA0CDB">
            <w:pPr>
              <w:pStyle w:val="TCTableBody"/>
              <w:jc w:val="center"/>
              <w:rPr>
                <w:rFonts w:ascii="Times New Roman" w:hAnsi="Times New Roman"/>
                <w:b/>
                <w:bCs/>
                <w:color w:val="000000"/>
                <w:sz w:val="20"/>
              </w:rPr>
            </w:pPr>
            <w:r>
              <w:rPr>
                <w:sz w:val="20"/>
              </w:rPr>
              <w:t>6.65 ± 0.09</w:t>
            </w:r>
          </w:p>
        </w:tc>
        <w:tc>
          <w:tcPr>
            <w:tcW w:w="1170" w:type="dxa"/>
          </w:tcPr>
          <w:p w14:paraId="5459283F" w14:textId="77777777" w:rsidR="00FA0CDB" w:rsidRPr="00C634FF" w:rsidRDefault="00FA0CDB" w:rsidP="00FA0CDB">
            <w:pPr>
              <w:pStyle w:val="TCTableBody"/>
              <w:jc w:val="center"/>
              <w:rPr>
                <w:rFonts w:ascii="Times New Roman" w:hAnsi="Times New Roman"/>
                <w:b/>
                <w:bCs/>
                <w:color w:val="000000"/>
                <w:sz w:val="20"/>
              </w:rPr>
            </w:pPr>
            <w:r>
              <w:rPr>
                <w:sz w:val="20"/>
              </w:rPr>
              <w:t>3.36 ± 0.07</w:t>
            </w:r>
          </w:p>
        </w:tc>
        <w:tc>
          <w:tcPr>
            <w:tcW w:w="990" w:type="dxa"/>
          </w:tcPr>
          <w:p w14:paraId="7B69D98A" w14:textId="77777777" w:rsidR="00FA0CDB" w:rsidRPr="00C634FF" w:rsidRDefault="00FA0CDB" w:rsidP="00FA0CDB">
            <w:pPr>
              <w:pStyle w:val="TCTableBody"/>
              <w:jc w:val="center"/>
              <w:rPr>
                <w:rFonts w:ascii="Times New Roman" w:hAnsi="Times New Roman"/>
                <w:b/>
                <w:bCs/>
                <w:color w:val="000000"/>
                <w:sz w:val="20"/>
              </w:rPr>
            </w:pPr>
            <w:r>
              <w:rPr>
                <w:sz w:val="20"/>
              </w:rPr>
              <w:t>14.8 ± 1.4</w:t>
            </w:r>
          </w:p>
        </w:tc>
        <w:tc>
          <w:tcPr>
            <w:tcW w:w="990" w:type="dxa"/>
          </w:tcPr>
          <w:p w14:paraId="26CB8F7A" w14:textId="77777777" w:rsidR="00FA0CDB" w:rsidRPr="00C634FF" w:rsidRDefault="00FA0CDB" w:rsidP="00FA0CDB">
            <w:pPr>
              <w:pStyle w:val="TCTableBody"/>
              <w:jc w:val="center"/>
              <w:rPr>
                <w:rFonts w:ascii="Times New Roman" w:hAnsi="Times New Roman"/>
                <w:b/>
                <w:bCs/>
                <w:color w:val="000000"/>
                <w:sz w:val="20"/>
              </w:rPr>
            </w:pPr>
            <w:r>
              <w:rPr>
                <w:sz w:val="20"/>
              </w:rPr>
              <w:t>228.4 ± 11.7</w:t>
            </w:r>
          </w:p>
        </w:tc>
      </w:tr>
      <w:tr w:rsidR="00FA0CDB" w:rsidRPr="00C634FF" w14:paraId="446F738F" w14:textId="77777777" w:rsidTr="00453EE8">
        <w:trPr>
          <w:trHeight w:val="340"/>
        </w:trPr>
        <w:tc>
          <w:tcPr>
            <w:tcW w:w="895" w:type="dxa"/>
            <w:vMerge w:val="restart"/>
            <w:hideMark/>
          </w:tcPr>
          <w:p w14:paraId="7F510B8D"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Susceptible</w:t>
            </w:r>
          </w:p>
        </w:tc>
        <w:tc>
          <w:tcPr>
            <w:tcW w:w="810" w:type="dxa"/>
            <w:hideMark/>
          </w:tcPr>
          <w:p w14:paraId="63352704" w14:textId="77777777" w:rsidR="00FA0CDB" w:rsidRPr="00C634FF" w:rsidRDefault="00FA0CDB" w:rsidP="00FA0CDB">
            <w:pPr>
              <w:pStyle w:val="TCTableBody"/>
              <w:jc w:val="center"/>
              <w:rPr>
                <w:rFonts w:ascii="Times New Roman" w:hAnsi="Times New Roman"/>
                <w:color w:val="000000"/>
                <w:sz w:val="20"/>
              </w:rPr>
            </w:pPr>
            <w:r>
              <w:rPr>
                <w:color w:val="000000"/>
                <w:sz w:val="20"/>
              </w:rPr>
              <w:t>V106I</w:t>
            </w:r>
          </w:p>
        </w:tc>
        <w:tc>
          <w:tcPr>
            <w:tcW w:w="1260" w:type="dxa"/>
            <w:hideMark/>
          </w:tcPr>
          <w:p w14:paraId="0926BBF8" w14:textId="77777777" w:rsidR="00FA0CDB" w:rsidRPr="00C634FF" w:rsidRDefault="00FA0CDB" w:rsidP="00FA0CDB">
            <w:pPr>
              <w:pStyle w:val="TCTableBody"/>
              <w:jc w:val="center"/>
              <w:rPr>
                <w:rFonts w:ascii="Times New Roman" w:hAnsi="Times New Roman"/>
                <w:color w:val="000000"/>
                <w:sz w:val="20"/>
              </w:rPr>
            </w:pPr>
            <w:r>
              <w:rPr>
                <w:sz w:val="20"/>
              </w:rPr>
              <w:t>3.62 ± 0.30</w:t>
            </w:r>
          </w:p>
        </w:tc>
        <w:tc>
          <w:tcPr>
            <w:tcW w:w="1260" w:type="dxa"/>
            <w:hideMark/>
          </w:tcPr>
          <w:p w14:paraId="2E05C1B5" w14:textId="77777777" w:rsidR="00FA0CDB" w:rsidRPr="00C634FF" w:rsidRDefault="00FA0CDB" w:rsidP="00FA0CDB">
            <w:pPr>
              <w:pStyle w:val="TCTableBody"/>
              <w:jc w:val="center"/>
              <w:rPr>
                <w:rFonts w:ascii="Times New Roman" w:hAnsi="Times New Roman"/>
                <w:color w:val="000000"/>
                <w:sz w:val="20"/>
              </w:rPr>
            </w:pPr>
            <w:r>
              <w:rPr>
                <w:sz w:val="20"/>
              </w:rPr>
              <w:t>9.20 ± 0.50</w:t>
            </w:r>
          </w:p>
        </w:tc>
        <w:tc>
          <w:tcPr>
            <w:tcW w:w="1530" w:type="dxa"/>
            <w:hideMark/>
          </w:tcPr>
          <w:p w14:paraId="2DE50177" w14:textId="77777777" w:rsidR="00FA0CDB" w:rsidRPr="00C634FF" w:rsidRDefault="00FA0CDB" w:rsidP="00FA0CDB">
            <w:pPr>
              <w:pStyle w:val="TCTableBody"/>
              <w:jc w:val="center"/>
              <w:rPr>
                <w:rFonts w:ascii="Times New Roman" w:hAnsi="Times New Roman"/>
                <w:color w:val="000000"/>
                <w:sz w:val="20"/>
              </w:rPr>
            </w:pPr>
            <w:r>
              <w:rPr>
                <w:sz w:val="20"/>
              </w:rPr>
              <w:t>20.2 ± 0.3</w:t>
            </w:r>
          </w:p>
        </w:tc>
        <w:tc>
          <w:tcPr>
            <w:tcW w:w="1440" w:type="dxa"/>
          </w:tcPr>
          <w:p w14:paraId="4575FB5C" w14:textId="77777777" w:rsidR="00FA0CDB" w:rsidRPr="00C634FF" w:rsidRDefault="00FA0CDB" w:rsidP="00FA0CDB">
            <w:pPr>
              <w:pStyle w:val="TCTableBody"/>
              <w:jc w:val="center"/>
              <w:rPr>
                <w:rFonts w:ascii="Times New Roman" w:hAnsi="Times New Roman"/>
                <w:color w:val="000000"/>
                <w:sz w:val="20"/>
              </w:rPr>
            </w:pPr>
            <w:r>
              <w:rPr>
                <w:sz w:val="20"/>
              </w:rPr>
              <w:t>14.7 ± 2.3</w:t>
            </w:r>
          </w:p>
        </w:tc>
        <w:tc>
          <w:tcPr>
            <w:tcW w:w="1260" w:type="dxa"/>
          </w:tcPr>
          <w:p w14:paraId="5A38DD0D" w14:textId="77777777" w:rsidR="00FA0CDB" w:rsidRPr="00C634FF" w:rsidRDefault="00FA0CDB" w:rsidP="00FA0CDB">
            <w:pPr>
              <w:pStyle w:val="TCTableBody"/>
              <w:jc w:val="center"/>
              <w:rPr>
                <w:rFonts w:ascii="Times New Roman" w:hAnsi="Times New Roman"/>
                <w:color w:val="000000"/>
                <w:sz w:val="20"/>
              </w:rPr>
            </w:pPr>
            <w:r>
              <w:rPr>
                <w:sz w:val="20"/>
              </w:rPr>
              <w:t>3.74 ± 0.20</w:t>
            </w:r>
          </w:p>
        </w:tc>
        <w:tc>
          <w:tcPr>
            <w:tcW w:w="1260" w:type="dxa"/>
          </w:tcPr>
          <w:p w14:paraId="52851363" w14:textId="77777777" w:rsidR="00FA0CDB" w:rsidRPr="00C634FF" w:rsidRDefault="00FA0CDB" w:rsidP="00FA0CDB">
            <w:pPr>
              <w:pStyle w:val="TCTableBody"/>
              <w:jc w:val="center"/>
              <w:rPr>
                <w:rFonts w:ascii="Times New Roman" w:hAnsi="Times New Roman"/>
                <w:b/>
                <w:bCs/>
                <w:color w:val="000000"/>
                <w:sz w:val="20"/>
              </w:rPr>
            </w:pPr>
            <w:r>
              <w:rPr>
                <w:sz w:val="20"/>
              </w:rPr>
              <w:t>7.15 ± 0.14</w:t>
            </w:r>
          </w:p>
        </w:tc>
        <w:tc>
          <w:tcPr>
            <w:tcW w:w="1170" w:type="dxa"/>
          </w:tcPr>
          <w:p w14:paraId="5645AABC" w14:textId="77777777" w:rsidR="00FA0CDB" w:rsidRPr="00C634FF" w:rsidRDefault="00FA0CDB" w:rsidP="00FA0CDB">
            <w:pPr>
              <w:pStyle w:val="TCTableBody"/>
              <w:jc w:val="center"/>
              <w:rPr>
                <w:rFonts w:ascii="Times New Roman" w:hAnsi="Times New Roman"/>
                <w:b/>
                <w:bCs/>
                <w:color w:val="000000"/>
                <w:sz w:val="20"/>
              </w:rPr>
            </w:pPr>
            <w:r>
              <w:rPr>
                <w:sz w:val="20"/>
              </w:rPr>
              <w:t>3.22 ± 0.09</w:t>
            </w:r>
          </w:p>
        </w:tc>
        <w:tc>
          <w:tcPr>
            <w:tcW w:w="990" w:type="dxa"/>
          </w:tcPr>
          <w:p w14:paraId="49B3CC1B" w14:textId="77777777" w:rsidR="00FA0CDB" w:rsidRPr="00C634FF" w:rsidRDefault="00FA0CDB" w:rsidP="00FA0CDB">
            <w:pPr>
              <w:pStyle w:val="TCTableBody"/>
              <w:jc w:val="center"/>
              <w:rPr>
                <w:rFonts w:ascii="Times New Roman" w:hAnsi="Times New Roman"/>
                <w:b/>
                <w:bCs/>
                <w:color w:val="000000"/>
                <w:sz w:val="20"/>
              </w:rPr>
            </w:pPr>
            <w:r>
              <w:rPr>
                <w:sz w:val="20"/>
              </w:rPr>
              <w:t>16.0 ± 0.8</w:t>
            </w:r>
          </w:p>
        </w:tc>
        <w:tc>
          <w:tcPr>
            <w:tcW w:w="990" w:type="dxa"/>
          </w:tcPr>
          <w:p w14:paraId="11AA1189" w14:textId="77777777" w:rsidR="00FA0CDB" w:rsidRPr="00C634FF" w:rsidRDefault="00FA0CDB" w:rsidP="00FA0CDB">
            <w:pPr>
              <w:pStyle w:val="TCTableBody"/>
              <w:jc w:val="center"/>
              <w:rPr>
                <w:rFonts w:ascii="Times New Roman" w:hAnsi="Times New Roman"/>
                <w:b/>
                <w:bCs/>
                <w:color w:val="000000"/>
                <w:sz w:val="20"/>
              </w:rPr>
            </w:pPr>
            <w:r>
              <w:rPr>
                <w:sz w:val="20"/>
              </w:rPr>
              <w:t>247.3 ± 6.7</w:t>
            </w:r>
          </w:p>
        </w:tc>
      </w:tr>
      <w:tr w:rsidR="00FA0CDB" w:rsidRPr="00C634FF" w14:paraId="594E5961" w14:textId="77777777" w:rsidTr="00453EE8">
        <w:trPr>
          <w:trHeight w:val="340"/>
        </w:trPr>
        <w:tc>
          <w:tcPr>
            <w:tcW w:w="895" w:type="dxa"/>
            <w:vMerge/>
            <w:hideMark/>
          </w:tcPr>
          <w:p w14:paraId="02B11709" w14:textId="77777777" w:rsidR="00FA0CDB" w:rsidRPr="00C634FF" w:rsidRDefault="00FA0CDB" w:rsidP="00FA0CDB">
            <w:pPr>
              <w:rPr>
                <w:rFonts w:ascii="Times New Roman" w:hAnsi="Times New Roman"/>
                <w:color w:val="000000"/>
                <w:sz w:val="20"/>
              </w:rPr>
            </w:pPr>
          </w:p>
        </w:tc>
        <w:tc>
          <w:tcPr>
            <w:tcW w:w="810" w:type="dxa"/>
            <w:hideMark/>
          </w:tcPr>
          <w:p w14:paraId="5ECD5ED4" w14:textId="77777777" w:rsidR="00FA0CDB" w:rsidRPr="00C634FF" w:rsidRDefault="00FA0CDB" w:rsidP="00FA0CDB">
            <w:pPr>
              <w:pStyle w:val="TCTableBody"/>
              <w:jc w:val="center"/>
              <w:rPr>
                <w:rFonts w:ascii="Times New Roman" w:hAnsi="Times New Roman"/>
                <w:color w:val="000000"/>
                <w:sz w:val="20"/>
              </w:rPr>
            </w:pPr>
            <w:r>
              <w:rPr>
                <w:sz w:val="20"/>
              </w:rPr>
              <w:t>K103N</w:t>
            </w:r>
          </w:p>
        </w:tc>
        <w:tc>
          <w:tcPr>
            <w:tcW w:w="1260" w:type="dxa"/>
            <w:hideMark/>
          </w:tcPr>
          <w:p w14:paraId="07BBCB74" w14:textId="77777777" w:rsidR="00FA0CDB" w:rsidRPr="00C634FF" w:rsidRDefault="00FA0CDB" w:rsidP="00FA0CDB">
            <w:pPr>
              <w:pStyle w:val="TCTableBody"/>
              <w:jc w:val="center"/>
              <w:rPr>
                <w:rFonts w:ascii="Times New Roman" w:hAnsi="Times New Roman"/>
                <w:color w:val="000000"/>
                <w:sz w:val="20"/>
              </w:rPr>
            </w:pPr>
            <w:r>
              <w:rPr>
                <w:sz w:val="20"/>
              </w:rPr>
              <w:t>3.08 ± 0.06</w:t>
            </w:r>
          </w:p>
        </w:tc>
        <w:tc>
          <w:tcPr>
            <w:tcW w:w="1260" w:type="dxa"/>
            <w:hideMark/>
          </w:tcPr>
          <w:p w14:paraId="4A78E2DA" w14:textId="77777777" w:rsidR="00FA0CDB" w:rsidRPr="00C634FF" w:rsidRDefault="00FA0CDB" w:rsidP="00FA0CDB">
            <w:pPr>
              <w:pStyle w:val="TCTableBody"/>
              <w:jc w:val="center"/>
              <w:rPr>
                <w:rFonts w:ascii="Times New Roman" w:hAnsi="Times New Roman"/>
                <w:color w:val="000000"/>
                <w:sz w:val="20"/>
              </w:rPr>
            </w:pPr>
            <w:r>
              <w:rPr>
                <w:sz w:val="20"/>
              </w:rPr>
              <w:t>5.07 ± 0.04</w:t>
            </w:r>
          </w:p>
        </w:tc>
        <w:tc>
          <w:tcPr>
            <w:tcW w:w="1530" w:type="dxa"/>
            <w:hideMark/>
          </w:tcPr>
          <w:p w14:paraId="1AA3AA80" w14:textId="77777777" w:rsidR="00FA0CDB" w:rsidRPr="00C634FF" w:rsidRDefault="00FA0CDB" w:rsidP="00FA0CDB">
            <w:pPr>
              <w:pStyle w:val="TCTableBody"/>
              <w:jc w:val="center"/>
              <w:rPr>
                <w:rFonts w:ascii="Times New Roman" w:hAnsi="Times New Roman"/>
                <w:color w:val="000000"/>
                <w:sz w:val="20"/>
              </w:rPr>
            </w:pPr>
            <w:r>
              <w:rPr>
                <w:sz w:val="20"/>
              </w:rPr>
              <w:t>20.3 ± 0.6</w:t>
            </w:r>
          </w:p>
        </w:tc>
        <w:tc>
          <w:tcPr>
            <w:tcW w:w="1440" w:type="dxa"/>
          </w:tcPr>
          <w:p w14:paraId="13D0BA28" w14:textId="77777777" w:rsidR="00FA0CDB" w:rsidRPr="00C634FF" w:rsidRDefault="00FA0CDB" w:rsidP="00FA0CDB">
            <w:pPr>
              <w:pStyle w:val="TCTableBody"/>
              <w:jc w:val="center"/>
              <w:rPr>
                <w:rFonts w:ascii="Times New Roman" w:hAnsi="Times New Roman"/>
                <w:sz w:val="20"/>
              </w:rPr>
            </w:pPr>
            <w:r>
              <w:rPr>
                <w:sz w:val="20"/>
              </w:rPr>
              <w:t>14.2 ± 1.7</w:t>
            </w:r>
          </w:p>
        </w:tc>
        <w:tc>
          <w:tcPr>
            <w:tcW w:w="1260" w:type="dxa"/>
          </w:tcPr>
          <w:p w14:paraId="49825936" w14:textId="77777777" w:rsidR="00FA0CDB" w:rsidRPr="00C634FF" w:rsidRDefault="00FA0CDB" w:rsidP="00FA0CDB">
            <w:pPr>
              <w:pStyle w:val="TCTableBody"/>
              <w:jc w:val="center"/>
              <w:rPr>
                <w:rFonts w:ascii="Times New Roman" w:hAnsi="Times New Roman"/>
                <w:sz w:val="20"/>
              </w:rPr>
            </w:pPr>
            <w:r>
              <w:rPr>
                <w:sz w:val="20"/>
              </w:rPr>
              <w:t>3.77 ± 0.13</w:t>
            </w:r>
          </w:p>
        </w:tc>
        <w:tc>
          <w:tcPr>
            <w:tcW w:w="1260" w:type="dxa"/>
          </w:tcPr>
          <w:p w14:paraId="28A54DCD" w14:textId="77777777" w:rsidR="00FA0CDB" w:rsidRPr="00C634FF" w:rsidRDefault="00FA0CDB" w:rsidP="00FA0CDB">
            <w:pPr>
              <w:pStyle w:val="TCTableBody"/>
              <w:jc w:val="center"/>
              <w:rPr>
                <w:rFonts w:ascii="Times New Roman" w:hAnsi="Times New Roman"/>
                <w:b/>
                <w:bCs/>
                <w:color w:val="000000"/>
                <w:sz w:val="20"/>
              </w:rPr>
            </w:pPr>
            <w:r>
              <w:rPr>
                <w:sz w:val="20"/>
              </w:rPr>
              <w:t>6.48 ± 0.10</w:t>
            </w:r>
          </w:p>
        </w:tc>
        <w:tc>
          <w:tcPr>
            <w:tcW w:w="1170" w:type="dxa"/>
          </w:tcPr>
          <w:p w14:paraId="68A67B80" w14:textId="77777777" w:rsidR="00FA0CDB" w:rsidRPr="00C634FF" w:rsidRDefault="00FA0CDB" w:rsidP="00FA0CDB">
            <w:pPr>
              <w:pStyle w:val="TCTableBody"/>
              <w:jc w:val="center"/>
              <w:rPr>
                <w:rFonts w:ascii="Times New Roman" w:hAnsi="Times New Roman"/>
                <w:b/>
                <w:bCs/>
                <w:color w:val="000000"/>
                <w:sz w:val="20"/>
              </w:rPr>
            </w:pPr>
            <w:r>
              <w:rPr>
                <w:sz w:val="20"/>
              </w:rPr>
              <w:t>3.15 ± 0.14</w:t>
            </w:r>
          </w:p>
        </w:tc>
        <w:tc>
          <w:tcPr>
            <w:tcW w:w="990" w:type="dxa"/>
          </w:tcPr>
          <w:p w14:paraId="55DCC905" w14:textId="77777777" w:rsidR="00FA0CDB" w:rsidRPr="00C634FF" w:rsidRDefault="00FA0CDB" w:rsidP="00FA0CDB">
            <w:pPr>
              <w:pStyle w:val="TCTableBody"/>
              <w:jc w:val="center"/>
              <w:rPr>
                <w:rFonts w:ascii="Times New Roman" w:hAnsi="Times New Roman"/>
                <w:b/>
                <w:bCs/>
                <w:color w:val="000000"/>
                <w:sz w:val="20"/>
              </w:rPr>
            </w:pPr>
            <w:r>
              <w:rPr>
                <w:sz w:val="20"/>
              </w:rPr>
              <w:t>17.4 ± 1.7</w:t>
            </w:r>
          </w:p>
        </w:tc>
        <w:tc>
          <w:tcPr>
            <w:tcW w:w="990" w:type="dxa"/>
          </w:tcPr>
          <w:p w14:paraId="1218B7C2" w14:textId="77777777" w:rsidR="00FA0CDB" w:rsidRPr="00C634FF" w:rsidRDefault="00FA0CDB" w:rsidP="00FA0CDB">
            <w:pPr>
              <w:pStyle w:val="TCTableBody"/>
              <w:jc w:val="center"/>
              <w:rPr>
                <w:rFonts w:ascii="Times New Roman" w:hAnsi="Times New Roman"/>
                <w:b/>
                <w:bCs/>
                <w:color w:val="000000"/>
                <w:sz w:val="20"/>
              </w:rPr>
            </w:pPr>
            <w:r>
              <w:rPr>
                <w:sz w:val="20"/>
              </w:rPr>
              <w:t>236.8 ± 3.7</w:t>
            </w:r>
          </w:p>
        </w:tc>
      </w:tr>
      <w:tr w:rsidR="00FA0CDB" w:rsidRPr="00C634FF" w14:paraId="4A928BC3" w14:textId="77777777" w:rsidTr="00453EE8">
        <w:trPr>
          <w:trHeight w:val="340"/>
        </w:trPr>
        <w:tc>
          <w:tcPr>
            <w:tcW w:w="895" w:type="dxa"/>
            <w:vMerge/>
            <w:hideMark/>
          </w:tcPr>
          <w:p w14:paraId="2DC7B827" w14:textId="77777777" w:rsidR="00FA0CDB" w:rsidRPr="00C634FF" w:rsidRDefault="00FA0CDB" w:rsidP="00FA0CDB">
            <w:pPr>
              <w:rPr>
                <w:rFonts w:ascii="Times New Roman" w:hAnsi="Times New Roman"/>
                <w:color w:val="000000"/>
                <w:sz w:val="20"/>
              </w:rPr>
            </w:pPr>
          </w:p>
        </w:tc>
        <w:tc>
          <w:tcPr>
            <w:tcW w:w="810" w:type="dxa"/>
            <w:hideMark/>
          </w:tcPr>
          <w:p w14:paraId="61F088CE" w14:textId="77777777" w:rsidR="00FA0CDB" w:rsidRPr="00C634FF" w:rsidRDefault="00FA0CDB" w:rsidP="00FA0CDB">
            <w:pPr>
              <w:pStyle w:val="TCTableBody"/>
              <w:jc w:val="center"/>
              <w:rPr>
                <w:rFonts w:ascii="Times New Roman" w:hAnsi="Times New Roman"/>
                <w:color w:val="000000"/>
                <w:sz w:val="20"/>
              </w:rPr>
            </w:pPr>
            <w:r>
              <w:rPr>
                <w:sz w:val="20"/>
              </w:rPr>
              <w:t>Y181C</w:t>
            </w:r>
          </w:p>
        </w:tc>
        <w:tc>
          <w:tcPr>
            <w:tcW w:w="1260" w:type="dxa"/>
            <w:hideMark/>
          </w:tcPr>
          <w:p w14:paraId="63BD4277" w14:textId="77777777" w:rsidR="00FA0CDB" w:rsidRPr="00C634FF" w:rsidRDefault="00FA0CDB" w:rsidP="00FA0CDB">
            <w:pPr>
              <w:pStyle w:val="TCTableBody"/>
              <w:jc w:val="center"/>
              <w:rPr>
                <w:rFonts w:ascii="Times New Roman" w:hAnsi="Times New Roman"/>
                <w:color w:val="000000"/>
                <w:sz w:val="20"/>
              </w:rPr>
            </w:pPr>
            <w:r>
              <w:rPr>
                <w:sz w:val="20"/>
              </w:rPr>
              <w:t>2.95 ± 0.06</w:t>
            </w:r>
          </w:p>
        </w:tc>
        <w:tc>
          <w:tcPr>
            <w:tcW w:w="1260" w:type="dxa"/>
            <w:hideMark/>
          </w:tcPr>
          <w:p w14:paraId="6EABC431" w14:textId="77777777" w:rsidR="00FA0CDB" w:rsidRPr="00C634FF" w:rsidRDefault="00FA0CDB" w:rsidP="00FA0CDB">
            <w:pPr>
              <w:pStyle w:val="TCTableBody"/>
              <w:jc w:val="center"/>
              <w:rPr>
                <w:rFonts w:ascii="Times New Roman" w:hAnsi="Times New Roman"/>
                <w:color w:val="000000"/>
                <w:sz w:val="20"/>
              </w:rPr>
            </w:pPr>
            <w:r>
              <w:rPr>
                <w:sz w:val="20"/>
              </w:rPr>
              <w:t>8.17 ± 0.26</w:t>
            </w:r>
          </w:p>
        </w:tc>
        <w:tc>
          <w:tcPr>
            <w:tcW w:w="1530" w:type="dxa"/>
            <w:hideMark/>
          </w:tcPr>
          <w:p w14:paraId="4E927A65" w14:textId="77777777" w:rsidR="00FA0CDB" w:rsidRPr="00C634FF" w:rsidRDefault="00FA0CDB" w:rsidP="00FA0CDB">
            <w:pPr>
              <w:pStyle w:val="TCTableBody"/>
              <w:jc w:val="center"/>
              <w:rPr>
                <w:rFonts w:ascii="Times New Roman" w:hAnsi="Times New Roman"/>
                <w:color w:val="000000"/>
                <w:sz w:val="20"/>
              </w:rPr>
            </w:pPr>
            <w:r>
              <w:rPr>
                <w:sz w:val="20"/>
              </w:rPr>
              <w:t>24.0 ± 2.6</w:t>
            </w:r>
          </w:p>
        </w:tc>
        <w:tc>
          <w:tcPr>
            <w:tcW w:w="1440" w:type="dxa"/>
          </w:tcPr>
          <w:p w14:paraId="646E526D" w14:textId="77777777" w:rsidR="00FA0CDB" w:rsidRPr="00C634FF" w:rsidRDefault="00FA0CDB" w:rsidP="00FA0CDB">
            <w:pPr>
              <w:pStyle w:val="TCTableBody"/>
              <w:jc w:val="center"/>
              <w:rPr>
                <w:rFonts w:ascii="Times New Roman" w:hAnsi="Times New Roman"/>
                <w:sz w:val="20"/>
              </w:rPr>
            </w:pPr>
            <w:r>
              <w:rPr>
                <w:sz w:val="20"/>
              </w:rPr>
              <w:t>14.9 ± 1.6</w:t>
            </w:r>
          </w:p>
        </w:tc>
        <w:tc>
          <w:tcPr>
            <w:tcW w:w="1260" w:type="dxa"/>
          </w:tcPr>
          <w:p w14:paraId="775D025A" w14:textId="77777777" w:rsidR="00FA0CDB" w:rsidRPr="00C634FF" w:rsidRDefault="00FA0CDB" w:rsidP="00FA0CDB">
            <w:pPr>
              <w:pStyle w:val="TCTableBody"/>
              <w:jc w:val="center"/>
              <w:rPr>
                <w:rFonts w:ascii="Times New Roman" w:hAnsi="Times New Roman"/>
                <w:sz w:val="20"/>
              </w:rPr>
            </w:pPr>
            <w:r>
              <w:rPr>
                <w:sz w:val="20"/>
              </w:rPr>
              <w:t>3.51 ± 0.13</w:t>
            </w:r>
          </w:p>
        </w:tc>
        <w:tc>
          <w:tcPr>
            <w:tcW w:w="1260" w:type="dxa"/>
          </w:tcPr>
          <w:p w14:paraId="46301FF8" w14:textId="77777777" w:rsidR="00FA0CDB" w:rsidRPr="00C634FF" w:rsidRDefault="00FA0CDB" w:rsidP="00FA0CDB">
            <w:pPr>
              <w:pStyle w:val="TCTableBody"/>
              <w:jc w:val="center"/>
              <w:rPr>
                <w:rFonts w:ascii="Times New Roman" w:hAnsi="Times New Roman"/>
                <w:b/>
                <w:bCs/>
                <w:color w:val="000000"/>
                <w:sz w:val="20"/>
              </w:rPr>
            </w:pPr>
            <w:r>
              <w:rPr>
                <w:sz w:val="20"/>
              </w:rPr>
              <w:t>5.99 ± 0.15</w:t>
            </w:r>
          </w:p>
        </w:tc>
        <w:tc>
          <w:tcPr>
            <w:tcW w:w="1170" w:type="dxa"/>
          </w:tcPr>
          <w:p w14:paraId="3F474EE0" w14:textId="77777777" w:rsidR="00FA0CDB" w:rsidRPr="00C634FF" w:rsidRDefault="00FA0CDB" w:rsidP="00FA0CDB">
            <w:pPr>
              <w:pStyle w:val="TCTableBody"/>
              <w:jc w:val="center"/>
              <w:rPr>
                <w:rFonts w:ascii="Times New Roman" w:hAnsi="Times New Roman"/>
                <w:b/>
                <w:bCs/>
                <w:color w:val="000000"/>
                <w:sz w:val="20"/>
              </w:rPr>
            </w:pPr>
            <w:r>
              <w:rPr>
                <w:sz w:val="20"/>
              </w:rPr>
              <w:t>3.05 ± 0.17</w:t>
            </w:r>
          </w:p>
        </w:tc>
        <w:tc>
          <w:tcPr>
            <w:tcW w:w="990" w:type="dxa"/>
          </w:tcPr>
          <w:p w14:paraId="2DA9C2CA" w14:textId="77777777" w:rsidR="00FA0CDB" w:rsidRPr="00C634FF" w:rsidRDefault="00FA0CDB" w:rsidP="00FA0CDB">
            <w:pPr>
              <w:pStyle w:val="TCTableBody"/>
              <w:jc w:val="center"/>
              <w:rPr>
                <w:rFonts w:ascii="Times New Roman" w:hAnsi="Times New Roman"/>
                <w:b/>
                <w:bCs/>
                <w:color w:val="000000"/>
                <w:sz w:val="20"/>
              </w:rPr>
            </w:pPr>
            <w:r>
              <w:rPr>
                <w:sz w:val="20"/>
              </w:rPr>
              <w:t>16.4 ± 1.1</w:t>
            </w:r>
          </w:p>
        </w:tc>
        <w:tc>
          <w:tcPr>
            <w:tcW w:w="990" w:type="dxa"/>
          </w:tcPr>
          <w:p w14:paraId="64A289EF" w14:textId="77777777" w:rsidR="00FA0CDB" w:rsidRPr="00C634FF" w:rsidRDefault="00FA0CDB" w:rsidP="00FA0CDB">
            <w:pPr>
              <w:pStyle w:val="TCTableBody"/>
              <w:jc w:val="center"/>
              <w:rPr>
                <w:rFonts w:ascii="Times New Roman" w:hAnsi="Times New Roman"/>
                <w:b/>
                <w:bCs/>
                <w:color w:val="000000"/>
                <w:sz w:val="20"/>
              </w:rPr>
            </w:pPr>
            <w:r>
              <w:rPr>
                <w:sz w:val="20"/>
              </w:rPr>
              <w:t>257.3 ± 1.6</w:t>
            </w:r>
          </w:p>
        </w:tc>
      </w:tr>
      <w:tr w:rsidR="00FA0CDB" w:rsidRPr="00C634FF" w14:paraId="236BD366" w14:textId="77777777" w:rsidTr="00453EE8">
        <w:trPr>
          <w:trHeight w:val="359"/>
        </w:trPr>
        <w:tc>
          <w:tcPr>
            <w:tcW w:w="895" w:type="dxa"/>
            <w:vMerge/>
            <w:hideMark/>
          </w:tcPr>
          <w:p w14:paraId="73088DEE" w14:textId="77777777" w:rsidR="00FA0CDB" w:rsidRPr="00C634FF" w:rsidRDefault="00FA0CDB" w:rsidP="00FA0CDB">
            <w:pPr>
              <w:rPr>
                <w:rFonts w:ascii="Times New Roman" w:hAnsi="Times New Roman"/>
                <w:color w:val="000000"/>
                <w:sz w:val="20"/>
              </w:rPr>
            </w:pPr>
          </w:p>
        </w:tc>
        <w:tc>
          <w:tcPr>
            <w:tcW w:w="810" w:type="dxa"/>
            <w:hideMark/>
          </w:tcPr>
          <w:p w14:paraId="2A39D85A" w14:textId="77777777" w:rsidR="00FA0CDB" w:rsidRPr="00C634FF" w:rsidRDefault="00FA0CDB" w:rsidP="00FA0CDB">
            <w:pPr>
              <w:pStyle w:val="TCTableBody"/>
              <w:jc w:val="center"/>
              <w:rPr>
                <w:rFonts w:ascii="Times New Roman" w:hAnsi="Times New Roman"/>
                <w:color w:val="000000"/>
                <w:sz w:val="20"/>
              </w:rPr>
            </w:pPr>
            <w:r>
              <w:rPr>
                <w:sz w:val="20"/>
              </w:rPr>
              <w:t>G190A</w:t>
            </w:r>
          </w:p>
        </w:tc>
        <w:tc>
          <w:tcPr>
            <w:tcW w:w="1260" w:type="dxa"/>
            <w:hideMark/>
          </w:tcPr>
          <w:p w14:paraId="082DB5F6" w14:textId="77777777" w:rsidR="00FA0CDB" w:rsidRPr="00C634FF" w:rsidRDefault="00FA0CDB" w:rsidP="00FA0CDB">
            <w:pPr>
              <w:pStyle w:val="TCTableBody"/>
              <w:jc w:val="center"/>
              <w:rPr>
                <w:rFonts w:ascii="Times New Roman" w:hAnsi="Times New Roman"/>
                <w:color w:val="000000"/>
                <w:sz w:val="20"/>
              </w:rPr>
            </w:pPr>
            <w:r>
              <w:rPr>
                <w:sz w:val="20"/>
              </w:rPr>
              <w:t>3.01 ± 0.03</w:t>
            </w:r>
          </w:p>
        </w:tc>
        <w:tc>
          <w:tcPr>
            <w:tcW w:w="1260" w:type="dxa"/>
            <w:hideMark/>
          </w:tcPr>
          <w:p w14:paraId="5CAA59DC" w14:textId="77777777" w:rsidR="00FA0CDB" w:rsidRPr="00C634FF" w:rsidRDefault="00FA0CDB" w:rsidP="00FA0CDB">
            <w:pPr>
              <w:pStyle w:val="TCTableBody"/>
              <w:jc w:val="center"/>
              <w:rPr>
                <w:rFonts w:ascii="Times New Roman" w:hAnsi="Times New Roman"/>
                <w:color w:val="000000"/>
                <w:sz w:val="20"/>
              </w:rPr>
            </w:pPr>
            <w:r>
              <w:rPr>
                <w:sz w:val="20"/>
              </w:rPr>
              <w:t>8.56 ± 0.20</w:t>
            </w:r>
          </w:p>
        </w:tc>
        <w:tc>
          <w:tcPr>
            <w:tcW w:w="1530" w:type="dxa"/>
            <w:hideMark/>
          </w:tcPr>
          <w:p w14:paraId="0E462F4E" w14:textId="77777777" w:rsidR="00FA0CDB" w:rsidRPr="00C634FF" w:rsidRDefault="00FA0CDB" w:rsidP="00FA0CDB">
            <w:pPr>
              <w:pStyle w:val="TCTableBody"/>
              <w:jc w:val="center"/>
              <w:rPr>
                <w:rFonts w:ascii="Times New Roman" w:hAnsi="Times New Roman"/>
                <w:color w:val="000000"/>
                <w:sz w:val="20"/>
              </w:rPr>
            </w:pPr>
            <w:r>
              <w:rPr>
                <w:sz w:val="20"/>
              </w:rPr>
              <w:t>20.0 ± 1.2</w:t>
            </w:r>
          </w:p>
        </w:tc>
        <w:tc>
          <w:tcPr>
            <w:tcW w:w="1440" w:type="dxa"/>
          </w:tcPr>
          <w:p w14:paraId="359189C5" w14:textId="77777777" w:rsidR="00FA0CDB" w:rsidRPr="00C634FF" w:rsidRDefault="00FA0CDB" w:rsidP="00FA0CDB">
            <w:pPr>
              <w:pStyle w:val="TCTableBody"/>
              <w:jc w:val="center"/>
              <w:rPr>
                <w:rFonts w:ascii="Times New Roman" w:hAnsi="Times New Roman"/>
                <w:sz w:val="20"/>
              </w:rPr>
            </w:pPr>
            <w:r>
              <w:rPr>
                <w:sz w:val="20"/>
              </w:rPr>
              <w:t>16.0 ± 1.8</w:t>
            </w:r>
          </w:p>
        </w:tc>
        <w:tc>
          <w:tcPr>
            <w:tcW w:w="1260" w:type="dxa"/>
          </w:tcPr>
          <w:p w14:paraId="2B5F1A84" w14:textId="77777777" w:rsidR="00FA0CDB" w:rsidRPr="00C634FF" w:rsidRDefault="00FA0CDB" w:rsidP="00FA0CDB">
            <w:pPr>
              <w:pStyle w:val="TCTableBody"/>
              <w:jc w:val="center"/>
              <w:rPr>
                <w:rFonts w:ascii="Times New Roman" w:hAnsi="Times New Roman"/>
                <w:sz w:val="20"/>
              </w:rPr>
            </w:pPr>
            <w:r>
              <w:rPr>
                <w:sz w:val="20"/>
              </w:rPr>
              <w:t>3.51 ± 0.05</w:t>
            </w:r>
          </w:p>
        </w:tc>
        <w:tc>
          <w:tcPr>
            <w:tcW w:w="1260" w:type="dxa"/>
          </w:tcPr>
          <w:p w14:paraId="7A890C85" w14:textId="77777777" w:rsidR="00FA0CDB" w:rsidRPr="00C634FF" w:rsidRDefault="00FA0CDB" w:rsidP="00FA0CDB">
            <w:pPr>
              <w:pStyle w:val="TCTableBody"/>
              <w:jc w:val="center"/>
              <w:rPr>
                <w:rFonts w:ascii="Times New Roman" w:hAnsi="Times New Roman"/>
                <w:b/>
                <w:bCs/>
                <w:color w:val="000000"/>
                <w:sz w:val="20"/>
              </w:rPr>
            </w:pPr>
            <w:r>
              <w:rPr>
                <w:sz w:val="20"/>
              </w:rPr>
              <w:t>6.81 ± 0.08</w:t>
            </w:r>
          </w:p>
        </w:tc>
        <w:tc>
          <w:tcPr>
            <w:tcW w:w="1170" w:type="dxa"/>
          </w:tcPr>
          <w:p w14:paraId="76B250F6" w14:textId="77777777" w:rsidR="00FA0CDB" w:rsidRPr="00C634FF" w:rsidRDefault="00FA0CDB" w:rsidP="00FA0CDB">
            <w:pPr>
              <w:pStyle w:val="TCTableBody"/>
              <w:jc w:val="center"/>
              <w:rPr>
                <w:rFonts w:ascii="Times New Roman" w:hAnsi="Times New Roman"/>
                <w:b/>
                <w:bCs/>
                <w:color w:val="000000"/>
                <w:sz w:val="20"/>
              </w:rPr>
            </w:pPr>
            <w:r>
              <w:rPr>
                <w:sz w:val="20"/>
              </w:rPr>
              <w:t>3.26 ± 0.10</w:t>
            </w:r>
          </w:p>
        </w:tc>
        <w:tc>
          <w:tcPr>
            <w:tcW w:w="990" w:type="dxa"/>
          </w:tcPr>
          <w:p w14:paraId="31D8D6F1" w14:textId="77777777" w:rsidR="00FA0CDB" w:rsidRPr="00C634FF" w:rsidRDefault="00FA0CDB" w:rsidP="00FA0CDB">
            <w:pPr>
              <w:pStyle w:val="TCTableBody"/>
              <w:jc w:val="center"/>
              <w:rPr>
                <w:rFonts w:ascii="Times New Roman" w:hAnsi="Times New Roman"/>
                <w:b/>
                <w:bCs/>
                <w:color w:val="000000"/>
                <w:sz w:val="20"/>
              </w:rPr>
            </w:pPr>
            <w:r>
              <w:rPr>
                <w:sz w:val="20"/>
              </w:rPr>
              <w:t>14.5 ± 0.7</w:t>
            </w:r>
          </w:p>
        </w:tc>
        <w:tc>
          <w:tcPr>
            <w:tcW w:w="990" w:type="dxa"/>
          </w:tcPr>
          <w:p w14:paraId="66BAB2D7" w14:textId="77777777" w:rsidR="00FA0CDB" w:rsidRPr="00C634FF" w:rsidRDefault="00FA0CDB" w:rsidP="00FA0CDB">
            <w:pPr>
              <w:pStyle w:val="TCTableBody"/>
              <w:jc w:val="center"/>
              <w:rPr>
                <w:rFonts w:ascii="Times New Roman" w:hAnsi="Times New Roman"/>
                <w:b/>
                <w:bCs/>
                <w:color w:val="000000"/>
                <w:sz w:val="20"/>
              </w:rPr>
            </w:pPr>
            <w:r>
              <w:rPr>
                <w:sz w:val="20"/>
              </w:rPr>
              <w:t>233.3 ± 1.5</w:t>
            </w:r>
          </w:p>
        </w:tc>
      </w:tr>
      <w:tr w:rsidR="00FA0CDB" w:rsidRPr="00C634FF" w14:paraId="4878E7CB" w14:textId="77777777" w:rsidTr="00453EE8">
        <w:trPr>
          <w:trHeight w:val="340"/>
        </w:trPr>
        <w:tc>
          <w:tcPr>
            <w:tcW w:w="895" w:type="dxa"/>
            <w:vMerge w:val="restart"/>
            <w:hideMark/>
          </w:tcPr>
          <w:p w14:paraId="7A99BC1B"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Resistant</w:t>
            </w:r>
          </w:p>
        </w:tc>
        <w:tc>
          <w:tcPr>
            <w:tcW w:w="810" w:type="dxa"/>
            <w:hideMark/>
          </w:tcPr>
          <w:p w14:paraId="76D23FA8" w14:textId="77777777" w:rsidR="00FA0CDB" w:rsidRPr="00C634FF" w:rsidRDefault="00FA0CDB" w:rsidP="00FA0CDB">
            <w:pPr>
              <w:pStyle w:val="TCTableBody"/>
              <w:jc w:val="center"/>
              <w:rPr>
                <w:rFonts w:ascii="Times New Roman" w:hAnsi="Times New Roman"/>
                <w:color w:val="000000"/>
                <w:sz w:val="20"/>
              </w:rPr>
            </w:pPr>
            <w:r>
              <w:rPr>
                <w:sz w:val="20"/>
              </w:rPr>
              <w:t>Y318F</w:t>
            </w:r>
          </w:p>
        </w:tc>
        <w:tc>
          <w:tcPr>
            <w:tcW w:w="1260" w:type="dxa"/>
            <w:hideMark/>
          </w:tcPr>
          <w:p w14:paraId="7AE106CA" w14:textId="77777777" w:rsidR="00FA0CDB" w:rsidRPr="00C634FF" w:rsidRDefault="00FA0CDB" w:rsidP="00FA0CDB">
            <w:pPr>
              <w:pStyle w:val="TCTableBody"/>
              <w:jc w:val="center"/>
              <w:rPr>
                <w:rFonts w:ascii="Times New Roman" w:hAnsi="Times New Roman"/>
                <w:color w:val="000000"/>
                <w:sz w:val="20"/>
              </w:rPr>
            </w:pPr>
            <w:r>
              <w:rPr>
                <w:sz w:val="20"/>
              </w:rPr>
              <w:t>2.99 ± 0.06</w:t>
            </w:r>
          </w:p>
        </w:tc>
        <w:tc>
          <w:tcPr>
            <w:tcW w:w="1260" w:type="dxa"/>
            <w:hideMark/>
          </w:tcPr>
          <w:p w14:paraId="25CE6FD7" w14:textId="77777777" w:rsidR="00FA0CDB" w:rsidRPr="00C634FF" w:rsidRDefault="00FA0CDB" w:rsidP="00FA0CDB">
            <w:pPr>
              <w:pStyle w:val="TCTableBody"/>
              <w:jc w:val="center"/>
              <w:rPr>
                <w:rFonts w:ascii="Times New Roman" w:hAnsi="Times New Roman"/>
                <w:color w:val="000000"/>
                <w:sz w:val="20"/>
              </w:rPr>
            </w:pPr>
            <w:r>
              <w:rPr>
                <w:sz w:val="20"/>
              </w:rPr>
              <w:t>8.29 ± 0.05</w:t>
            </w:r>
          </w:p>
        </w:tc>
        <w:tc>
          <w:tcPr>
            <w:tcW w:w="1530" w:type="dxa"/>
            <w:hideMark/>
          </w:tcPr>
          <w:p w14:paraId="7BA559B4" w14:textId="77777777" w:rsidR="00FA0CDB" w:rsidRPr="00C634FF" w:rsidRDefault="00FA0CDB" w:rsidP="00FA0CDB">
            <w:pPr>
              <w:pStyle w:val="TCTableBody"/>
              <w:jc w:val="center"/>
              <w:rPr>
                <w:rFonts w:ascii="Times New Roman" w:hAnsi="Times New Roman"/>
                <w:color w:val="000000"/>
                <w:sz w:val="20"/>
              </w:rPr>
            </w:pPr>
            <w:r>
              <w:rPr>
                <w:sz w:val="20"/>
              </w:rPr>
              <w:t>19.2 ± 0.2</w:t>
            </w:r>
          </w:p>
        </w:tc>
        <w:tc>
          <w:tcPr>
            <w:tcW w:w="1440" w:type="dxa"/>
          </w:tcPr>
          <w:p w14:paraId="116F3CFD" w14:textId="77777777" w:rsidR="00FA0CDB" w:rsidRPr="00C634FF" w:rsidRDefault="00FA0CDB" w:rsidP="00FA0CDB">
            <w:pPr>
              <w:pStyle w:val="TCTableBody"/>
              <w:jc w:val="center"/>
              <w:rPr>
                <w:rFonts w:ascii="Times New Roman" w:hAnsi="Times New Roman"/>
                <w:color w:val="000000"/>
                <w:sz w:val="20"/>
              </w:rPr>
            </w:pPr>
            <w:r>
              <w:rPr>
                <w:sz w:val="20"/>
              </w:rPr>
              <w:t>14.2 ± 0.2</w:t>
            </w:r>
          </w:p>
        </w:tc>
        <w:tc>
          <w:tcPr>
            <w:tcW w:w="1260" w:type="dxa"/>
          </w:tcPr>
          <w:p w14:paraId="73836D48" w14:textId="77777777" w:rsidR="00FA0CDB" w:rsidRPr="00C634FF" w:rsidRDefault="00FA0CDB" w:rsidP="00FA0CDB">
            <w:pPr>
              <w:pStyle w:val="TCTableBody"/>
              <w:jc w:val="center"/>
              <w:rPr>
                <w:rFonts w:ascii="Times New Roman" w:hAnsi="Times New Roman"/>
                <w:color w:val="000000"/>
                <w:sz w:val="20"/>
              </w:rPr>
            </w:pPr>
            <w:r>
              <w:rPr>
                <w:sz w:val="20"/>
              </w:rPr>
              <w:t>3.69 ± 0.04</w:t>
            </w:r>
          </w:p>
        </w:tc>
        <w:tc>
          <w:tcPr>
            <w:tcW w:w="1260" w:type="dxa"/>
          </w:tcPr>
          <w:p w14:paraId="140445EA" w14:textId="77777777" w:rsidR="00FA0CDB" w:rsidRPr="00C634FF" w:rsidRDefault="00FA0CDB" w:rsidP="00FA0CDB">
            <w:pPr>
              <w:pStyle w:val="TCTableBody"/>
              <w:jc w:val="center"/>
              <w:rPr>
                <w:rFonts w:ascii="Times New Roman" w:hAnsi="Times New Roman"/>
                <w:b/>
                <w:bCs/>
                <w:color w:val="000000"/>
                <w:sz w:val="20"/>
              </w:rPr>
            </w:pPr>
            <w:r>
              <w:rPr>
                <w:sz w:val="20"/>
              </w:rPr>
              <w:t>6.61 ± 0.09</w:t>
            </w:r>
          </w:p>
        </w:tc>
        <w:tc>
          <w:tcPr>
            <w:tcW w:w="1170" w:type="dxa"/>
          </w:tcPr>
          <w:p w14:paraId="02FAE4EC" w14:textId="77777777" w:rsidR="00FA0CDB" w:rsidRPr="00C634FF" w:rsidRDefault="00FA0CDB" w:rsidP="00FA0CDB">
            <w:pPr>
              <w:pStyle w:val="TCTableBody"/>
              <w:jc w:val="center"/>
              <w:rPr>
                <w:rFonts w:ascii="Times New Roman" w:hAnsi="Times New Roman"/>
                <w:b/>
                <w:bCs/>
                <w:color w:val="000000"/>
                <w:sz w:val="20"/>
              </w:rPr>
            </w:pPr>
            <w:r>
              <w:rPr>
                <w:sz w:val="20"/>
              </w:rPr>
              <w:t>3.30 ± 0.00</w:t>
            </w:r>
          </w:p>
        </w:tc>
        <w:tc>
          <w:tcPr>
            <w:tcW w:w="990" w:type="dxa"/>
          </w:tcPr>
          <w:p w14:paraId="6E2CED13" w14:textId="77777777" w:rsidR="00FA0CDB" w:rsidRPr="00C634FF" w:rsidRDefault="00FA0CDB" w:rsidP="00FA0CDB">
            <w:pPr>
              <w:pStyle w:val="TCTableBody"/>
              <w:jc w:val="center"/>
              <w:rPr>
                <w:rFonts w:ascii="Times New Roman" w:hAnsi="Times New Roman"/>
                <w:b/>
                <w:bCs/>
                <w:color w:val="000000"/>
                <w:sz w:val="20"/>
              </w:rPr>
            </w:pPr>
            <w:r>
              <w:rPr>
                <w:sz w:val="20"/>
              </w:rPr>
              <w:t>14.2 ± 0.4</w:t>
            </w:r>
          </w:p>
        </w:tc>
        <w:tc>
          <w:tcPr>
            <w:tcW w:w="990" w:type="dxa"/>
          </w:tcPr>
          <w:p w14:paraId="4C8FECB6" w14:textId="77777777" w:rsidR="00FA0CDB" w:rsidRPr="00C634FF" w:rsidRDefault="00FA0CDB" w:rsidP="00FA0CDB">
            <w:pPr>
              <w:pStyle w:val="TCTableBody"/>
              <w:jc w:val="center"/>
              <w:rPr>
                <w:rFonts w:ascii="Times New Roman" w:hAnsi="Times New Roman"/>
                <w:b/>
                <w:bCs/>
                <w:color w:val="000000"/>
                <w:sz w:val="20"/>
              </w:rPr>
            </w:pPr>
            <w:r>
              <w:rPr>
                <w:sz w:val="20"/>
              </w:rPr>
              <w:t>233.8 ± 7.8</w:t>
            </w:r>
          </w:p>
        </w:tc>
      </w:tr>
      <w:tr w:rsidR="00FA0CDB" w:rsidRPr="00C634FF" w14:paraId="5C0E3FFA" w14:textId="77777777" w:rsidTr="00453EE8">
        <w:trPr>
          <w:trHeight w:val="340"/>
        </w:trPr>
        <w:tc>
          <w:tcPr>
            <w:tcW w:w="895" w:type="dxa"/>
            <w:vMerge/>
            <w:hideMark/>
          </w:tcPr>
          <w:p w14:paraId="6161433E" w14:textId="77777777" w:rsidR="00FA0CDB" w:rsidRPr="00C634FF" w:rsidRDefault="00FA0CDB" w:rsidP="00FA0CDB">
            <w:pPr>
              <w:rPr>
                <w:rFonts w:ascii="Times New Roman" w:hAnsi="Times New Roman"/>
                <w:color w:val="000000"/>
                <w:sz w:val="20"/>
              </w:rPr>
            </w:pPr>
          </w:p>
        </w:tc>
        <w:tc>
          <w:tcPr>
            <w:tcW w:w="810" w:type="dxa"/>
            <w:hideMark/>
          </w:tcPr>
          <w:p w14:paraId="6B5D7BF6" w14:textId="77777777" w:rsidR="00FA0CDB" w:rsidRPr="00C634FF" w:rsidRDefault="00FA0CDB" w:rsidP="00FA0CDB">
            <w:pPr>
              <w:pStyle w:val="TCTableBody"/>
              <w:jc w:val="center"/>
              <w:rPr>
                <w:rFonts w:ascii="Times New Roman" w:hAnsi="Times New Roman"/>
                <w:color w:val="000000"/>
                <w:sz w:val="20"/>
              </w:rPr>
            </w:pPr>
            <w:r>
              <w:rPr>
                <w:sz w:val="20"/>
              </w:rPr>
              <w:t>V106A</w:t>
            </w:r>
          </w:p>
        </w:tc>
        <w:tc>
          <w:tcPr>
            <w:tcW w:w="1260" w:type="dxa"/>
            <w:hideMark/>
          </w:tcPr>
          <w:p w14:paraId="7C696F6B" w14:textId="77777777" w:rsidR="00FA0CDB" w:rsidRPr="00C634FF" w:rsidRDefault="00FA0CDB" w:rsidP="00FA0CDB">
            <w:pPr>
              <w:pStyle w:val="TCTableBody"/>
              <w:jc w:val="center"/>
              <w:rPr>
                <w:rFonts w:ascii="Times New Roman" w:hAnsi="Times New Roman"/>
                <w:color w:val="000000"/>
                <w:sz w:val="20"/>
              </w:rPr>
            </w:pPr>
            <w:r>
              <w:rPr>
                <w:sz w:val="20"/>
              </w:rPr>
              <w:t>3.05 ± 0.08</w:t>
            </w:r>
          </w:p>
        </w:tc>
        <w:tc>
          <w:tcPr>
            <w:tcW w:w="1260" w:type="dxa"/>
            <w:hideMark/>
          </w:tcPr>
          <w:p w14:paraId="73E46104" w14:textId="77777777" w:rsidR="00FA0CDB" w:rsidRPr="00C634FF" w:rsidRDefault="00FA0CDB" w:rsidP="00FA0CDB">
            <w:pPr>
              <w:pStyle w:val="TCTableBody"/>
              <w:jc w:val="center"/>
              <w:rPr>
                <w:rFonts w:ascii="Times New Roman" w:hAnsi="Times New Roman"/>
                <w:color w:val="000000"/>
                <w:sz w:val="20"/>
              </w:rPr>
            </w:pPr>
            <w:r>
              <w:rPr>
                <w:sz w:val="20"/>
              </w:rPr>
              <w:t>8.45 ± 0.07</w:t>
            </w:r>
          </w:p>
        </w:tc>
        <w:tc>
          <w:tcPr>
            <w:tcW w:w="1530" w:type="dxa"/>
            <w:hideMark/>
          </w:tcPr>
          <w:p w14:paraId="1B6ACE1E" w14:textId="77777777" w:rsidR="00FA0CDB" w:rsidRPr="00C634FF" w:rsidRDefault="00FA0CDB" w:rsidP="00FA0CDB">
            <w:pPr>
              <w:pStyle w:val="TCTableBody"/>
              <w:jc w:val="center"/>
              <w:rPr>
                <w:rFonts w:ascii="Times New Roman" w:hAnsi="Times New Roman"/>
                <w:color w:val="000000"/>
                <w:sz w:val="20"/>
              </w:rPr>
            </w:pPr>
            <w:r>
              <w:rPr>
                <w:sz w:val="20"/>
              </w:rPr>
              <w:t>17.8 ± 0.7</w:t>
            </w:r>
          </w:p>
        </w:tc>
        <w:tc>
          <w:tcPr>
            <w:tcW w:w="1440" w:type="dxa"/>
          </w:tcPr>
          <w:p w14:paraId="6B720B85" w14:textId="77777777" w:rsidR="00FA0CDB" w:rsidRPr="00C634FF" w:rsidRDefault="00FA0CDB" w:rsidP="00FA0CDB">
            <w:pPr>
              <w:pStyle w:val="TCTableBody"/>
              <w:jc w:val="center"/>
              <w:rPr>
                <w:rFonts w:ascii="Times New Roman" w:hAnsi="Times New Roman"/>
                <w:sz w:val="20"/>
              </w:rPr>
            </w:pPr>
            <w:r>
              <w:rPr>
                <w:sz w:val="20"/>
              </w:rPr>
              <w:t>20.5 ± 7.1</w:t>
            </w:r>
          </w:p>
        </w:tc>
        <w:tc>
          <w:tcPr>
            <w:tcW w:w="1260" w:type="dxa"/>
          </w:tcPr>
          <w:p w14:paraId="1130D71E" w14:textId="77777777" w:rsidR="00FA0CDB" w:rsidRPr="00C634FF" w:rsidRDefault="00FA0CDB" w:rsidP="00FA0CDB">
            <w:pPr>
              <w:pStyle w:val="TCTableBody"/>
              <w:jc w:val="center"/>
              <w:rPr>
                <w:rFonts w:ascii="Times New Roman" w:hAnsi="Times New Roman"/>
                <w:sz w:val="20"/>
              </w:rPr>
            </w:pPr>
            <w:r>
              <w:rPr>
                <w:sz w:val="20"/>
              </w:rPr>
              <w:t>3.55 ± 0.07</w:t>
            </w:r>
          </w:p>
        </w:tc>
        <w:tc>
          <w:tcPr>
            <w:tcW w:w="1260" w:type="dxa"/>
          </w:tcPr>
          <w:p w14:paraId="19B95FA9" w14:textId="77777777" w:rsidR="00FA0CDB" w:rsidRPr="00C634FF" w:rsidRDefault="00FA0CDB" w:rsidP="00FA0CDB">
            <w:pPr>
              <w:pStyle w:val="TCTableBody"/>
              <w:jc w:val="center"/>
              <w:rPr>
                <w:rFonts w:ascii="Times New Roman" w:hAnsi="Times New Roman"/>
                <w:b/>
                <w:bCs/>
                <w:color w:val="000000"/>
                <w:sz w:val="20"/>
              </w:rPr>
            </w:pPr>
            <w:r>
              <w:rPr>
                <w:sz w:val="20"/>
              </w:rPr>
              <w:t>5.30 ± 0.02</w:t>
            </w:r>
          </w:p>
        </w:tc>
        <w:tc>
          <w:tcPr>
            <w:tcW w:w="1170" w:type="dxa"/>
          </w:tcPr>
          <w:p w14:paraId="77978DFD" w14:textId="77777777" w:rsidR="00FA0CDB" w:rsidRPr="00C634FF" w:rsidRDefault="00FA0CDB" w:rsidP="00FA0CDB">
            <w:pPr>
              <w:pStyle w:val="TCTableBody"/>
              <w:jc w:val="center"/>
              <w:rPr>
                <w:rFonts w:ascii="Times New Roman" w:hAnsi="Times New Roman"/>
                <w:b/>
                <w:bCs/>
                <w:color w:val="000000"/>
                <w:sz w:val="20"/>
              </w:rPr>
            </w:pPr>
            <w:r>
              <w:rPr>
                <w:sz w:val="20"/>
              </w:rPr>
              <w:t>3.54 ± 0.10</w:t>
            </w:r>
          </w:p>
        </w:tc>
        <w:tc>
          <w:tcPr>
            <w:tcW w:w="990" w:type="dxa"/>
          </w:tcPr>
          <w:p w14:paraId="0C2F1A93" w14:textId="77777777" w:rsidR="00FA0CDB" w:rsidRPr="00C634FF" w:rsidRDefault="00FA0CDB" w:rsidP="00FA0CDB">
            <w:pPr>
              <w:pStyle w:val="TCTableBody"/>
              <w:jc w:val="center"/>
              <w:rPr>
                <w:rFonts w:ascii="Times New Roman" w:hAnsi="Times New Roman"/>
                <w:b/>
                <w:bCs/>
                <w:color w:val="000000"/>
                <w:sz w:val="20"/>
              </w:rPr>
            </w:pPr>
            <w:r>
              <w:rPr>
                <w:sz w:val="20"/>
              </w:rPr>
              <w:t>11.6 ± 1.7</w:t>
            </w:r>
          </w:p>
        </w:tc>
        <w:tc>
          <w:tcPr>
            <w:tcW w:w="990" w:type="dxa"/>
          </w:tcPr>
          <w:p w14:paraId="061B3007" w14:textId="77777777" w:rsidR="00FA0CDB" w:rsidRPr="00C634FF" w:rsidRDefault="00FA0CDB" w:rsidP="00FA0CDB">
            <w:pPr>
              <w:pStyle w:val="TCTableBody"/>
              <w:jc w:val="center"/>
              <w:rPr>
                <w:rFonts w:ascii="Times New Roman" w:hAnsi="Times New Roman"/>
                <w:b/>
                <w:bCs/>
                <w:color w:val="000000"/>
                <w:sz w:val="20"/>
              </w:rPr>
            </w:pPr>
            <w:r>
              <w:rPr>
                <w:sz w:val="20"/>
              </w:rPr>
              <w:t>250.5 ± 7.9</w:t>
            </w:r>
          </w:p>
        </w:tc>
      </w:tr>
      <w:tr w:rsidR="00FA0CDB" w:rsidRPr="00C634FF" w14:paraId="729F8757" w14:textId="77777777" w:rsidTr="00453EE8">
        <w:trPr>
          <w:trHeight w:val="340"/>
        </w:trPr>
        <w:tc>
          <w:tcPr>
            <w:tcW w:w="895" w:type="dxa"/>
            <w:vMerge/>
            <w:hideMark/>
          </w:tcPr>
          <w:p w14:paraId="29B945F2" w14:textId="77777777" w:rsidR="00FA0CDB" w:rsidRPr="00C634FF" w:rsidRDefault="00FA0CDB" w:rsidP="00FA0CDB">
            <w:pPr>
              <w:rPr>
                <w:rFonts w:ascii="Times New Roman" w:hAnsi="Times New Roman"/>
                <w:color w:val="000000"/>
                <w:sz w:val="20"/>
              </w:rPr>
            </w:pPr>
          </w:p>
        </w:tc>
        <w:tc>
          <w:tcPr>
            <w:tcW w:w="810" w:type="dxa"/>
            <w:hideMark/>
          </w:tcPr>
          <w:p w14:paraId="43BD0C83" w14:textId="77777777" w:rsidR="00FA0CDB" w:rsidRPr="00C634FF" w:rsidRDefault="00FA0CDB" w:rsidP="00FA0CDB">
            <w:pPr>
              <w:pStyle w:val="TCTableBody"/>
              <w:jc w:val="center"/>
              <w:rPr>
                <w:rFonts w:ascii="Times New Roman" w:hAnsi="Times New Roman"/>
                <w:color w:val="000000"/>
                <w:sz w:val="20"/>
              </w:rPr>
            </w:pPr>
            <w:r>
              <w:rPr>
                <w:sz w:val="20"/>
              </w:rPr>
              <w:t>A98G + F227C</w:t>
            </w:r>
          </w:p>
        </w:tc>
        <w:tc>
          <w:tcPr>
            <w:tcW w:w="1260" w:type="dxa"/>
            <w:hideMark/>
          </w:tcPr>
          <w:p w14:paraId="4695CEE3" w14:textId="77777777" w:rsidR="00FA0CDB" w:rsidRPr="00C634FF" w:rsidRDefault="00FA0CDB" w:rsidP="00FA0CDB">
            <w:pPr>
              <w:pStyle w:val="TCTableBody"/>
              <w:jc w:val="center"/>
              <w:rPr>
                <w:rFonts w:ascii="Times New Roman" w:hAnsi="Times New Roman"/>
                <w:color w:val="000000"/>
                <w:sz w:val="20"/>
              </w:rPr>
            </w:pPr>
            <w:r>
              <w:rPr>
                <w:sz w:val="20"/>
              </w:rPr>
              <w:t>2.97 ± 0.01</w:t>
            </w:r>
          </w:p>
        </w:tc>
        <w:tc>
          <w:tcPr>
            <w:tcW w:w="1260" w:type="dxa"/>
            <w:hideMark/>
          </w:tcPr>
          <w:p w14:paraId="7C2EB75F" w14:textId="77777777" w:rsidR="00FA0CDB" w:rsidRPr="00C634FF" w:rsidRDefault="00FA0CDB" w:rsidP="00FA0CDB">
            <w:pPr>
              <w:pStyle w:val="TCTableBody"/>
              <w:jc w:val="center"/>
              <w:rPr>
                <w:rFonts w:ascii="Times New Roman" w:hAnsi="Times New Roman"/>
                <w:color w:val="000000"/>
                <w:sz w:val="20"/>
              </w:rPr>
            </w:pPr>
            <w:r>
              <w:rPr>
                <w:sz w:val="20"/>
              </w:rPr>
              <w:t>8.32 ± 0.07</w:t>
            </w:r>
          </w:p>
        </w:tc>
        <w:tc>
          <w:tcPr>
            <w:tcW w:w="1530" w:type="dxa"/>
            <w:hideMark/>
          </w:tcPr>
          <w:p w14:paraId="273DC0B5" w14:textId="77777777" w:rsidR="00FA0CDB" w:rsidRPr="00C634FF" w:rsidRDefault="00FA0CDB" w:rsidP="00FA0CDB">
            <w:pPr>
              <w:pStyle w:val="TCTableBody"/>
              <w:jc w:val="center"/>
              <w:rPr>
                <w:rFonts w:ascii="Times New Roman" w:hAnsi="Times New Roman"/>
                <w:color w:val="000000"/>
                <w:sz w:val="20"/>
              </w:rPr>
            </w:pPr>
            <w:r>
              <w:rPr>
                <w:sz w:val="20"/>
              </w:rPr>
              <w:t>20.4 ± 3.5</w:t>
            </w:r>
          </w:p>
        </w:tc>
        <w:tc>
          <w:tcPr>
            <w:tcW w:w="1440" w:type="dxa"/>
          </w:tcPr>
          <w:p w14:paraId="0716A9B6" w14:textId="77777777" w:rsidR="00FA0CDB" w:rsidRPr="00C634FF" w:rsidRDefault="00FA0CDB" w:rsidP="00FA0CDB">
            <w:pPr>
              <w:pStyle w:val="TCTableBody"/>
              <w:jc w:val="center"/>
              <w:rPr>
                <w:rFonts w:ascii="Times New Roman" w:hAnsi="Times New Roman"/>
                <w:sz w:val="20"/>
              </w:rPr>
            </w:pPr>
            <w:r>
              <w:rPr>
                <w:sz w:val="20"/>
              </w:rPr>
              <w:t>22.0 ± 9.4</w:t>
            </w:r>
          </w:p>
        </w:tc>
        <w:tc>
          <w:tcPr>
            <w:tcW w:w="1260" w:type="dxa"/>
          </w:tcPr>
          <w:p w14:paraId="0B796950" w14:textId="77777777" w:rsidR="00FA0CDB" w:rsidRPr="00C634FF" w:rsidRDefault="00FA0CDB" w:rsidP="00FA0CDB">
            <w:pPr>
              <w:pStyle w:val="TCTableBody"/>
              <w:jc w:val="center"/>
              <w:rPr>
                <w:rFonts w:ascii="Times New Roman" w:hAnsi="Times New Roman"/>
                <w:sz w:val="20"/>
              </w:rPr>
            </w:pPr>
            <w:r>
              <w:rPr>
                <w:sz w:val="20"/>
              </w:rPr>
              <w:t>3.39 ± 0.01</w:t>
            </w:r>
          </w:p>
        </w:tc>
        <w:tc>
          <w:tcPr>
            <w:tcW w:w="1260" w:type="dxa"/>
          </w:tcPr>
          <w:p w14:paraId="4BC9CC66" w14:textId="77777777" w:rsidR="00FA0CDB" w:rsidRPr="00C634FF" w:rsidRDefault="00FA0CDB" w:rsidP="00FA0CDB">
            <w:pPr>
              <w:pStyle w:val="TCTableBody"/>
              <w:jc w:val="center"/>
              <w:rPr>
                <w:rFonts w:ascii="Times New Roman" w:hAnsi="Times New Roman"/>
                <w:b/>
                <w:bCs/>
                <w:color w:val="000000"/>
                <w:sz w:val="20"/>
              </w:rPr>
            </w:pPr>
            <w:r>
              <w:rPr>
                <w:sz w:val="20"/>
              </w:rPr>
              <w:t>6.19 ± 0.21</w:t>
            </w:r>
          </w:p>
        </w:tc>
        <w:tc>
          <w:tcPr>
            <w:tcW w:w="1170" w:type="dxa"/>
          </w:tcPr>
          <w:p w14:paraId="17B33096" w14:textId="77777777" w:rsidR="00FA0CDB" w:rsidRPr="00C634FF" w:rsidRDefault="00FA0CDB" w:rsidP="00FA0CDB">
            <w:pPr>
              <w:pStyle w:val="TCTableBody"/>
              <w:jc w:val="center"/>
              <w:rPr>
                <w:rFonts w:ascii="Times New Roman" w:hAnsi="Times New Roman"/>
                <w:b/>
                <w:bCs/>
                <w:color w:val="000000"/>
                <w:sz w:val="20"/>
              </w:rPr>
            </w:pPr>
            <w:r>
              <w:rPr>
                <w:sz w:val="20"/>
              </w:rPr>
              <w:t>3.41 ± 0.02</w:t>
            </w:r>
          </w:p>
        </w:tc>
        <w:tc>
          <w:tcPr>
            <w:tcW w:w="990" w:type="dxa"/>
          </w:tcPr>
          <w:p w14:paraId="505BA190" w14:textId="77777777" w:rsidR="00FA0CDB" w:rsidRPr="00C634FF" w:rsidRDefault="00FA0CDB" w:rsidP="00FA0CDB">
            <w:pPr>
              <w:pStyle w:val="TCTableBody"/>
              <w:jc w:val="center"/>
              <w:rPr>
                <w:rFonts w:ascii="Times New Roman" w:hAnsi="Times New Roman"/>
                <w:b/>
                <w:bCs/>
                <w:color w:val="000000"/>
                <w:sz w:val="20"/>
              </w:rPr>
            </w:pPr>
            <w:r>
              <w:rPr>
                <w:sz w:val="20"/>
              </w:rPr>
              <w:t>15.2 ± 0.4</w:t>
            </w:r>
          </w:p>
        </w:tc>
        <w:tc>
          <w:tcPr>
            <w:tcW w:w="990" w:type="dxa"/>
          </w:tcPr>
          <w:p w14:paraId="6651FE8E" w14:textId="77777777" w:rsidR="00FA0CDB" w:rsidRPr="00C634FF" w:rsidRDefault="00FA0CDB" w:rsidP="00FA0CDB">
            <w:pPr>
              <w:pStyle w:val="TCTableBody"/>
              <w:jc w:val="center"/>
              <w:rPr>
                <w:rFonts w:ascii="Times New Roman" w:hAnsi="Times New Roman"/>
                <w:b/>
                <w:bCs/>
                <w:color w:val="000000"/>
                <w:sz w:val="20"/>
              </w:rPr>
            </w:pPr>
            <w:r>
              <w:rPr>
                <w:sz w:val="20"/>
              </w:rPr>
              <w:t>238.1 ± 10.2</w:t>
            </w:r>
          </w:p>
        </w:tc>
      </w:tr>
      <w:tr w:rsidR="00FA0CDB" w:rsidRPr="00C634FF" w14:paraId="65D5B89A" w14:textId="77777777" w:rsidTr="00453EE8">
        <w:trPr>
          <w:trHeight w:val="340"/>
        </w:trPr>
        <w:tc>
          <w:tcPr>
            <w:tcW w:w="895" w:type="dxa"/>
            <w:vMerge/>
            <w:hideMark/>
          </w:tcPr>
          <w:p w14:paraId="6D181B2D" w14:textId="77777777" w:rsidR="00FA0CDB" w:rsidRPr="00C634FF" w:rsidRDefault="00FA0CDB" w:rsidP="00FA0CDB">
            <w:pPr>
              <w:rPr>
                <w:rFonts w:ascii="Times New Roman" w:hAnsi="Times New Roman"/>
                <w:color w:val="000000"/>
                <w:sz w:val="20"/>
              </w:rPr>
            </w:pPr>
          </w:p>
        </w:tc>
        <w:tc>
          <w:tcPr>
            <w:tcW w:w="810" w:type="dxa"/>
            <w:hideMark/>
          </w:tcPr>
          <w:p w14:paraId="50D76FE1" w14:textId="77777777" w:rsidR="00FA0CDB" w:rsidRPr="00C634FF" w:rsidRDefault="00FA0CDB" w:rsidP="00FA0CDB">
            <w:pPr>
              <w:pStyle w:val="TCTableBody"/>
              <w:jc w:val="center"/>
              <w:rPr>
                <w:rFonts w:ascii="Times New Roman" w:hAnsi="Times New Roman"/>
                <w:color w:val="000000"/>
                <w:sz w:val="20"/>
              </w:rPr>
            </w:pPr>
            <w:r>
              <w:rPr>
                <w:sz w:val="20"/>
              </w:rPr>
              <w:t>V106I + F227C</w:t>
            </w:r>
          </w:p>
        </w:tc>
        <w:tc>
          <w:tcPr>
            <w:tcW w:w="1260" w:type="dxa"/>
            <w:hideMark/>
          </w:tcPr>
          <w:p w14:paraId="73EBDF2E" w14:textId="77777777" w:rsidR="00FA0CDB" w:rsidRPr="00C634FF" w:rsidRDefault="00FA0CDB" w:rsidP="00FA0CDB">
            <w:pPr>
              <w:pStyle w:val="TCTableBody"/>
              <w:jc w:val="center"/>
              <w:rPr>
                <w:rFonts w:ascii="Times New Roman" w:hAnsi="Times New Roman"/>
                <w:color w:val="000000"/>
                <w:sz w:val="20"/>
              </w:rPr>
            </w:pPr>
            <w:r>
              <w:rPr>
                <w:sz w:val="20"/>
              </w:rPr>
              <w:t>2.80 ± 0.16</w:t>
            </w:r>
          </w:p>
        </w:tc>
        <w:tc>
          <w:tcPr>
            <w:tcW w:w="1260" w:type="dxa"/>
            <w:hideMark/>
          </w:tcPr>
          <w:p w14:paraId="3ADDDCC0" w14:textId="77777777" w:rsidR="00FA0CDB" w:rsidRPr="00C634FF" w:rsidRDefault="00FA0CDB" w:rsidP="00FA0CDB">
            <w:pPr>
              <w:pStyle w:val="TCTableBody"/>
              <w:jc w:val="center"/>
              <w:rPr>
                <w:rFonts w:ascii="Times New Roman" w:hAnsi="Times New Roman"/>
                <w:color w:val="000000"/>
                <w:sz w:val="20"/>
              </w:rPr>
            </w:pPr>
            <w:r>
              <w:rPr>
                <w:sz w:val="20"/>
              </w:rPr>
              <w:t>8.07 ± 0.07</w:t>
            </w:r>
          </w:p>
        </w:tc>
        <w:tc>
          <w:tcPr>
            <w:tcW w:w="1530" w:type="dxa"/>
            <w:hideMark/>
          </w:tcPr>
          <w:p w14:paraId="6C6A80F2" w14:textId="77777777" w:rsidR="00FA0CDB" w:rsidRPr="00C634FF" w:rsidRDefault="00FA0CDB" w:rsidP="00FA0CDB">
            <w:pPr>
              <w:pStyle w:val="TCTableBody"/>
              <w:jc w:val="center"/>
              <w:rPr>
                <w:rFonts w:ascii="Times New Roman" w:hAnsi="Times New Roman"/>
                <w:color w:val="000000"/>
                <w:sz w:val="20"/>
              </w:rPr>
            </w:pPr>
            <w:r>
              <w:rPr>
                <w:sz w:val="20"/>
              </w:rPr>
              <w:t>19.2 ± 2.3</w:t>
            </w:r>
          </w:p>
        </w:tc>
        <w:tc>
          <w:tcPr>
            <w:tcW w:w="1440" w:type="dxa"/>
          </w:tcPr>
          <w:p w14:paraId="4CE1C3E4" w14:textId="77777777" w:rsidR="00FA0CDB" w:rsidRPr="00C634FF" w:rsidRDefault="00FA0CDB" w:rsidP="00FA0CDB">
            <w:pPr>
              <w:pStyle w:val="TCTableBody"/>
              <w:jc w:val="center"/>
              <w:rPr>
                <w:rFonts w:ascii="Times New Roman" w:hAnsi="Times New Roman"/>
                <w:sz w:val="20"/>
              </w:rPr>
            </w:pPr>
            <w:r>
              <w:rPr>
                <w:sz w:val="20"/>
              </w:rPr>
              <w:t>14.0 ± 0.3</w:t>
            </w:r>
          </w:p>
        </w:tc>
        <w:tc>
          <w:tcPr>
            <w:tcW w:w="1260" w:type="dxa"/>
          </w:tcPr>
          <w:p w14:paraId="0C24E4F6" w14:textId="77777777" w:rsidR="00FA0CDB" w:rsidRPr="00C634FF" w:rsidRDefault="00FA0CDB" w:rsidP="00FA0CDB">
            <w:pPr>
              <w:pStyle w:val="TCTableBody"/>
              <w:jc w:val="center"/>
              <w:rPr>
                <w:rFonts w:ascii="Times New Roman" w:hAnsi="Times New Roman"/>
                <w:sz w:val="20"/>
              </w:rPr>
            </w:pPr>
            <w:r>
              <w:rPr>
                <w:sz w:val="20"/>
              </w:rPr>
              <w:t>3.50 ± 0.06</w:t>
            </w:r>
          </w:p>
        </w:tc>
        <w:tc>
          <w:tcPr>
            <w:tcW w:w="1260" w:type="dxa"/>
          </w:tcPr>
          <w:p w14:paraId="7E7070C1" w14:textId="77777777" w:rsidR="00FA0CDB" w:rsidRPr="00C634FF" w:rsidRDefault="00FA0CDB" w:rsidP="00FA0CDB">
            <w:pPr>
              <w:pStyle w:val="TCTableBody"/>
              <w:jc w:val="center"/>
              <w:rPr>
                <w:rFonts w:ascii="Times New Roman" w:hAnsi="Times New Roman"/>
                <w:b/>
                <w:bCs/>
                <w:color w:val="000000"/>
                <w:sz w:val="20"/>
              </w:rPr>
            </w:pPr>
            <w:r>
              <w:rPr>
                <w:sz w:val="20"/>
              </w:rPr>
              <w:t>6.47 ± 0.20</w:t>
            </w:r>
          </w:p>
        </w:tc>
        <w:tc>
          <w:tcPr>
            <w:tcW w:w="1170" w:type="dxa"/>
          </w:tcPr>
          <w:p w14:paraId="3AA28F94" w14:textId="77777777" w:rsidR="00FA0CDB" w:rsidRPr="00C634FF" w:rsidRDefault="00FA0CDB" w:rsidP="00FA0CDB">
            <w:pPr>
              <w:pStyle w:val="TCTableBody"/>
              <w:jc w:val="center"/>
              <w:rPr>
                <w:rFonts w:ascii="Times New Roman" w:hAnsi="Times New Roman"/>
                <w:b/>
                <w:bCs/>
                <w:color w:val="000000"/>
                <w:sz w:val="20"/>
              </w:rPr>
            </w:pPr>
            <w:r>
              <w:rPr>
                <w:sz w:val="20"/>
              </w:rPr>
              <w:t>3.09 ± 0.16</w:t>
            </w:r>
          </w:p>
        </w:tc>
        <w:tc>
          <w:tcPr>
            <w:tcW w:w="990" w:type="dxa"/>
          </w:tcPr>
          <w:p w14:paraId="096AF729" w14:textId="77777777" w:rsidR="00FA0CDB" w:rsidRPr="00C634FF" w:rsidRDefault="00FA0CDB" w:rsidP="00FA0CDB">
            <w:pPr>
              <w:pStyle w:val="TCTableBody"/>
              <w:jc w:val="center"/>
              <w:rPr>
                <w:rFonts w:ascii="Times New Roman" w:hAnsi="Times New Roman"/>
                <w:b/>
                <w:bCs/>
                <w:color w:val="000000"/>
                <w:sz w:val="20"/>
              </w:rPr>
            </w:pPr>
            <w:r>
              <w:rPr>
                <w:sz w:val="20"/>
              </w:rPr>
              <w:t>16.8 ± 2.7</w:t>
            </w:r>
          </w:p>
        </w:tc>
        <w:tc>
          <w:tcPr>
            <w:tcW w:w="990" w:type="dxa"/>
          </w:tcPr>
          <w:p w14:paraId="6798A3ED" w14:textId="77777777" w:rsidR="00FA0CDB" w:rsidRPr="00C634FF" w:rsidRDefault="00FA0CDB" w:rsidP="00FA0CDB">
            <w:pPr>
              <w:pStyle w:val="TCTableBody"/>
              <w:jc w:val="center"/>
              <w:rPr>
                <w:rFonts w:ascii="Times New Roman" w:hAnsi="Times New Roman"/>
                <w:b/>
                <w:bCs/>
                <w:color w:val="000000"/>
                <w:sz w:val="20"/>
              </w:rPr>
            </w:pPr>
            <w:r>
              <w:rPr>
                <w:sz w:val="20"/>
              </w:rPr>
              <w:t>232.8 ± 4.6</w:t>
            </w:r>
          </w:p>
        </w:tc>
      </w:tr>
      <w:tr w:rsidR="00FA0CDB" w:rsidRPr="00C634FF" w14:paraId="76EBBB90" w14:textId="77777777" w:rsidTr="00453EE8">
        <w:trPr>
          <w:trHeight w:val="340"/>
        </w:trPr>
        <w:tc>
          <w:tcPr>
            <w:tcW w:w="895" w:type="dxa"/>
            <w:vMerge/>
            <w:hideMark/>
          </w:tcPr>
          <w:p w14:paraId="5317CF4D" w14:textId="77777777" w:rsidR="00FA0CDB" w:rsidRPr="00C634FF" w:rsidRDefault="00FA0CDB" w:rsidP="00FA0CDB">
            <w:pPr>
              <w:rPr>
                <w:rFonts w:ascii="Times New Roman" w:hAnsi="Times New Roman"/>
                <w:color w:val="000000"/>
                <w:sz w:val="20"/>
              </w:rPr>
            </w:pPr>
          </w:p>
        </w:tc>
        <w:tc>
          <w:tcPr>
            <w:tcW w:w="810" w:type="dxa"/>
            <w:hideMark/>
          </w:tcPr>
          <w:p w14:paraId="53789144" w14:textId="77777777" w:rsidR="00FA0CDB" w:rsidRPr="00C634FF" w:rsidRDefault="00FA0CDB" w:rsidP="00FA0CDB">
            <w:pPr>
              <w:pStyle w:val="TCTableBody"/>
              <w:jc w:val="center"/>
              <w:rPr>
                <w:rFonts w:ascii="Times New Roman" w:hAnsi="Times New Roman"/>
                <w:color w:val="000000"/>
                <w:sz w:val="20"/>
              </w:rPr>
            </w:pPr>
            <w:r>
              <w:rPr>
                <w:sz w:val="20"/>
              </w:rPr>
              <w:t>V106A + F227L</w:t>
            </w:r>
          </w:p>
        </w:tc>
        <w:tc>
          <w:tcPr>
            <w:tcW w:w="1260" w:type="dxa"/>
            <w:hideMark/>
          </w:tcPr>
          <w:p w14:paraId="5369C4CE" w14:textId="77777777" w:rsidR="00FA0CDB" w:rsidRPr="00C634FF" w:rsidRDefault="00FA0CDB" w:rsidP="00FA0CDB">
            <w:pPr>
              <w:pStyle w:val="TCTableBody"/>
              <w:jc w:val="center"/>
              <w:rPr>
                <w:rFonts w:ascii="Times New Roman" w:hAnsi="Times New Roman"/>
                <w:color w:val="000000"/>
                <w:sz w:val="20"/>
              </w:rPr>
            </w:pPr>
            <w:r>
              <w:rPr>
                <w:sz w:val="20"/>
              </w:rPr>
              <w:t>3.17 ± 0.08</w:t>
            </w:r>
          </w:p>
        </w:tc>
        <w:tc>
          <w:tcPr>
            <w:tcW w:w="1260" w:type="dxa"/>
            <w:hideMark/>
          </w:tcPr>
          <w:p w14:paraId="1BAFEA48" w14:textId="77777777" w:rsidR="00FA0CDB" w:rsidRPr="00C634FF" w:rsidRDefault="00FA0CDB" w:rsidP="00FA0CDB">
            <w:pPr>
              <w:pStyle w:val="TCTableBody"/>
              <w:jc w:val="center"/>
              <w:rPr>
                <w:rFonts w:ascii="Times New Roman" w:hAnsi="Times New Roman"/>
                <w:color w:val="000000"/>
                <w:sz w:val="20"/>
              </w:rPr>
            </w:pPr>
            <w:r>
              <w:rPr>
                <w:sz w:val="20"/>
              </w:rPr>
              <w:t>8.54 ± 0.10</w:t>
            </w:r>
          </w:p>
        </w:tc>
        <w:tc>
          <w:tcPr>
            <w:tcW w:w="1530" w:type="dxa"/>
            <w:hideMark/>
          </w:tcPr>
          <w:p w14:paraId="46BB7EA8" w14:textId="77777777" w:rsidR="00FA0CDB" w:rsidRPr="00C634FF" w:rsidRDefault="00FA0CDB" w:rsidP="00FA0CDB">
            <w:pPr>
              <w:pStyle w:val="TCTableBody"/>
              <w:jc w:val="center"/>
              <w:rPr>
                <w:rFonts w:ascii="Times New Roman" w:hAnsi="Times New Roman"/>
                <w:color w:val="000000"/>
                <w:sz w:val="20"/>
              </w:rPr>
            </w:pPr>
            <w:r>
              <w:rPr>
                <w:sz w:val="20"/>
              </w:rPr>
              <w:t>17.2 ± 0.3</w:t>
            </w:r>
          </w:p>
        </w:tc>
        <w:tc>
          <w:tcPr>
            <w:tcW w:w="1440" w:type="dxa"/>
          </w:tcPr>
          <w:p w14:paraId="21F6DD35" w14:textId="77777777" w:rsidR="00FA0CDB" w:rsidRPr="00C634FF" w:rsidRDefault="00FA0CDB" w:rsidP="00FA0CDB">
            <w:pPr>
              <w:pStyle w:val="TCTableBody"/>
              <w:jc w:val="center"/>
              <w:rPr>
                <w:rFonts w:ascii="Times New Roman" w:hAnsi="Times New Roman"/>
                <w:sz w:val="20"/>
              </w:rPr>
            </w:pPr>
            <w:r>
              <w:rPr>
                <w:sz w:val="20"/>
              </w:rPr>
              <w:t>16.7 ± 1.8</w:t>
            </w:r>
          </w:p>
        </w:tc>
        <w:tc>
          <w:tcPr>
            <w:tcW w:w="1260" w:type="dxa"/>
          </w:tcPr>
          <w:p w14:paraId="1690FC7E" w14:textId="77777777" w:rsidR="00FA0CDB" w:rsidRPr="00C634FF" w:rsidRDefault="00FA0CDB" w:rsidP="00FA0CDB">
            <w:pPr>
              <w:pStyle w:val="TCTableBody"/>
              <w:jc w:val="center"/>
              <w:rPr>
                <w:rFonts w:ascii="Times New Roman" w:hAnsi="Times New Roman"/>
                <w:sz w:val="20"/>
              </w:rPr>
            </w:pPr>
            <w:r>
              <w:rPr>
                <w:sz w:val="20"/>
              </w:rPr>
              <w:t>3.50 ± 0.11</w:t>
            </w:r>
          </w:p>
        </w:tc>
        <w:tc>
          <w:tcPr>
            <w:tcW w:w="1260" w:type="dxa"/>
          </w:tcPr>
          <w:p w14:paraId="53333721" w14:textId="77777777" w:rsidR="00FA0CDB" w:rsidRPr="00C634FF" w:rsidRDefault="00FA0CDB" w:rsidP="00FA0CDB">
            <w:pPr>
              <w:pStyle w:val="TCTableBody"/>
              <w:jc w:val="center"/>
              <w:rPr>
                <w:rFonts w:ascii="Times New Roman" w:hAnsi="Times New Roman"/>
                <w:b/>
                <w:bCs/>
                <w:color w:val="000000"/>
                <w:sz w:val="20"/>
              </w:rPr>
            </w:pPr>
            <w:r>
              <w:rPr>
                <w:sz w:val="20"/>
              </w:rPr>
              <w:t>5.24 ± 0.06</w:t>
            </w:r>
          </w:p>
        </w:tc>
        <w:tc>
          <w:tcPr>
            <w:tcW w:w="1170" w:type="dxa"/>
          </w:tcPr>
          <w:p w14:paraId="6ED6C028" w14:textId="77777777" w:rsidR="00FA0CDB" w:rsidRPr="00C634FF" w:rsidRDefault="00FA0CDB" w:rsidP="00FA0CDB">
            <w:pPr>
              <w:pStyle w:val="TCTableBody"/>
              <w:jc w:val="center"/>
              <w:rPr>
                <w:rFonts w:ascii="Times New Roman" w:hAnsi="Times New Roman"/>
                <w:b/>
                <w:bCs/>
                <w:color w:val="000000"/>
                <w:sz w:val="20"/>
              </w:rPr>
            </w:pPr>
            <w:r>
              <w:rPr>
                <w:sz w:val="20"/>
              </w:rPr>
              <w:t>3.63 ± 0.04</w:t>
            </w:r>
          </w:p>
        </w:tc>
        <w:tc>
          <w:tcPr>
            <w:tcW w:w="990" w:type="dxa"/>
          </w:tcPr>
          <w:p w14:paraId="3F96B033" w14:textId="77777777" w:rsidR="00FA0CDB" w:rsidRPr="00C634FF" w:rsidRDefault="00FA0CDB" w:rsidP="00FA0CDB">
            <w:pPr>
              <w:pStyle w:val="TCTableBody"/>
              <w:jc w:val="center"/>
              <w:rPr>
                <w:rFonts w:ascii="Times New Roman" w:hAnsi="Times New Roman"/>
                <w:b/>
                <w:bCs/>
                <w:color w:val="000000"/>
                <w:sz w:val="20"/>
              </w:rPr>
            </w:pPr>
            <w:r>
              <w:rPr>
                <w:sz w:val="20"/>
              </w:rPr>
              <w:t>10.3 ± 0.6</w:t>
            </w:r>
          </w:p>
        </w:tc>
        <w:tc>
          <w:tcPr>
            <w:tcW w:w="990" w:type="dxa"/>
          </w:tcPr>
          <w:p w14:paraId="12F25D23" w14:textId="77777777" w:rsidR="00FA0CDB" w:rsidRPr="00C634FF" w:rsidRDefault="00FA0CDB" w:rsidP="00FA0CDB">
            <w:pPr>
              <w:pStyle w:val="TCTableBody"/>
              <w:jc w:val="center"/>
              <w:rPr>
                <w:rFonts w:ascii="Times New Roman" w:hAnsi="Times New Roman"/>
                <w:b/>
                <w:bCs/>
                <w:color w:val="000000"/>
                <w:sz w:val="20"/>
              </w:rPr>
            </w:pPr>
            <w:r>
              <w:rPr>
                <w:sz w:val="20"/>
              </w:rPr>
              <w:t>239.2 ± 3.6</w:t>
            </w:r>
          </w:p>
        </w:tc>
      </w:tr>
      <w:tr w:rsidR="00FA0CDB" w:rsidRPr="00C634FF" w14:paraId="0AA1D9DE" w14:textId="77777777" w:rsidTr="00453EE8">
        <w:trPr>
          <w:trHeight w:val="340"/>
        </w:trPr>
        <w:tc>
          <w:tcPr>
            <w:tcW w:w="895" w:type="dxa"/>
            <w:vMerge/>
            <w:hideMark/>
          </w:tcPr>
          <w:p w14:paraId="4C8777D3" w14:textId="77777777" w:rsidR="00FA0CDB" w:rsidRPr="00C634FF" w:rsidRDefault="00FA0CDB" w:rsidP="00FA0CDB">
            <w:pPr>
              <w:rPr>
                <w:rFonts w:ascii="Times New Roman" w:hAnsi="Times New Roman"/>
                <w:color w:val="000000"/>
                <w:sz w:val="20"/>
              </w:rPr>
            </w:pPr>
          </w:p>
        </w:tc>
        <w:tc>
          <w:tcPr>
            <w:tcW w:w="810" w:type="dxa"/>
            <w:hideMark/>
          </w:tcPr>
          <w:p w14:paraId="040CC4E1" w14:textId="77777777" w:rsidR="00FA0CDB" w:rsidRPr="00C634FF" w:rsidRDefault="00FA0CDB" w:rsidP="00FA0CDB">
            <w:pPr>
              <w:pStyle w:val="TCTableBody"/>
              <w:jc w:val="center"/>
              <w:rPr>
                <w:rFonts w:ascii="Times New Roman" w:hAnsi="Times New Roman"/>
                <w:color w:val="000000"/>
                <w:sz w:val="20"/>
              </w:rPr>
            </w:pPr>
            <w:r>
              <w:rPr>
                <w:sz w:val="20"/>
              </w:rPr>
              <w:t>Y188L</w:t>
            </w:r>
          </w:p>
        </w:tc>
        <w:tc>
          <w:tcPr>
            <w:tcW w:w="1260" w:type="dxa"/>
            <w:hideMark/>
          </w:tcPr>
          <w:p w14:paraId="78E99C70" w14:textId="77777777" w:rsidR="00FA0CDB" w:rsidRPr="00C634FF" w:rsidRDefault="00FA0CDB" w:rsidP="00FA0CDB">
            <w:pPr>
              <w:pStyle w:val="TCTableBody"/>
              <w:jc w:val="center"/>
              <w:rPr>
                <w:rFonts w:ascii="Times New Roman" w:hAnsi="Times New Roman"/>
                <w:color w:val="000000"/>
                <w:sz w:val="20"/>
              </w:rPr>
            </w:pPr>
            <w:r>
              <w:rPr>
                <w:sz w:val="20"/>
              </w:rPr>
              <w:t>2.91 ± 0.30</w:t>
            </w:r>
          </w:p>
        </w:tc>
        <w:tc>
          <w:tcPr>
            <w:tcW w:w="1260" w:type="dxa"/>
            <w:hideMark/>
          </w:tcPr>
          <w:p w14:paraId="35237770" w14:textId="77777777" w:rsidR="00FA0CDB" w:rsidRPr="00C634FF" w:rsidRDefault="00FA0CDB" w:rsidP="00FA0CDB">
            <w:pPr>
              <w:pStyle w:val="TCTableBody"/>
              <w:jc w:val="center"/>
              <w:rPr>
                <w:rFonts w:ascii="Times New Roman" w:hAnsi="Times New Roman"/>
                <w:color w:val="000000"/>
                <w:sz w:val="20"/>
              </w:rPr>
            </w:pPr>
            <w:r>
              <w:rPr>
                <w:sz w:val="20"/>
              </w:rPr>
              <w:t>8.44 ± 0.24</w:t>
            </w:r>
          </w:p>
        </w:tc>
        <w:tc>
          <w:tcPr>
            <w:tcW w:w="1530" w:type="dxa"/>
            <w:hideMark/>
          </w:tcPr>
          <w:p w14:paraId="2CA9DC2E" w14:textId="77777777" w:rsidR="00FA0CDB" w:rsidRPr="00C634FF" w:rsidRDefault="00FA0CDB" w:rsidP="00FA0CDB">
            <w:pPr>
              <w:pStyle w:val="TCTableBody"/>
              <w:jc w:val="center"/>
              <w:rPr>
                <w:rFonts w:ascii="Times New Roman" w:hAnsi="Times New Roman"/>
                <w:color w:val="000000"/>
                <w:sz w:val="20"/>
              </w:rPr>
            </w:pPr>
            <w:r>
              <w:rPr>
                <w:sz w:val="20"/>
              </w:rPr>
              <w:t>13.7 ± 1.5</w:t>
            </w:r>
          </w:p>
        </w:tc>
        <w:tc>
          <w:tcPr>
            <w:tcW w:w="1440" w:type="dxa"/>
          </w:tcPr>
          <w:p w14:paraId="0B70980C" w14:textId="77777777" w:rsidR="00FA0CDB" w:rsidRPr="00C634FF" w:rsidRDefault="009F24E2" w:rsidP="00FA0CDB">
            <w:pPr>
              <w:pStyle w:val="TCTableBody"/>
              <w:jc w:val="center"/>
              <w:rPr>
                <w:rFonts w:ascii="Times New Roman" w:hAnsi="Times New Roman"/>
                <w:color w:val="000000"/>
                <w:sz w:val="20"/>
              </w:rPr>
            </w:pPr>
            <w:r>
              <w:rPr>
                <w:color w:val="000000"/>
                <w:sz w:val="20"/>
              </w:rPr>
              <w:t>*</w:t>
            </w:r>
          </w:p>
        </w:tc>
        <w:tc>
          <w:tcPr>
            <w:tcW w:w="1260" w:type="dxa"/>
          </w:tcPr>
          <w:p w14:paraId="7985B4D6" w14:textId="77777777" w:rsidR="00FA0CDB" w:rsidRPr="00C634FF" w:rsidRDefault="00FA0CDB" w:rsidP="00FA0CDB">
            <w:pPr>
              <w:pStyle w:val="TCTableBody"/>
              <w:jc w:val="center"/>
              <w:rPr>
                <w:rFonts w:ascii="Times New Roman" w:hAnsi="Times New Roman"/>
                <w:color w:val="000000"/>
                <w:sz w:val="20"/>
              </w:rPr>
            </w:pPr>
            <w:r>
              <w:rPr>
                <w:sz w:val="20"/>
              </w:rPr>
              <w:t>3.63 ± 0.03</w:t>
            </w:r>
          </w:p>
        </w:tc>
        <w:tc>
          <w:tcPr>
            <w:tcW w:w="1260" w:type="dxa"/>
          </w:tcPr>
          <w:p w14:paraId="19776397" w14:textId="77777777" w:rsidR="00FA0CDB" w:rsidRPr="00C634FF" w:rsidRDefault="00FA0CDB" w:rsidP="00FA0CDB">
            <w:pPr>
              <w:pStyle w:val="TCTableBody"/>
              <w:jc w:val="center"/>
              <w:rPr>
                <w:rFonts w:ascii="Times New Roman" w:hAnsi="Times New Roman"/>
                <w:b/>
                <w:bCs/>
                <w:color w:val="000000"/>
                <w:sz w:val="20"/>
              </w:rPr>
            </w:pPr>
            <w:r>
              <w:rPr>
                <w:sz w:val="20"/>
              </w:rPr>
              <w:t>6.38 ± 0.42</w:t>
            </w:r>
          </w:p>
        </w:tc>
        <w:tc>
          <w:tcPr>
            <w:tcW w:w="1170" w:type="dxa"/>
          </w:tcPr>
          <w:p w14:paraId="14345646" w14:textId="77777777" w:rsidR="00FA0CDB" w:rsidRPr="00C634FF" w:rsidRDefault="00FA0CDB" w:rsidP="00FA0CDB">
            <w:pPr>
              <w:pStyle w:val="TCTableBody"/>
              <w:jc w:val="center"/>
              <w:rPr>
                <w:rFonts w:ascii="Times New Roman" w:hAnsi="Times New Roman"/>
                <w:b/>
                <w:bCs/>
                <w:color w:val="000000"/>
                <w:sz w:val="20"/>
              </w:rPr>
            </w:pPr>
            <w:r>
              <w:rPr>
                <w:sz w:val="20"/>
              </w:rPr>
              <w:t>3.13 ± 0.28</w:t>
            </w:r>
          </w:p>
        </w:tc>
        <w:tc>
          <w:tcPr>
            <w:tcW w:w="990" w:type="dxa"/>
          </w:tcPr>
          <w:p w14:paraId="36DE7AAC" w14:textId="77777777" w:rsidR="00FA0CDB" w:rsidRPr="00C634FF" w:rsidRDefault="00FA0CDB" w:rsidP="00FA0CDB">
            <w:pPr>
              <w:pStyle w:val="TCTableBody"/>
              <w:jc w:val="center"/>
              <w:rPr>
                <w:rFonts w:ascii="Times New Roman" w:hAnsi="Times New Roman"/>
                <w:b/>
                <w:bCs/>
                <w:color w:val="000000"/>
                <w:sz w:val="20"/>
              </w:rPr>
            </w:pPr>
            <w:r>
              <w:rPr>
                <w:sz w:val="20"/>
              </w:rPr>
              <w:t>17.4 ± 3.7</w:t>
            </w:r>
          </w:p>
        </w:tc>
        <w:tc>
          <w:tcPr>
            <w:tcW w:w="990" w:type="dxa"/>
          </w:tcPr>
          <w:p w14:paraId="1014D7A7" w14:textId="77777777" w:rsidR="00FA0CDB" w:rsidRPr="00C634FF" w:rsidRDefault="00FA0CDB" w:rsidP="00FA0CDB">
            <w:pPr>
              <w:pStyle w:val="TCTableBody"/>
              <w:jc w:val="center"/>
              <w:rPr>
                <w:rFonts w:ascii="Times New Roman" w:hAnsi="Times New Roman"/>
                <w:b/>
                <w:bCs/>
                <w:color w:val="000000"/>
                <w:sz w:val="20"/>
              </w:rPr>
            </w:pPr>
            <w:r>
              <w:rPr>
                <w:sz w:val="20"/>
              </w:rPr>
              <w:t>241.6 ± 7.1</w:t>
            </w:r>
          </w:p>
        </w:tc>
      </w:tr>
      <w:tr w:rsidR="00FA0CDB" w:rsidRPr="00C634FF" w14:paraId="7A2BD47C" w14:textId="77777777" w:rsidTr="00453EE8">
        <w:trPr>
          <w:trHeight w:val="340"/>
        </w:trPr>
        <w:tc>
          <w:tcPr>
            <w:tcW w:w="895" w:type="dxa"/>
            <w:vMerge/>
            <w:hideMark/>
          </w:tcPr>
          <w:p w14:paraId="7E2FD5F6" w14:textId="77777777" w:rsidR="00FA0CDB" w:rsidRPr="00C634FF" w:rsidRDefault="00FA0CDB" w:rsidP="00FA0CDB">
            <w:pPr>
              <w:rPr>
                <w:rFonts w:ascii="Times New Roman" w:hAnsi="Times New Roman"/>
                <w:color w:val="000000"/>
                <w:sz w:val="20"/>
              </w:rPr>
            </w:pPr>
          </w:p>
        </w:tc>
        <w:tc>
          <w:tcPr>
            <w:tcW w:w="810" w:type="dxa"/>
            <w:hideMark/>
          </w:tcPr>
          <w:p w14:paraId="0C30470A" w14:textId="77777777" w:rsidR="00FA0CDB" w:rsidRPr="00C634FF" w:rsidRDefault="00FA0CDB" w:rsidP="00FA0CDB">
            <w:pPr>
              <w:pStyle w:val="TCTableBody"/>
              <w:jc w:val="center"/>
              <w:rPr>
                <w:rFonts w:ascii="Times New Roman" w:hAnsi="Times New Roman"/>
                <w:color w:val="000000"/>
                <w:sz w:val="20"/>
              </w:rPr>
            </w:pPr>
            <w:r>
              <w:rPr>
                <w:sz w:val="20"/>
              </w:rPr>
              <w:t>V106A + P225H</w:t>
            </w:r>
          </w:p>
        </w:tc>
        <w:tc>
          <w:tcPr>
            <w:tcW w:w="1260" w:type="dxa"/>
            <w:hideMark/>
          </w:tcPr>
          <w:p w14:paraId="33220A19" w14:textId="77777777" w:rsidR="00FA0CDB" w:rsidRPr="00C634FF" w:rsidRDefault="00FA0CDB" w:rsidP="00FA0CDB">
            <w:pPr>
              <w:pStyle w:val="TCTableBody"/>
              <w:jc w:val="center"/>
              <w:rPr>
                <w:rFonts w:ascii="Times New Roman" w:hAnsi="Times New Roman"/>
                <w:color w:val="000000"/>
                <w:sz w:val="20"/>
              </w:rPr>
            </w:pPr>
            <w:r>
              <w:rPr>
                <w:sz w:val="20"/>
              </w:rPr>
              <w:t>3.11 ± 0.08</w:t>
            </w:r>
          </w:p>
        </w:tc>
        <w:tc>
          <w:tcPr>
            <w:tcW w:w="1260" w:type="dxa"/>
            <w:hideMark/>
          </w:tcPr>
          <w:p w14:paraId="3BEA3527" w14:textId="77777777" w:rsidR="00FA0CDB" w:rsidRPr="00C634FF" w:rsidRDefault="00FA0CDB" w:rsidP="00FA0CDB">
            <w:pPr>
              <w:pStyle w:val="TCTableBody"/>
              <w:jc w:val="center"/>
              <w:rPr>
                <w:rFonts w:ascii="Times New Roman" w:hAnsi="Times New Roman"/>
                <w:color w:val="000000"/>
                <w:sz w:val="20"/>
              </w:rPr>
            </w:pPr>
            <w:r>
              <w:rPr>
                <w:sz w:val="20"/>
              </w:rPr>
              <w:t>8.54 ± 0.11</w:t>
            </w:r>
          </w:p>
        </w:tc>
        <w:tc>
          <w:tcPr>
            <w:tcW w:w="1530" w:type="dxa"/>
            <w:hideMark/>
          </w:tcPr>
          <w:p w14:paraId="2305EB5E" w14:textId="77777777" w:rsidR="00FA0CDB" w:rsidRPr="00C634FF" w:rsidRDefault="00FA0CDB" w:rsidP="00FA0CDB">
            <w:pPr>
              <w:pStyle w:val="TCTableBody"/>
              <w:jc w:val="center"/>
              <w:rPr>
                <w:rFonts w:ascii="Times New Roman" w:hAnsi="Times New Roman"/>
                <w:color w:val="000000"/>
                <w:sz w:val="20"/>
              </w:rPr>
            </w:pPr>
            <w:r>
              <w:rPr>
                <w:sz w:val="20"/>
              </w:rPr>
              <w:t>17.9 ± 1.2</w:t>
            </w:r>
          </w:p>
        </w:tc>
        <w:tc>
          <w:tcPr>
            <w:tcW w:w="1440" w:type="dxa"/>
          </w:tcPr>
          <w:p w14:paraId="35233297" w14:textId="77777777" w:rsidR="00FA0CDB" w:rsidRPr="00C634FF" w:rsidRDefault="00FA0CDB" w:rsidP="00FA0CDB">
            <w:pPr>
              <w:pStyle w:val="TCTableBody"/>
              <w:jc w:val="center"/>
              <w:rPr>
                <w:rFonts w:ascii="Times New Roman" w:hAnsi="Times New Roman"/>
                <w:sz w:val="20"/>
              </w:rPr>
            </w:pPr>
            <w:r>
              <w:rPr>
                <w:sz w:val="20"/>
              </w:rPr>
              <w:t>21.1 ± 8.3</w:t>
            </w:r>
          </w:p>
        </w:tc>
        <w:tc>
          <w:tcPr>
            <w:tcW w:w="1260" w:type="dxa"/>
          </w:tcPr>
          <w:p w14:paraId="2258A299" w14:textId="77777777" w:rsidR="00FA0CDB" w:rsidRPr="00C634FF" w:rsidRDefault="00FA0CDB" w:rsidP="00FA0CDB">
            <w:pPr>
              <w:pStyle w:val="TCTableBody"/>
              <w:jc w:val="center"/>
              <w:rPr>
                <w:rFonts w:ascii="Times New Roman" w:hAnsi="Times New Roman"/>
                <w:sz w:val="20"/>
              </w:rPr>
            </w:pPr>
            <w:r>
              <w:rPr>
                <w:sz w:val="20"/>
              </w:rPr>
              <w:t>3.59 ± 0.07</w:t>
            </w:r>
          </w:p>
        </w:tc>
        <w:tc>
          <w:tcPr>
            <w:tcW w:w="1260" w:type="dxa"/>
          </w:tcPr>
          <w:p w14:paraId="3D6295F5" w14:textId="77777777" w:rsidR="00FA0CDB" w:rsidRPr="00C634FF" w:rsidRDefault="00FA0CDB" w:rsidP="00FA0CDB">
            <w:pPr>
              <w:pStyle w:val="TCTableBody"/>
              <w:jc w:val="center"/>
              <w:rPr>
                <w:rFonts w:ascii="Times New Roman" w:hAnsi="Times New Roman"/>
                <w:b/>
                <w:bCs/>
                <w:color w:val="000000"/>
                <w:sz w:val="20"/>
              </w:rPr>
            </w:pPr>
            <w:r>
              <w:rPr>
                <w:sz w:val="20"/>
              </w:rPr>
              <w:t>5.29 ± 0.17</w:t>
            </w:r>
          </w:p>
        </w:tc>
        <w:tc>
          <w:tcPr>
            <w:tcW w:w="1170" w:type="dxa"/>
          </w:tcPr>
          <w:p w14:paraId="0A1FB1B2" w14:textId="77777777" w:rsidR="00FA0CDB" w:rsidRPr="00C634FF" w:rsidRDefault="00FA0CDB" w:rsidP="00FA0CDB">
            <w:pPr>
              <w:pStyle w:val="TCTableBody"/>
              <w:jc w:val="center"/>
              <w:rPr>
                <w:rFonts w:ascii="Times New Roman" w:hAnsi="Times New Roman"/>
                <w:b/>
                <w:bCs/>
                <w:color w:val="000000"/>
                <w:sz w:val="20"/>
              </w:rPr>
            </w:pPr>
            <w:r>
              <w:rPr>
                <w:sz w:val="20"/>
              </w:rPr>
              <w:t>3.64 ± 0.04</w:t>
            </w:r>
          </w:p>
        </w:tc>
        <w:tc>
          <w:tcPr>
            <w:tcW w:w="990" w:type="dxa"/>
          </w:tcPr>
          <w:p w14:paraId="7CF0BD65" w14:textId="77777777" w:rsidR="00FA0CDB" w:rsidRPr="00C634FF" w:rsidRDefault="00FA0CDB" w:rsidP="00FA0CDB">
            <w:pPr>
              <w:pStyle w:val="TCTableBody"/>
              <w:jc w:val="center"/>
              <w:rPr>
                <w:rFonts w:ascii="Times New Roman" w:hAnsi="Times New Roman"/>
                <w:b/>
                <w:bCs/>
                <w:color w:val="000000"/>
                <w:sz w:val="20"/>
              </w:rPr>
            </w:pPr>
            <w:r>
              <w:rPr>
                <w:sz w:val="20"/>
              </w:rPr>
              <w:t>11.8 ± 0.1</w:t>
            </w:r>
          </w:p>
        </w:tc>
        <w:tc>
          <w:tcPr>
            <w:tcW w:w="990" w:type="dxa"/>
          </w:tcPr>
          <w:p w14:paraId="3A9ED3B0" w14:textId="77777777" w:rsidR="00FA0CDB" w:rsidRPr="00C634FF" w:rsidRDefault="00FA0CDB" w:rsidP="00FA0CDB">
            <w:pPr>
              <w:pStyle w:val="TCTableBody"/>
              <w:jc w:val="center"/>
              <w:rPr>
                <w:rFonts w:ascii="Times New Roman" w:hAnsi="Times New Roman"/>
                <w:b/>
                <w:bCs/>
                <w:color w:val="000000"/>
                <w:sz w:val="20"/>
              </w:rPr>
            </w:pPr>
            <w:r>
              <w:rPr>
                <w:sz w:val="20"/>
              </w:rPr>
              <w:t>223.3 ± 7.4</w:t>
            </w:r>
          </w:p>
        </w:tc>
      </w:tr>
      <w:tr w:rsidR="00FA0CDB" w:rsidRPr="00C634FF" w14:paraId="23E194C9" w14:textId="77777777" w:rsidTr="00453EE8">
        <w:trPr>
          <w:trHeight w:val="386"/>
        </w:trPr>
        <w:tc>
          <w:tcPr>
            <w:tcW w:w="895" w:type="dxa"/>
            <w:vMerge/>
            <w:hideMark/>
          </w:tcPr>
          <w:p w14:paraId="7E83992C" w14:textId="77777777" w:rsidR="00FA0CDB" w:rsidRPr="00C634FF" w:rsidRDefault="00FA0CDB" w:rsidP="00FA0CDB">
            <w:pPr>
              <w:rPr>
                <w:rFonts w:ascii="Times New Roman" w:hAnsi="Times New Roman"/>
                <w:color w:val="000000"/>
                <w:sz w:val="20"/>
              </w:rPr>
            </w:pPr>
          </w:p>
        </w:tc>
        <w:tc>
          <w:tcPr>
            <w:tcW w:w="810" w:type="dxa"/>
            <w:hideMark/>
          </w:tcPr>
          <w:p w14:paraId="19981E0E" w14:textId="77777777" w:rsidR="00FA0CDB" w:rsidRPr="00C634FF" w:rsidRDefault="00FA0CDB" w:rsidP="00FA0CDB">
            <w:pPr>
              <w:pStyle w:val="TCTableBody"/>
              <w:jc w:val="center"/>
              <w:rPr>
                <w:rFonts w:ascii="Times New Roman" w:hAnsi="Times New Roman"/>
                <w:color w:val="000000"/>
                <w:sz w:val="20"/>
              </w:rPr>
            </w:pPr>
            <w:r>
              <w:rPr>
                <w:sz w:val="20"/>
              </w:rPr>
              <w:t>V106A + L234I</w:t>
            </w:r>
          </w:p>
        </w:tc>
        <w:tc>
          <w:tcPr>
            <w:tcW w:w="1260" w:type="dxa"/>
            <w:hideMark/>
          </w:tcPr>
          <w:p w14:paraId="7BC5B64E" w14:textId="77777777" w:rsidR="00FA0CDB" w:rsidRPr="00C634FF" w:rsidRDefault="00FA0CDB" w:rsidP="00FA0CDB">
            <w:pPr>
              <w:pStyle w:val="TCTableBody"/>
              <w:jc w:val="center"/>
              <w:rPr>
                <w:rFonts w:ascii="Times New Roman" w:hAnsi="Times New Roman"/>
                <w:color w:val="000000"/>
                <w:sz w:val="20"/>
              </w:rPr>
            </w:pPr>
            <w:r>
              <w:rPr>
                <w:sz w:val="20"/>
              </w:rPr>
              <w:t>3.22 ± 0.09</w:t>
            </w:r>
          </w:p>
        </w:tc>
        <w:tc>
          <w:tcPr>
            <w:tcW w:w="1260" w:type="dxa"/>
            <w:hideMark/>
          </w:tcPr>
          <w:p w14:paraId="6AEFC984" w14:textId="77777777" w:rsidR="00FA0CDB" w:rsidRPr="00C634FF" w:rsidRDefault="00FA0CDB" w:rsidP="00FA0CDB">
            <w:pPr>
              <w:pStyle w:val="TCTableBody"/>
              <w:jc w:val="center"/>
              <w:rPr>
                <w:rFonts w:ascii="Times New Roman" w:hAnsi="Times New Roman"/>
                <w:color w:val="000000"/>
                <w:sz w:val="20"/>
              </w:rPr>
            </w:pPr>
            <w:r>
              <w:rPr>
                <w:sz w:val="20"/>
              </w:rPr>
              <w:t>8.48 ± 0.02</w:t>
            </w:r>
          </w:p>
        </w:tc>
        <w:tc>
          <w:tcPr>
            <w:tcW w:w="1530" w:type="dxa"/>
            <w:hideMark/>
          </w:tcPr>
          <w:p w14:paraId="0C12BE79" w14:textId="77777777" w:rsidR="00FA0CDB" w:rsidRPr="00C634FF" w:rsidRDefault="00FA0CDB" w:rsidP="00FA0CDB">
            <w:pPr>
              <w:pStyle w:val="TCTableBody"/>
              <w:jc w:val="center"/>
              <w:rPr>
                <w:rFonts w:ascii="Times New Roman" w:hAnsi="Times New Roman"/>
                <w:color w:val="000000"/>
                <w:sz w:val="20"/>
              </w:rPr>
            </w:pPr>
            <w:r>
              <w:rPr>
                <w:sz w:val="20"/>
              </w:rPr>
              <w:t>18.9 ± 0.4</w:t>
            </w:r>
          </w:p>
        </w:tc>
        <w:tc>
          <w:tcPr>
            <w:tcW w:w="1440" w:type="dxa"/>
          </w:tcPr>
          <w:p w14:paraId="4621E2A0" w14:textId="77777777" w:rsidR="00FA0CDB" w:rsidRPr="00C634FF" w:rsidRDefault="00FA0CDB" w:rsidP="00FA0CDB">
            <w:pPr>
              <w:pStyle w:val="TCTableBody"/>
              <w:jc w:val="center"/>
              <w:rPr>
                <w:rFonts w:ascii="Times New Roman" w:hAnsi="Times New Roman"/>
                <w:sz w:val="20"/>
              </w:rPr>
            </w:pPr>
            <w:r>
              <w:rPr>
                <w:sz w:val="20"/>
              </w:rPr>
              <w:t>16.2 ± 1.7</w:t>
            </w:r>
          </w:p>
        </w:tc>
        <w:tc>
          <w:tcPr>
            <w:tcW w:w="1260" w:type="dxa"/>
          </w:tcPr>
          <w:p w14:paraId="1CFFF695" w14:textId="77777777" w:rsidR="00FA0CDB" w:rsidRPr="00C634FF" w:rsidRDefault="00FA0CDB" w:rsidP="00FA0CDB">
            <w:pPr>
              <w:pStyle w:val="TCTableBody"/>
              <w:jc w:val="center"/>
              <w:rPr>
                <w:rFonts w:ascii="Times New Roman" w:hAnsi="Times New Roman"/>
                <w:sz w:val="20"/>
              </w:rPr>
            </w:pPr>
            <w:r>
              <w:rPr>
                <w:sz w:val="20"/>
              </w:rPr>
              <w:t>3.43 ± 0.04</w:t>
            </w:r>
          </w:p>
        </w:tc>
        <w:tc>
          <w:tcPr>
            <w:tcW w:w="1260" w:type="dxa"/>
          </w:tcPr>
          <w:p w14:paraId="22A37F88" w14:textId="77777777" w:rsidR="00FA0CDB" w:rsidRPr="00C634FF" w:rsidRDefault="00FA0CDB" w:rsidP="00FA0CDB">
            <w:pPr>
              <w:pStyle w:val="TCTableBody"/>
              <w:jc w:val="center"/>
              <w:rPr>
                <w:rFonts w:ascii="Times New Roman" w:hAnsi="Times New Roman"/>
                <w:b/>
                <w:bCs/>
                <w:color w:val="000000"/>
                <w:sz w:val="20"/>
              </w:rPr>
            </w:pPr>
            <w:r>
              <w:rPr>
                <w:sz w:val="20"/>
              </w:rPr>
              <w:t>5.13 ± 0.07</w:t>
            </w:r>
          </w:p>
        </w:tc>
        <w:tc>
          <w:tcPr>
            <w:tcW w:w="1170" w:type="dxa"/>
          </w:tcPr>
          <w:p w14:paraId="7560503B" w14:textId="77777777" w:rsidR="00FA0CDB" w:rsidRPr="00C634FF" w:rsidRDefault="00FA0CDB" w:rsidP="00FA0CDB">
            <w:pPr>
              <w:pStyle w:val="TCTableBody"/>
              <w:jc w:val="center"/>
              <w:rPr>
                <w:rFonts w:ascii="Times New Roman" w:hAnsi="Times New Roman"/>
                <w:b/>
                <w:bCs/>
                <w:color w:val="000000"/>
                <w:sz w:val="20"/>
              </w:rPr>
            </w:pPr>
            <w:r>
              <w:rPr>
                <w:sz w:val="20"/>
              </w:rPr>
              <w:t>3.58 ± 0.07</w:t>
            </w:r>
          </w:p>
        </w:tc>
        <w:tc>
          <w:tcPr>
            <w:tcW w:w="990" w:type="dxa"/>
          </w:tcPr>
          <w:p w14:paraId="0AF2E0BF" w14:textId="77777777" w:rsidR="00FA0CDB" w:rsidRPr="00C634FF" w:rsidRDefault="00FA0CDB" w:rsidP="00FA0CDB">
            <w:pPr>
              <w:pStyle w:val="TCTableBody"/>
              <w:jc w:val="center"/>
              <w:rPr>
                <w:rFonts w:ascii="Times New Roman" w:hAnsi="Times New Roman"/>
                <w:b/>
                <w:bCs/>
                <w:color w:val="000000"/>
                <w:sz w:val="20"/>
              </w:rPr>
            </w:pPr>
            <w:r>
              <w:rPr>
                <w:sz w:val="20"/>
              </w:rPr>
              <w:t>10.3 ± 0.8</w:t>
            </w:r>
          </w:p>
        </w:tc>
        <w:tc>
          <w:tcPr>
            <w:tcW w:w="990" w:type="dxa"/>
          </w:tcPr>
          <w:p w14:paraId="22A4B5DD" w14:textId="77777777" w:rsidR="00FA0CDB" w:rsidRPr="00C634FF" w:rsidRDefault="00FA0CDB" w:rsidP="00FA0CDB">
            <w:pPr>
              <w:pStyle w:val="TCTableBody"/>
              <w:jc w:val="center"/>
              <w:rPr>
                <w:rFonts w:ascii="Times New Roman" w:hAnsi="Times New Roman"/>
                <w:b/>
                <w:bCs/>
                <w:color w:val="000000"/>
                <w:sz w:val="20"/>
              </w:rPr>
            </w:pPr>
            <w:r>
              <w:rPr>
                <w:sz w:val="20"/>
              </w:rPr>
              <w:t>237.3 ± 12.0</w:t>
            </w:r>
          </w:p>
        </w:tc>
      </w:tr>
      <w:tr w:rsidR="00FA0CDB" w:rsidRPr="00C634FF" w14:paraId="1D06D7D8" w14:textId="77777777" w:rsidTr="00453EE8">
        <w:trPr>
          <w:trHeight w:val="386"/>
        </w:trPr>
        <w:tc>
          <w:tcPr>
            <w:tcW w:w="895" w:type="dxa"/>
            <w:vMerge/>
          </w:tcPr>
          <w:p w14:paraId="2015B106" w14:textId="77777777" w:rsidR="00FA0CDB" w:rsidRPr="00C634FF" w:rsidRDefault="00FA0CDB" w:rsidP="00FA0CDB">
            <w:pPr>
              <w:rPr>
                <w:rFonts w:ascii="Times New Roman" w:hAnsi="Times New Roman"/>
                <w:color w:val="000000"/>
                <w:sz w:val="20"/>
              </w:rPr>
            </w:pPr>
          </w:p>
        </w:tc>
        <w:tc>
          <w:tcPr>
            <w:tcW w:w="810" w:type="dxa"/>
          </w:tcPr>
          <w:p w14:paraId="7B34EA06" w14:textId="77777777" w:rsidR="00FA0CDB" w:rsidRPr="00C634FF" w:rsidRDefault="00FA0CDB" w:rsidP="00FA0CDB">
            <w:pPr>
              <w:pStyle w:val="TCTableBody"/>
              <w:jc w:val="center"/>
              <w:rPr>
                <w:rFonts w:ascii="Times New Roman" w:hAnsi="Times New Roman"/>
                <w:sz w:val="20"/>
              </w:rPr>
            </w:pPr>
            <w:r>
              <w:rPr>
                <w:sz w:val="20"/>
              </w:rPr>
              <w:t>K103N + M230L</w:t>
            </w:r>
          </w:p>
        </w:tc>
        <w:tc>
          <w:tcPr>
            <w:tcW w:w="1260" w:type="dxa"/>
          </w:tcPr>
          <w:p w14:paraId="3802E6E2" w14:textId="77777777" w:rsidR="00FA0CDB" w:rsidRPr="00C634FF" w:rsidRDefault="00FA0CDB" w:rsidP="00FA0CDB">
            <w:pPr>
              <w:pStyle w:val="TCTableBody"/>
              <w:jc w:val="center"/>
              <w:rPr>
                <w:rFonts w:ascii="Times New Roman" w:hAnsi="Times New Roman"/>
                <w:sz w:val="20"/>
              </w:rPr>
            </w:pPr>
            <w:r>
              <w:rPr>
                <w:sz w:val="20"/>
              </w:rPr>
              <w:t>3.05 ± 0.04</w:t>
            </w:r>
          </w:p>
        </w:tc>
        <w:tc>
          <w:tcPr>
            <w:tcW w:w="1260" w:type="dxa"/>
          </w:tcPr>
          <w:p w14:paraId="62604BEF" w14:textId="77777777" w:rsidR="00FA0CDB" w:rsidRPr="00C634FF" w:rsidRDefault="00FA0CDB" w:rsidP="00FA0CDB">
            <w:pPr>
              <w:pStyle w:val="TCTableBody"/>
              <w:jc w:val="center"/>
              <w:rPr>
                <w:rFonts w:ascii="Times New Roman" w:hAnsi="Times New Roman"/>
                <w:sz w:val="20"/>
              </w:rPr>
            </w:pPr>
            <w:r>
              <w:rPr>
                <w:sz w:val="20"/>
              </w:rPr>
              <w:t>4.80 ± 0.14</w:t>
            </w:r>
          </w:p>
        </w:tc>
        <w:tc>
          <w:tcPr>
            <w:tcW w:w="1530" w:type="dxa"/>
          </w:tcPr>
          <w:p w14:paraId="234DF5E1" w14:textId="77777777" w:rsidR="00FA0CDB" w:rsidRPr="00C634FF" w:rsidRDefault="00FA0CDB" w:rsidP="00FA0CDB">
            <w:pPr>
              <w:pStyle w:val="TCTableBody"/>
              <w:jc w:val="center"/>
              <w:rPr>
                <w:rFonts w:ascii="Times New Roman" w:hAnsi="Times New Roman"/>
                <w:sz w:val="20"/>
              </w:rPr>
            </w:pPr>
            <w:r>
              <w:rPr>
                <w:sz w:val="20"/>
              </w:rPr>
              <w:t>22.8 ± 2.4</w:t>
            </w:r>
          </w:p>
        </w:tc>
        <w:tc>
          <w:tcPr>
            <w:tcW w:w="1440" w:type="dxa"/>
          </w:tcPr>
          <w:p w14:paraId="00DE7B5B" w14:textId="77777777" w:rsidR="00FA0CDB" w:rsidRPr="00C634FF" w:rsidRDefault="00FA0CDB" w:rsidP="00FA0CDB">
            <w:pPr>
              <w:pStyle w:val="TCTableBody"/>
              <w:jc w:val="center"/>
              <w:rPr>
                <w:rFonts w:ascii="Times New Roman" w:hAnsi="Times New Roman"/>
                <w:sz w:val="20"/>
              </w:rPr>
            </w:pPr>
            <w:r>
              <w:rPr>
                <w:sz w:val="20"/>
              </w:rPr>
              <w:t>13.8 ± 0.3</w:t>
            </w:r>
          </w:p>
        </w:tc>
        <w:tc>
          <w:tcPr>
            <w:tcW w:w="1260" w:type="dxa"/>
          </w:tcPr>
          <w:p w14:paraId="722EF187" w14:textId="77777777" w:rsidR="00FA0CDB" w:rsidRPr="00C634FF" w:rsidRDefault="00FA0CDB" w:rsidP="00FA0CDB">
            <w:pPr>
              <w:pStyle w:val="TCTableBody"/>
              <w:jc w:val="center"/>
              <w:rPr>
                <w:rFonts w:ascii="Times New Roman" w:hAnsi="Times New Roman"/>
                <w:sz w:val="20"/>
              </w:rPr>
            </w:pPr>
            <w:r>
              <w:rPr>
                <w:sz w:val="20"/>
              </w:rPr>
              <w:t>3.53 ± 0.08</w:t>
            </w:r>
          </w:p>
        </w:tc>
        <w:tc>
          <w:tcPr>
            <w:tcW w:w="1260" w:type="dxa"/>
          </w:tcPr>
          <w:p w14:paraId="0DF4ACFA" w14:textId="77777777" w:rsidR="00FA0CDB" w:rsidRPr="00C634FF" w:rsidRDefault="00FA0CDB" w:rsidP="00FA0CDB">
            <w:pPr>
              <w:pStyle w:val="TCTableBody"/>
              <w:jc w:val="center"/>
              <w:rPr>
                <w:rFonts w:ascii="Times New Roman" w:hAnsi="Times New Roman"/>
                <w:b/>
                <w:bCs/>
                <w:color w:val="000000"/>
                <w:sz w:val="20"/>
              </w:rPr>
            </w:pPr>
            <w:r>
              <w:rPr>
                <w:sz w:val="20"/>
              </w:rPr>
              <w:t>6.19 ± 0.29</w:t>
            </w:r>
          </w:p>
        </w:tc>
        <w:tc>
          <w:tcPr>
            <w:tcW w:w="1170" w:type="dxa"/>
          </w:tcPr>
          <w:p w14:paraId="7E9CA518" w14:textId="77777777" w:rsidR="00FA0CDB" w:rsidRPr="00C634FF" w:rsidRDefault="00FA0CDB" w:rsidP="00FA0CDB">
            <w:pPr>
              <w:pStyle w:val="TCTableBody"/>
              <w:jc w:val="center"/>
              <w:rPr>
                <w:rFonts w:ascii="Times New Roman" w:hAnsi="Times New Roman"/>
                <w:b/>
                <w:bCs/>
                <w:color w:val="000000"/>
                <w:sz w:val="20"/>
              </w:rPr>
            </w:pPr>
            <w:r>
              <w:rPr>
                <w:sz w:val="20"/>
              </w:rPr>
              <w:t>3.20 ± 0.12</w:t>
            </w:r>
          </w:p>
        </w:tc>
        <w:tc>
          <w:tcPr>
            <w:tcW w:w="990" w:type="dxa"/>
          </w:tcPr>
          <w:p w14:paraId="5A768559" w14:textId="77777777" w:rsidR="00FA0CDB" w:rsidRPr="00C634FF" w:rsidRDefault="00FA0CDB" w:rsidP="00FA0CDB">
            <w:pPr>
              <w:pStyle w:val="TCTableBody"/>
              <w:jc w:val="center"/>
              <w:rPr>
                <w:rFonts w:ascii="Times New Roman" w:hAnsi="Times New Roman"/>
                <w:b/>
                <w:bCs/>
                <w:color w:val="000000"/>
                <w:sz w:val="20"/>
              </w:rPr>
            </w:pPr>
            <w:r>
              <w:rPr>
                <w:sz w:val="20"/>
              </w:rPr>
              <w:t>16.6 ± 0.6</w:t>
            </w:r>
          </w:p>
        </w:tc>
        <w:tc>
          <w:tcPr>
            <w:tcW w:w="990" w:type="dxa"/>
          </w:tcPr>
          <w:p w14:paraId="0FE69C4C" w14:textId="77777777" w:rsidR="00FA0CDB" w:rsidRPr="00C634FF" w:rsidRDefault="00FA0CDB" w:rsidP="00FA0CDB">
            <w:pPr>
              <w:pStyle w:val="TCTableBody"/>
              <w:jc w:val="center"/>
              <w:rPr>
                <w:rFonts w:ascii="Times New Roman" w:hAnsi="Times New Roman"/>
                <w:b/>
                <w:bCs/>
                <w:color w:val="000000"/>
                <w:sz w:val="20"/>
              </w:rPr>
            </w:pPr>
            <w:r>
              <w:rPr>
                <w:sz w:val="20"/>
              </w:rPr>
              <w:t>250.5 ± 1.2</w:t>
            </w:r>
          </w:p>
        </w:tc>
      </w:tr>
      <w:tr w:rsidR="00FA0CDB" w:rsidRPr="00C634FF" w14:paraId="01E992A1" w14:textId="77777777" w:rsidTr="00453EE8">
        <w:trPr>
          <w:trHeight w:val="340"/>
        </w:trPr>
        <w:tc>
          <w:tcPr>
            <w:tcW w:w="895" w:type="dxa"/>
            <w:vMerge w:val="restart"/>
            <w:hideMark/>
          </w:tcPr>
          <w:p w14:paraId="2A9330D8"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 xml:space="preserve">Uncertain </w:t>
            </w:r>
          </w:p>
        </w:tc>
        <w:tc>
          <w:tcPr>
            <w:tcW w:w="810" w:type="dxa"/>
            <w:hideMark/>
          </w:tcPr>
          <w:p w14:paraId="6BC58ADC" w14:textId="77777777" w:rsidR="00FA0CDB" w:rsidRPr="00C634FF" w:rsidRDefault="00FA0CDB" w:rsidP="00FA0CDB">
            <w:pPr>
              <w:pStyle w:val="TCTableBody"/>
              <w:jc w:val="center"/>
              <w:rPr>
                <w:rFonts w:ascii="Times New Roman" w:hAnsi="Times New Roman"/>
                <w:color w:val="000000"/>
                <w:sz w:val="20"/>
              </w:rPr>
            </w:pPr>
            <w:r>
              <w:rPr>
                <w:sz w:val="20"/>
              </w:rPr>
              <w:t>V106M</w:t>
            </w:r>
          </w:p>
        </w:tc>
        <w:tc>
          <w:tcPr>
            <w:tcW w:w="1260" w:type="dxa"/>
            <w:hideMark/>
          </w:tcPr>
          <w:p w14:paraId="146D0333" w14:textId="77777777" w:rsidR="00FA0CDB" w:rsidRPr="00C634FF" w:rsidRDefault="00FA0CDB" w:rsidP="00FA0CDB">
            <w:pPr>
              <w:pStyle w:val="TCTableBody"/>
              <w:jc w:val="center"/>
              <w:rPr>
                <w:rFonts w:ascii="Times New Roman" w:hAnsi="Times New Roman"/>
                <w:color w:val="000000"/>
                <w:sz w:val="20"/>
              </w:rPr>
            </w:pPr>
            <w:r>
              <w:rPr>
                <w:sz w:val="20"/>
              </w:rPr>
              <w:t>3.56 ± 0.20</w:t>
            </w:r>
          </w:p>
        </w:tc>
        <w:tc>
          <w:tcPr>
            <w:tcW w:w="1260" w:type="dxa"/>
            <w:hideMark/>
          </w:tcPr>
          <w:p w14:paraId="352076F2" w14:textId="77777777" w:rsidR="00FA0CDB" w:rsidRPr="00C634FF" w:rsidRDefault="00FA0CDB" w:rsidP="00FA0CDB">
            <w:pPr>
              <w:pStyle w:val="TCTableBody"/>
              <w:jc w:val="center"/>
              <w:rPr>
                <w:rFonts w:ascii="Times New Roman" w:hAnsi="Times New Roman"/>
                <w:color w:val="000000"/>
                <w:sz w:val="20"/>
              </w:rPr>
            </w:pPr>
            <w:r>
              <w:rPr>
                <w:sz w:val="20"/>
              </w:rPr>
              <w:t>8.88 ± 0.38</w:t>
            </w:r>
          </w:p>
        </w:tc>
        <w:tc>
          <w:tcPr>
            <w:tcW w:w="1530" w:type="dxa"/>
            <w:hideMark/>
          </w:tcPr>
          <w:p w14:paraId="397FFD54" w14:textId="77777777" w:rsidR="00FA0CDB" w:rsidRPr="00C634FF" w:rsidRDefault="00FA0CDB" w:rsidP="00FA0CDB">
            <w:pPr>
              <w:pStyle w:val="TCTableBody"/>
              <w:jc w:val="center"/>
              <w:rPr>
                <w:rFonts w:ascii="Times New Roman" w:hAnsi="Times New Roman"/>
                <w:color w:val="000000"/>
                <w:sz w:val="20"/>
              </w:rPr>
            </w:pPr>
            <w:r>
              <w:rPr>
                <w:sz w:val="20"/>
              </w:rPr>
              <w:t>19.3 ± 0.9</w:t>
            </w:r>
          </w:p>
        </w:tc>
        <w:tc>
          <w:tcPr>
            <w:tcW w:w="1440" w:type="dxa"/>
          </w:tcPr>
          <w:p w14:paraId="7E264A11" w14:textId="77777777" w:rsidR="00FA0CDB" w:rsidRPr="00C634FF" w:rsidRDefault="00FA0CDB" w:rsidP="00FA0CDB">
            <w:pPr>
              <w:pStyle w:val="TCTableBody"/>
              <w:jc w:val="center"/>
              <w:rPr>
                <w:rFonts w:ascii="Times New Roman" w:hAnsi="Times New Roman"/>
                <w:sz w:val="20"/>
              </w:rPr>
            </w:pPr>
            <w:r>
              <w:rPr>
                <w:sz w:val="20"/>
              </w:rPr>
              <w:t>16.7 ± 1.5</w:t>
            </w:r>
          </w:p>
        </w:tc>
        <w:tc>
          <w:tcPr>
            <w:tcW w:w="1260" w:type="dxa"/>
          </w:tcPr>
          <w:p w14:paraId="1DF4641E" w14:textId="77777777" w:rsidR="00FA0CDB" w:rsidRPr="00C634FF" w:rsidRDefault="00FA0CDB" w:rsidP="00FA0CDB">
            <w:pPr>
              <w:pStyle w:val="TCTableBody"/>
              <w:jc w:val="center"/>
              <w:rPr>
                <w:rFonts w:ascii="Times New Roman" w:hAnsi="Times New Roman"/>
                <w:sz w:val="20"/>
              </w:rPr>
            </w:pPr>
            <w:r>
              <w:rPr>
                <w:sz w:val="20"/>
              </w:rPr>
              <w:t>3.76 ± 0.23</w:t>
            </w:r>
          </w:p>
        </w:tc>
        <w:tc>
          <w:tcPr>
            <w:tcW w:w="1260" w:type="dxa"/>
          </w:tcPr>
          <w:p w14:paraId="43B182A1" w14:textId="77777777" w:rsidR="00FA0CDB" w:rsidRPr="00C634FF" w:rsidRDefault="00FA0CDB" w:rsidP="00FA0CDB">
            <w:pPr>
              <w:pStyle w:val="TCTableBody"/>
              <w:jc w:val="center"/>
              <w:rPr>
                <w:rFonts w:ascii="Times New Roman" w:hAnsi="Times New Roman"/>
                <w:b/>
                <w:bCs/>
                <w:color w:val="000000"/>
                <w:sz w:val="20"/>
              </w:rPr>
            </w:pPr>
            <w:r>
              <w:rPr>
                <w:sz w:val="20"/>
              </w:rPr>
              <w:t>7.04 ± 0.46</w:t>
            </w:r>
          </w:p>
        </w:tc>
        <w:tc>
          <w:tcPr>
            <w:tcW w:w="1170" w:type="dxa"/>
          </w:tcPr>
          <w:p w14:paraId="0BED2904" w14:textId="77777777" w:rsidR="00FA0CDB" w:rsidRPr="00C634FF" w:rsidRDefault="00FA0CDB" w:rsidP="00FA0CDB">
            <w:pPr>
              <w:pStyle w:val="TCTableBody"/>
              <w:jc w:val="center"/>
              <w:rPr>
                <w:rFonts w:ascii="Times New Roman" w:hAnsi="Times New Roman"/>
                <w:b/>
                <w:bCs/>
                <w:color w:val="000000"/>
                <w:sz w:val="20"/>
              </w:rPr>
            </w:pPr>
            <w:r>
              <w:rPr>
                <w:sz w:val="20"/>
              </w:rPr>
              <w:t>3.16 ± 0.14</w:t>
            </w:r>
          </w:p>
        </w:tc>
        <w:tc>
          <w:tcPr>
            <w:tcW w:w="990" w:type="dxa"/>
          </w:tcPr>
          <w:p w14:paraId="244B3FB8" w14:textId="77777777" w:rsidR="00FA0CDB" w:rsidRPr="00C634FF" w:rsidRDefault="00FA0CDB" w:rsidP="00FA0CDB">
            <w:pPr>
              <w:pStyle w:val="TCTableBody"/>
              <w:jc w:val="center"/>
              <w:rPr>
                <w:rFonts w:ascii="Times New Roman" w:hAnsi="Times New Roman"/>
                <w:b/>
                <w:bCs/>
                <w:color w:val="000000"/>
                <w:sz w:val="20"/>
              </w:rPr>
            </w:pPr>
            <w:r>
              <w:rPr>
                <w:sz w:val="20"/>
              </w:rPr>
              <w:t>16.8 ± 2.4</w:t>
            </w:r>
          </w:p>
        </w:tc>
        <w:tc>
          <w:tcPr>
            <w:tcW w:w="990" w:type="dxa"/>
          </w:tcPr>
          <w:p w14:paraId="75D83155" w14:textId="77777777" w:rsidR="00FA0CDB" w:rsidRPr="00C634FF" w:rsidRDefault="00FA0CDB" w:rsidP="00FA0CDB">
            <w:pPr>
              <w:pStyle w:val="TCTableBody"/>
              <w:jc w:val="center"/>
              <w:rPr>
                <w:rFonts w:ascii="Times New Roman" w:hAnsi="Times New Roman"/>
                <w:b/>
                <w:bCs/>
                <w:color w:val="000000"/>
                <w:sz w:val="20"/>
              </w:rPr>
            </w:pPr>
            <w:r>
              <w:rPr>
                <w:sz w:val="20"/>
              </w:rPr>
              <w:t>239.6 ± 22.6</w:t>
            </w:r>
          </w:p>
        </w:tc>
      </w:tr>
      <w:tr w:rsidR="00FA0CDB" w:rsidRPr="00C634FF" w14:paraId="75F2C2AB" w14:textId="77777777" w:rsidTr="00453EE8">
        <w:trPr>
          <w:trHeight w:val="467"/>
        </w:trPr>
        <w:tc>
          <w:tcPr>
            <w:tcW w:w="895" w:type="dxa"/>
            <w:vMerge/>
            <w:hideMark/>
          </w:tcPr>
          <w:p w14:paraId="78AACAA1"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B2C7FC5" w14:textId="77777777" w:rsidR="00FA0CDB" w:rsidRPr="00C634FF" w:rsidRDefault="00FA0CDB" w:rsidP="00FA0CDB">
            <w:pPr>
              <w:pStyle w:val="TCTableBody"/>
              <w:jc w:val="center"/>
              <w:rPr>
                <w:rFonts w:ascii="Times New Roman" w:hAnsi="Times New Roman"/>
                <w:color w:val="000000"/>
                <w:sz w:val="20"/>
              </w:rPr>
            </w:pPr>
            <w:r>
              <w:rPr>
                <w:sz w:val="20"/>
              </w:rPr>
              <w:t>G190S</w:t>
            </w:r>
          </w:p>
        </w:tc>
        <w:tc>
          <w:tcPr>
            <w:tcW w:w="1260" w:type="dxa"/>
            <w:hideMark/>
          </w:tcPr>
          <w:p w14:paraId="052E8DF3" w14:textId="77777777" w:rsidR="00FA0CDB" w:rsidRPr="00C634FF" w:rsidRDefault="00FA0CDB" w:rsidP="00FA0CDB">
            <w:pPr>
              <w:pStyle w:val="TCTableBody"/>
              <w:jc w:val="center"/>
              <w:rPr>
                <w:rFonts w:ascii="Times New Roman" w:hAnsi="Times New Roman"/>
                <w:color w:val="000000"/>
                <w:sz w:val="20"/>
              </w:rPr>
            </w:pPr>
            <w:r>
              <w:rPr>
                <w:sz w:val="20"/>
              </w:rPr>
              <w:t>3.00 ± 0.03</w:t>
            </w:r>
          </w:p>
        </w:tc>
        <w:tc>
          <w:tcPr>
            <w:tcW w:w="1260" w:type="dxa"/>
            <w:hideMark/>
          </w:tcPr>
          <w:p w14:paraId="66084D89" w14:textId="77777777" w:rsidR="00FA0CDB" w:rsidRPr="00C634FF" w:rsidRDefault="00FA0CDB" w:rsidP="00FA0CDB">
            <w:pPr>
              <w:pStyle w:val="TCTableBody"/>
              <w:jc w:val="center"/>
              <w:rPr>
                <w:rFonts w:ascii="Times New Roman" w:hAnsi="Times New Roman"/>
                <w:color w:val="000000"/>
                <w:sz w:val="20"/>
              </w:rPr>
            </w:pPr>
            <w:r>
              <w:rPr>
                <w:sz w:val="20"/>
              </w:rPr>
              <w:t>8.72 ± 0.04</w:t>
            </w:r>
          </w:p>
        </w:tc>
        <w:tc>
          <w:tcPr>
            <w:tcW w:w="1530" w:type="dxa"/>
            <w:hideMark/>
          </w:tcPr>
          <w:p w14:paraId="67936BB1" w14:textId="77777777" w:rsidR="00FA0CDB" w:rsidRPr="00C634FF" w:rsidRDefault="00FA0CDB" w:rsidP="00FA0CDB">
            <w:pPr>
              <w:pStyle w:val="TCTableBody"/>
              <w:jc w:val="center"/>
              <w:rPr>
                <w:rFonts w:ascii="Times New Roman" w:hAnsi="Times New Roman"/>
                <w:color w:val="000000"/>
                <w:sz w:val="20"/>
              </w:rPr>
            </w:pPr>
            <w:r>
              <w:rPr>
                <w:sz w:val="20"/>
              </w:rPr>
              <w:t>19.0 ± 0.4</w:t>
            </w:r>
          </w:p>
        </w:tc>
        <w:tc>
          <w:tcPr>
            <w:tcW w:w="1440" w:type="dxa"/>
          </w:tcPr>
          <w:p w14:paraId="1D9746DC" w14:textId="77777777" w:rsidR="00FA0CDB" w:rsidRPr="00C634FF" w:rsidRDefault="00FA0CDB" w:rsidP="00FA0CDB">
            <w:pPr>
              <w:pStyle w:val="TCTableBody"/>
              <w:jc w:val="center"/>
              <w:rPr>
                <w:rFonts w:ascii="Times New Roman" w:hAnsi="Times New Roman"/>
                <w:sz w:val="20"/>
              </w:rPr>
            </w:pPr>
            <w:r>
              <w:rPr>
                <w:sz w:val="20"/>
              </w:rPr>
              <w:t>27.4 ± 5.3</w:t>
            </w:r>
          </w:p>
        </w:tc>
        <w:tc>
          <w:tcPr>
            <w:tcW w:w="1260" w:type="dxa"/>
          </w:tcPr>
          <w:p w14:paraId="4F862C6E" w14:textId="77777777" w:rsidR="00FA0CDB" w:rsidRPr="00C634FF" w:rsidRDefault="00FA0CDB" w:rsidP="00FA0CDB">
            <w:pPr>
              <w:pStyle w:val="TCTableBody"/>
              <w:jc w:val="center"/>
              <w:rPr>
                <w:rFonts w:ascii="Times New Roman" w:hAnsi="Times New Roman"/>
                <w:sz w:val="20"/>
              </w:rPr>
            </w:pPr>
            <w:r>
              <w:rPr>
                <w:sz w:val="20"/>
              </w:rPr>
              <w:t>3.78 ± 0.08</w:t>
            </w:r>
          </w:p>
        </w:tc>
        <w:tc>
          <w:tcPr>
            <w:tcW w:w="1260" w:type="dxa"/>
          </w:tcPr>
          <w:p w14:paraId="69634EE0" w14:textId="77777777" w:rsidR="00FA0CDB" w:rsidRPr="00C634FF" w:rsidRDefault="00FA0CDB" w:rsidP="00FA0CDB">
            <w:pPr>
              <w:pStyle w:val="TCTableBody"/>
              <w:jc w:val="center"/>
              <w:rPr>
                <w:rFonts w:ascii="Times New Roman" w:hAnsi="Times New Roman"/>
                <w:b/>
                <w:bCs/>
                <w:color w:val="000000"/>
                <w:sz w:val="20"/>
              </w:rPr>
            </w:pPr>
            <w:r>
              <w:rPr>
                <w:sz w:val="20"/>
              </w:rPr>
              <w:t>5.95 ± 0.28</w:t>
            </w:r>
          </w:p>
        </w:tc>
        <w:tc>
          <w:tcPr>
            <w:tcW w:w="1170" w:type="dxa"/>
          </w:tcPr>
          <w:p w14:paraId="21D5DC31" w14:textId="77777777" w:rsidR="00FA0CDB" w:rsidRPr="00C634FF" w:rsidRDefault="00FA0CDB" w:rsidP="00FA0CDB">
            <w:pPr>
              <w:pStyle w:val="TCTableBody"/>
              <w:jc w:val="center"/>
              <w:rPr>
                <w:rFonts w:ascii="Times New Roman" w:hAnsi="Times New Roman"/>
                <w:b/>
                <w:bCs/>
                <w:color w:val="000000"/>
                <w:sz w:val="20"/>
              </w:rPr>
            </w:pPr>
            <w:r>
              <w:rPr>
                <w:sz w:val="20"/>
              </w:rPr>
              <w:t>3.15 ± 0.20</w:t>
            </w:r>
          </w:p>
        </w:tc>
        <w:tc>
          <w:tcPr>
            <w:tcW w:w="990" w:type="dxa"/>
          </w:tcPr>
          <w:p w14:paraId="246CFE19" w14:textId="77777777" w:rsidR="00FA0CDB" w:rsidRPr="00C634FF" w:rsidRDefault="00FA0CDB" w:rsidP="00FA0CDB">
            <w:pPr>
              <w:pStyle w:val="TCTableBody"/>
              <w:jc w:val="center"/>
              <w:rPr>
                <w:rFonts w:ascii="Times New Roman" w:hAnsi="Times New Roman"/>
                <w:b/>
                <w:bCs/>
                <w:color w:val="000000"/>
                <w:sz w:val="20"/>
              </w:rPr>
            </w:pPr>
            <w:r>
              <w:rPr>
                <w:sz w:val="20"/>
              </w:rPr>
              <w:t>17.2 ± 2.4</w:t>
            </w:r>
          </w:p>
        </w:tc>
        <w:tc>
          <w:tcPr>
            <w:tcW w:w="990" w:type="dxa"/>
          </w:tcPr>
          <w:p w14:paraId="045CC4B3" w14:textId="77777777" w:rsidR="00FA0CDB" w:rsidRPr="00C634FF" w:rsidRDefault="00FA0CDB" w:rsidP="00FA0CDB">
            <w:pPr>
              <w:pStyle w:val="TCTableBody"/>
              <w:jc w:val="center"/>
              <w:rPr>
                <w:rFonts w:ascii="Times New Roman" w:hAnsi="Times New Roman"/>
                <w:b/>
                <w:bCs/>
                <w:color w:val="000000"/>
                <w:sz w:val="20"/>
              </w:rPr>
            </w:pPr>
            <w:r>
              <w:rPr>
                <w:sz w:val="20"/>
              </w:rPr>
              <w:t>268.1 ± 18.3</w:t>
            </w:r>
          </w:p>
        </w:tc>
      </w:tr>
      <w:tr w:rsidR="00FA0CDB" w:rsidRPr="00C634FF" w14:paraId="3D3A28B9" w14:textId="77777777" w:rsidTr="00453EE8">
        <w:trPr>
          <w:trHeight w:val="521"/>
        </w:trPr>
        <w:tc>
          <w:tcPr>
            <w:tcW w:w="895" w:type="dxa"/>
            <w:vMerge/>
            <w:hideMark/>
          </w:tcPr>
          <w:p w14:paraId="7D230A6F"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4544F51" w14:textId="77777777" w:rsidR="00FA0CDB" w:rsidRPr="00C634FF" w:rsidRDefault="00FA0CDB" w:rsidP="00FA0CDB">
            <w:pPr>
              <w:pStyle w:val="TCTableBody"/>
              <w:jc w:val="center"/>
              <w:rPr>
                <w:rFonts w:ascii="Times New Roman" w:hAnsi="Times New Roman"/>
                <w:color w:val="000000"/>
                <w:sz w:val="20"/>
              </w:rPr>
            </w:pPr>
            <w:r>
              <w:rPr>
                <w:sz w:val="20"/>
              </w:rPr>
              <w:t>L100I + K103N</w:t>
            </w:r>
          </w:p>
        </w:tc>
        <w:tc>
          <w:tcPr>
            <w:tcW w:w="1260" w:type="dxa"/>
            <w:hideMark/>
          </w:tcPr>
          <w:p w14:paraId="7173AE2A" w14:textId="77777777" w:rsidR="00FA0CDB" w:rsidRPr="00C634FF" w:rsidRDefault="00FA0CDB" w:rsidP="00FA0CDB">
            <w:pPr>
              <w:pStyle w:val="TCTableBody"/>
              <w:jc w:val="center"/>
              <w:rPr>
                <w:rFonts w:ascii="Times New Roman" w:hAnsi="Times New Roman"/>
                <w:color w:val="000000"/>
                <w:sz w:val="20"/>
              </w:rPr>
            </w:pPr>
            <w:r>
              <w:rPr>
                <w:sz w:val="20"/>
              </w:rPr>
              <w:t>3.20 ± 0.15</w:t>
            </w:r>
          </w:p>
        </w:tc>
        <w:tc>
          <w:tcPr>
            <w:tcW w:w="1260" w:type="dxa"/>
            <w:hideMark/>
          </w:tcPr>
          <w:p w14:paraId="7DED75FE" w14:textId="77777777" w:rsidR="00FA0CDB" w:rsidRPr="00C634FF" w:rsidRDefault="00FA0CDB" w:rsidP="00FA0CDB">
            <w:pPr>
              <w:pStyle w:val="TCTableBody"/>
              <w:jc w:val="center"/>
              <w:rPr>
                <w:rFonts w:ascii="Times New Roman" w:hAnsi="Times New Roman"/>
                <w:color w:val="000000"/>
                <w:sz w:val="20"/>
              </w:rPr>
            </w:pPr>
            <w:r>
              <w:rPr>
                <w:sz w:val="20"/>
              </w:rPr>
              <w:t>5.43 ± 0.20</w:t>
            </w:r>
          </w:p>
        </w:tc>
        <w:tc>
          <w:tcPr>
            <w:tcW w:w="1530" w:type="dxa"/>
            <w:hideMark/>
          </w:tcPr>
          <w:p w14:paraId="19D49154" w14:textId="77777777" w:rsidR="00FA0CDB" w:rsidRPr="00C634FF" w:rsidRDefault="00FA0CDB" w:rsidP="00FA0CDB">
            <w:pPr>
              <w:pStyle w:val="TCTableBody"/>
              <w:jc w:val="center"/>
              <w:rPr>
                <w:rFonts w:ascii="Times New Roman" w:hAnsi="Times New Roman"/>
                <w:color w:val="000000"/>
                <w:sz w:val="20"/>
              </w:rPr>
            </w:pPr>
            <w:r>
              <w:rPr>
                <w:sz w:val="20"/>
              </w:rPr>
              <w:t>18.4 ± 0.5</w:t>
            </w:r>
          </w:p>
        </w:tc>
        <w:tc>
          <w:tcPr>
            <w:tcW w:w="1440" w:type="dxa"/>
          </w:tcPr>
          <w:p w14:paraId="0AD80754" w14:textId="77777777" w:rsidR="00FA0CDB" w:rsidRPr="00C634FF" w:rsidRDefault="00FA0CDB" w:rsidP="00FA0CDB">
            <w:pPr>
              <w:pStyle w:val="TCTableBody"/>
              <w:jc w:val="center"/>
              <w:rPr>
                <w:rFonts w:ascii="Times New Roman" w:hAnsi="Times New Roman"/>
                <w:color w:val="000000"/>
                <w:sz w:val="20"/>
              </w:rPr>
            </w:pPr>
            <w:r>
              <w:rPr>
                <w:sz w:val="20"/>
              </w:rPr>
              <w:t>12.7 ± 0.3</w:t>
            </w:r>
          </w:p>
        </w:tc>
        <w:tc>
          <w:tcPr>
            <w:tcW w:w="1260" w:type="dxa"/>
          </w:tcPr>
          <w:p w14:paraId="1C9DE3C1" w14:textId="77777777" w:rsidR="00FA0CDB" w:rsidRPr="00C634FF" w:rsidRDefault="00FA0CDB" w:rsidP="00FA0CDB">
            <w:pPr>
              <w:pStyle w:val="TCTableBody"/>
              <w:jc w:val="center"/>
              <w:rPr>
                <w:rFonts w:ascii="Times New Roman" w:hAnsi="Times New Roman"/>
                <w:color w:val="000000"/>
                <w:sz w:val="20"/>
              </w:rPr>
            </w:pPr>
            <w:r>
              <w:rPr>
                <w:sz w:val="20"/>
              </w:rPr>
              <w:t>3.89 ± 0.29</w:t>
            </w:r>
          </w:p>
        </w:tc>
        <w:tc>
          <w:tcPr>
            <w:tcW w:w="1260" w:type="dxa"/>
          </w:tcPr>
          <w:p w14:paraId="70372C77" w14:textId="77777777" w:rsidR="00FA0CDB" w:rsidRPr="00C634FF" w:rsidRDefault="00FA0CDB" w:rsidP="00FA0CDB">
            <w:pPr>
              <w:pStyle w:val="TCTableBody"/>
              <w:jc w:val="center"/>
              <w:rPr>
                <w:rFonts w:ascii="Times New Roman" w:hAnsi="Times New Roman"/>
                <w:b/>
                <w:bCs/>
                <w:color w:val="000000"/>
                <w:sz w:val="20"/>
              </w:rPr>
            </w:pPr>
            <w:r>
              <w:rPr>
                <w:sz w:val="20"/>
              </w:rPr>
              <w:t>6.31 ± 0.23</w:t>
            </w:r>
          </w:p>
        </w:tc>
        <w:tc>
          <w:tcPr>
            <w:tcW w:w="1170" w:type="dxa"/>
          </w:tcPr>
          <w:p w14:paraId="0FB1CAC4" w14:textId="77777777" w:rsidR="00FA0CDB" w:rsidRPr="00C634FF" w:rsidRDefault="00FA0CDB" w:rsidP="00FA0CDB">
            <w:pPr>
              <w:pStyle w:val="TCTableBody"/>
              <w:jc w:val="center"/>
              <w:rPr>
                <w:rFonts w:ascii="Times New Roman" w:hAnsi="Times New Roman"/>
                <w:b/>
                <w:bCs/>
                <w:color w:val="000000"/>
                <w:sz w:val="20"/>
              </w:rPr>
            </w:pPr>
            <w:r>
              <w:rPr>
                <w:sz w:val="20"/>
              </w:rPr>
              <w:t>3.38 ± 0.02</w:t>
            </w:r>
          </w:p>
        </w:tc>
        <w:tc>
          <w:tcPr>
            <w:tcW w:w="990" w:type="dxa"/>
          </w:tcPr>
          <w:p w14:paraId="32BC8C82" w14:textId="77777777" w:rsidR="00FA0CDB" w:rsidRPr="00C634FF" w:rsidRDefault="00FA0CDB" w:rsidP="00FA0CDB">
            <w:pPr>
              <w:pStyle w:val="TCTableBody"/>
              <w:jc w:val="center"/>
              <w:rPr>
                <w:rFonts w:ascii="Times New Roman" w:hAnsi="Times New Roman"/>
                <w:b/>
                <w:bCs/>
                <w:color w:val="000000"/>
                <w:sz w:val="20"/>
              </w:rPr>
            </w:pPr>
            <w:r>
              <w:rPr>
                <w:sz w:val="20"/>
              </w:rPr>
              <w:t>17.8 ± 0.4</w:t>
            </w:r>
          </w:p>
        </w:tc>
        <w:tc>
          <w:tcPr>
            <w:tcW w:w="990" w:type="dxa"/>
          </w:tcPr>
          <w:p w14:paraId="06671FC3" w14:textId="77777777" w:rsidR="00FA0CDB" w:rsidRPr="00C634FF" w:rsidRDefault="00FA0CDB" w:rsidP="00FA0CDB">
            <w:pPr>
              <w:pStyle w:val="TCTableBody"/>
              <w:jc w:val="center"/>
              <w:rPr>
                <w:rFonts w:ascii="Times New Roman" w:hAnsi="Times New Roman"/>
                <w:b/>
                <w:bCs/>
                <w:color w:val="000000"/>
                <w:sz w:val="20"/>
              </w:rPr>
            </w:pPr>
            <w:r>
              <w:rPr>
                <w:sz w:val="20"/>
              </w:rPr>
              <w:t>229.9 ± 6.9</w:t>
            </w:r>
          </w:p>
        </w:tc>
      </w:tr>
      <w:tr w:rsidR="00FA0CDB" w:rsidRPr="00C634FF" w14:paraId="10D65785" w14:textId="77777777" w:rsidTr="00453EE8">
        <w:trPr>
          <w:trHeight w:val="350"/>
        </w:trPr>
        <w:tc>
          <w:tcPr>
            <w:tcW w:w="895" w:type="dxa"/>
            <w:vMerge/>
            <w:hideMark/>
          </w:tcPr>
          <w:p w14:paraId="7B39137A"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57AD1A18" w14:textId="77777777" w:rsidR="00FA0CDB" w:rsidRPr="00C634FF" w:rsidRDefault="00FA0CDB" w:rsidP="00FA0CDB">
            <w:pPr>
              <w:pStyle w:val="TCTableBody"/>
              <w:jc w:val="center"/>
              <w:rPr>
                <w:rFonts w:ascii="Times New Roman" w:hAnsi="Times New Roman"/>
                <w:color w:val="000000"/>
                <w:sz w:val="20"/>
              </w:rPr>
            </w:pPr>
            <w:r>
              <w:rPr>
                <w:sz w:val="20"/>
              </w:rPr>
              <w:t>K103N + P225H</w:t>
            </w:r>
          </w:p>
        </w:tc>
        <w:tc>
          <w:tcPr>
            <w:tcW w:w="1260" w:type="dxa"/>
            <w:hideMark/>
          </w:tcPr>
          <w:p w14:paraId="26CEDE6A" w14:textId="77777777" w:rsidR="00FA0CDB" w:rsidRPr="00C634FF" w:rsidRDefault="00FA0CDB" w:rsidP="00FA0CDB">
            <w:pPr>
              <w:pStyle w:val="TCTableBody"/>
              <w:jc w:val="center"/>
              <w:rPr>
                <w:rFonts w:ascii="Times New Roman" w:hAnsi="Times New Roman"/>
                <w:color w:val="000000"/>
                <w:sz w:val="20"/>
              </w:rPr>
            </w:pPr>
            <w:r>
              <w:rPr>
                <w:sz w:val="20"/>
              </w:rPr>
              <w:t>3.10 ± 0.02</w:t>
            </w:r>
          </w:p>
        </w:tc>
        <w:tc>
          <w:tcPr>
            <w:tcW w:w="1260" w:type="dxa"/>
            <w:hideMark/>
          </w:tcPr>
          <w:p w14:paraId="69375E39" w14:textId="77777777" w:rsidR="00FA0CDB" w:rsidRPr="00C634FF" w:rsidRDefault="00FA0CDB" w:rsidP="00FA0CDB">
            <w:pPr>
              <w:pStyle w:val="TCTableBody"/>
              <w:jc w:val="center"/>
              <w:rPr>
                <w:rFonts w:ascii="Times New Roman" w:hAnsi="Times New Roman"/>
                <w:color w:val="000000"/>
                <w:sz w:val="20"/>
              </w:rPr>
            </w:pPr>
            <w:r>
              <w:rPr>
                <w:sz w:val="20"/>
              </w:rPr>
              <w:t>5.06 ± 0.14</w:t>
            </w:r>
          </w:p>
        </w:tc>
        <w:tc>
          <w:tcPr>
            <w:tcW w:w="1530" w:type="dxa"/>
            <w:hideMark/>
          </w:tcPr>
          <w:p w14:paraId="0C26A91F" w14:textId="77777777" w:rsidR="00FA0CDB" w:rsidRPr="00C634FF" w:rsidRDefault="00FA0CDB" w:rsidP="00FA0CDB">
            <w:pPr>
              <w:pStyle w:val="TCTableBody"/>
              <w:jc w:val="center"/>
              <w:rPr>
                <w:rFonts w:ascii="Times New Roman" w:hAnsi="Times New Roman"/>
                <w:color w:val="000000"/>
                <w:sz w:val="20"/>
              </w:rPr>
            </w:pPr>
            <w:r>
              <w:rPr>
                <w:sz w:val="20"/>
              </w:rPr>
              <w:t>18.3 ± 0.6</w:t>
            </w:r>
          </w:p>
        </w:tc>
        <w:tc>
          <w:tcPr>
            <w:tcW w:w="1440" w:type="dxa"/>
          </w:tcPr>
          <w:p w14:paraId="4232B9C4" w14:textId="77777777" w:rsidR="00FA0CDB" w:rsidRPr="00C634FF" w:rsidRDefault="00FA0CDB" w:rsidP="00FA0CDB">
            <w:pPr>
              <w:pStyle w:val="TCTableBody"/>
              <w:jc w:val="center"/>
              <w:rPr>
                <w:rFonts w:ascii="Times New Roman" w:hAnsi="Times New Roman"/>
                <w:sz w:val="20"/>
              </w:rPr>
            </w:pPr>
            <w:r>
              <w:rPr>
                <w:sz w:val="20"/>
              </w:rPr>
              <w:t>15.5 ± 3.0</w:t>
            </w:r>
          </w:p>
        </w:tc>
        <w:tc>
          <w:tcPr>
            <w:tcW w:w="1260" w:type="dxa"/>
          </w:tcPr>
          <w:p w14:paraId="2F0D7430" w14:textId="77777777" w:rsidR="00FA0CDB" w:rsidRPr="00C634FF" w:rsidRDefault="00FA0CDB" w:rsidP="00FA0CDB">
            <w:pPr>
              <w:pStyle w:val="TCTableBody"/>
              <w:jc w:val="center"/>
              <w:rPr>
                <w:rFonts w:ascii="Times New Roman" w:hAnsi="Times New Roman"/>
                <w:sz w:val="20"/>
              </w:rPr>
            </w:pPr>
            <w:r>
              <w:rPr>
                <w:sz w:val="20"/>
              </w:rPr>
              <w:t>3.71 ± 0.08</w:t>
            </w:r>
          </w:p>
        </w:tc>
        <w:tc>
          <w:tcPr>
            <w:tcW w:w="1260" w:type="dxa"/>
          </w:tcPr>
          <w:p w14:paraId="322F2310" w14:textId="77777777" w:rsidR="00FA0CDB" w:rsidRPr="00C634FF" w:rsidRDefault="00FA0CDB" w:rsidP="00FA0CDB">
            <w:pPr>
              <w:pStyle w:val="TCTableBody"/>
              <w:jc w:val="center"/>
              <w:rPr>
                <w:rFonts w:ascii="Times New Roman" w:hAnsi="Times New Roman"/>
                <w:b/>
                <w:bCs/>
                <w:color w:val="000000"/>
                <w:sz w:val="20"/>
              </w:rPr>
            </w:pPr>
            <w:r>
              <w:rPr>
                <w:sz w:val="20"/>
              </w:rPr>
              <w:t>6.37 ± 0.15</w:t>
            </w:r>
          </w:p>
        </w:tc>
        <w:tc>
          <w:tcPr>
            <w:tcW w:w="1170" w:type="dxa"/>
          </w:tcPr>
          <w:p w14:paraId="5560FD8B" w14:textId="77777777" w:rsidR="00FA0CDB" w:rsidRPr="00C634FF" w:rsidRDefault="00FA0CDB" w:rsidP="00FA0CDB">
            <w:pPr>
              <w:pStyle w:val="TCTableBody"/>
              <w:jc w:val="center"/>
              <w:rPr>
                <w:rFonts w:ascii="Times New Roman" w:hAnsi="Times New Roman"/>
                <w:b/>
                <w:bCs/>
                <w:color w:val="000000"/>
                <w:sz w:val="20"/>
              </w:rPr>
            </w:pPr>
            <w:r>
              <w:rPr>
                <w:sz w:val="20"/>
              </w:rPr>
              <w:t>3.34 ± 0.09</w:t>
            </w:r>
          </w:p>
        </w:tc>
        <w:tc>
          <w:tcPr>
            <w:tcW w:w="990" w:type="dxa"/>
          </w:tcPr>
          <w:p w14:paraId="04EBAA72" w14:textId="77777777" w:rsidR="00FA0CDB" w:rsidRPr="00C634FF" w:rsidRDefault="00FA0CDB" w:rsidP="00FA0CDB">
            <w:pPr>
              <w:pStyle w:val="TCTableBody"/>
              <w:jc w:val="center"/>
              <w:rPr>
                <w:rFonts w:ascii="Times New Roman" w:hAnsi="Times New Roman"/>
                <w:b/>
                <w:bCs/>
                <w:color w:val="000000"/>
                <w:sz w:val="20"/>
              </w:rPr>
            </w:pPr>
            <w:r>
              <w:rPr>
                <w:sz w:val="20"/>
              </w:rPr>
              <w:t>15.7 ± 0.5</w:t>
            </w:r>
          </w:p>
        </w:tc>
        <w:tc>
          <w:tcPr>
            <w:tcW w:w="990" w:type="dxa"/>
          </w:tcPr>
          <w:p w14:paraId="5FF68EEF" w14:textId="77777777" w:rsidR="00FA0CDB" w:rsidRPr="00C634FF" w:rsidRDefault="00FA0CDB" w:rsidP="00FA0CDB">
            <w:pPr>
              <w:pStyle w:val="TCTableBody"/>
              <w:jc w:val="center"/>
              <w:rPr>
                <w:rFonts w:ascii="Times New Roman" w:hAnsi="Times New Roman"/>
                <w:b/>
                <w:bCs/>
                <w:color w:val="000000"/>
                <w:sz w:val="20"/>
              </w:rPr>
            </w:pPr>
            <w:r>
              <w:rPr>
                <w:sz w:val="20"/>
              </w:rPr>
              <w:t>239.7 ± 11.5</w:t>
            </w:r>
          </w:p>
        </w:tc>
      </w:tr>
      <w:tr w:rsidR="00FA0CDB" w:rsidRPr="00C634FF" w14:paraId="20FE7C27" w14:textId="77777777" w:rsidTr="00453EE8">
        <w:trPr>
          <w:trHeight w:val="350"/>
        </w:trPr>
        <w:tc>
          <w:tcPr>
            <w:tcW w:w="895" w:type="dxa"/>
            <w:vMerge/>
          </w:tcPr>
          <w:p w14:paraId="09E843FD" w14:textId="77777777" w:rsidR="00FA0CDB" w:rsidRPr="00C634FF" w:rsidRDefault="00FA0CDB" w:rsidP="00FA0CDB">
            <w:pPr>
              <w:spacing w:line="480" w:lineRule="auto"/>
              <w:rPr>
                <w:rFonts w:ascii="Times New Roman" w:hAnsi="Times New Roman"/>
                <w:color w:val="000000"/>
                <w:sz w:val="20"/>
              </w:rPr>
            </w:pPr>
          </w:p>
        </w:tc>
        <w:tc>
          <w:tcPr>
            <w:tcW w:w="810" w:type="dxa"/>
          </w:tcPr>
          <w:p w14:paraId="2E84FD01" w14:textId="77777777" w:rsidR="00FA0CDB" w:rsidRPr="00C634FF" w:rsidRDefault="00FA0CDB" w:rsidP="00FA0CDB">
            <w:pPr>
              <w:pStyle w:val="TCTableBody"/>
              <w:jc w:val="center"/>
              <w:rPr>
                <w:rFonts w:ascii="Times New Roman" w:hAnsi="Times New Roman"/>
                <w:sz w:val="20"/>
              </w:rPr>
            </w:pPr>
            <w:r>
              <w:rPr>
                <w:sz w:val="20"/>
              </w:rPr>
              <w:t>G190E</w:t>
            </w:r>
          </w:p>
        </w:tc>
        <w:tc>
          <w:tcPr>
            <w:tcW w:w="1260" w:type="dxa"/>
          </w:tcPr>
          <w:p w14:paraId="3EEADCC4" w14:textId="77777777" w:rsidR="00FA0CDB" w:rsidRPr="00C634FF" w:rsidRDefault="00FA0CDB" w:rsidP="00FA0CDB">
            <w:pPr>
              <w:pStyle w:val="TCTableBody"/>
              <w:jc w:val="center"/>
              <w:rPr>
                <w:rFonts w:ascii="Times New Roman" w:hAnsi="Times New Roman"/>
                <w:sz w:val="20"/>
              </w:rPr>
            </w:pPr>
            <w:r>
              <w:rPr>
                <w:sz w:val="20"/>
              </w:rPr>
              <w:t>3.17 ± 0.09</w:t>
            </w:r>
          </w:p>
        </w:tc>
        <w:tc>
          <w:tcPr>
            <w:tcW w:w="1260" w:type="dxa"/>
          </w:tcPr>
          <w:p w14:paraId="53241708" w14:textId="77777777" w:rsidR="00FA0CDB" w:rsidRPr="00C634FF" w:rsidRDefault="00FA0CDB" w:rsidP="00FA0CDB">
            <w:pPr>
              <w:pStyle w:val="TCTableBody"/>
              <w:jc w:val="center"/>
              <w:rPr>
                <w:rFonts w:ascii="Times New Roman" w:hAnsi="Times New Roman"/>
                <w:sz w:val="20"/>
              </w:rPr>
            </w:pPr>
            <w:r>
              <w:rPr>
                <w:sz w:val="20"/>
              </w:rPr>
              <w:t>8.63 ± 0.16</w:t>
            </w:r>
          </w:p>
        </w:tc>
        <w:tc>
          <w:tcPr>
            <w:tcW w:w="1530" w:type="dxa"/>
          </w:tcPr>
          <w:p w14:paraId="2A9460DA" w14:textId="77777777" w:rsidR="00FA0CDB" w:rsidRPr="00C634FF" w:rsidRDefault="00FA0CDB" w:rsidP="00FA0CDB">
            <w:pPr>
              <w:pStyle w:val="TCTableBody"/>
              <w:jc w:val="center"/>
              <w:rPr>
                <w:rFonts w:ascii="Times New Roman" w:hAnsi="Times New Roman"/>
                <w:sz w:val="20"/>
              </w:rPr>
            </w:pPr>
            <w:r>
              <w:rPr>
                <w:sz w:val="20"/>
              </w:rPr>
              <w:t>22.7 ± 2.0</w:t>
            </w:r>
          </w:p>
        </w:tc>
        <w:tc>
          <w:tcPr>
            <w:tcW w:w="1440" w:type="dxa"/>
          </w:tcPr>
          <w:p w14:paraId="195467F6" w14:textId="77777777" w:rsidR="00FA0CDB" w:rsidRPr="00C634FF" w:rsidRDefault="00FA0CDB" w:rsidP="00FA0CDB">
            <w:pPr>
              <w:pStyle w:val="TCTableBody"/>
              <w:jc w:val="center"/>
              <w:rPr>
                <w:rFonts w:ascii="Times New Roman" w:hAnsi="Times New Roman"/>
                <w:sz w:val="20"/>
              </w:rPr>
            </w:pPr>
            <w:r>
              <w:rPr>
                <w:sz w:val="20"/>
              </w:rPr>
              <w:t>12.0 ± 0.9</w:t>
            </w:r>
          </w:p>
        </w:tc>
        <w:tc>
          <w:tcPr>
            <w:tcW w:w="1260" w:type="dxa"/>
          </w:tcPr>
          <w:p w14:paraId="5624F6E6" w14:textId="77777777" w:rsidR="00FA0CDB" w:rsidRPr="00C634FF" w:rsidRDefault="00FA0CDB" w:rsidP="00FA0CDB">
            <w:pPr>
              <w:pStyle w:val="TCTableBody"/>
              <w:jc w:val="center"/>
              <w:rPr>
                <w:rFonts w:ascii="Times New Roman" w:hAnsi="Times New Roman"/>
                <w:sz w:val="20"/>
              </w:rPr>
            </w:pPr>
            <w:r>
              <w:rPr>
                <w:sz w:val="20"/>
              </w:rPr>
              <w:t>6.47 ± 0.44</w:t>
            </w:r>
          </w:p>
        </w:tc>
        <w:tc>
          <w:tcPr>
            <w:tcW w:w="1260" w:type="dxa"/>
          </w:tcPr>
          <w:p w14:paraId="6320A7AD" w14:textId="77777777" w:rsidR="00FA0CDB" w:rsidRPr="00C634FF" w:rsidRDefault="00FA0CDB" w:rsidP="00FA0CDB">
            <w:pPr>
              <w:pStyle w:val="TCTableBody"/>
              <w:jc w:val="center"/>
              <w:rPr>
                <w:rFonts w:ascii="Times New Roman" w:hAnsi="Times New Roman"/>
                <w:b/>
                <w:bCs/>
                <w:color w:val="000000"/>
                <w:sz w:val="20"/>
              </w:rPr>
            </w:pPr>
            <w:r>
              <w:rPr>
                <w:sz w:val="20"/>
              </w:rPr>
              <w:t>5.70 ± 0.45</w:t>
            </w:r>
          </w:p>
        </w:tc>
        <w:tc>
          <w:tcPr>
            <w:tcW w:w="1170" w:type="dxa"/>
          </w:tcPr>
          <w:p w14:paraId="76CD74AE" w14:textId="77777777" w:rsidR="00FA0CDB" w:rsidRPr="00C634FF" w:rsidRDefault="00FA0CDB" w:rsidP="00FA0CDB">
            <w:pPr>
              <w:pStyle w:val="TCTableBody"/>
              <w:jc w:val="center"/>
              <w:rPr>
                <w:rFonts w:ascii="Times New Roman" w:hAnsi="Times New Roman"/>
                <w:b/>
                <w:bCs/>
                <w:color w:val="000000"/>
                <w:sz w:val="20"/>
              </w:rPr>
            </w:pPr>
            <w:r>
              <w:rPr>
                <w:sz w:val="20"/>
              </w:rPr>
              <w:t>2.92 ± 0.24</w:t>
            </w:r>
          </w:p>
        </w:tc>
        <w:tc>
          <w:tcPr>
            <w:tcW w:w="990" w:type="dxa"/>
          </w:tcPr>
          <w:p w14:paraId="43023970" w14:textId="77777777" w:rsidR="00FA0CDB" w:rsidRPr="00C634FF" w:rsidRDefault="00FA0CDB" w:rsidP="00FA0CDB">
            <w:pPr>
              <w:pStyle w:val="TCTableBody"/>
              <w:jc w:val="center"/>
              <w:rPr>
                <w:rFonts w:ascii="Times New Roman" w:hAnsi="Times New Roman"/>
                <w:b/>
                <w:bCs/>
                <w:color w:val="000000"/>
                <w:sz w:val="20"/>
              </w:rPr>
            </w:pPr>
            <w:r>
              <w:rPr>
                <w:sz w:val="20"/>
              </w:rPr>
              <w:t>17.3 ± 2.7</w:t>
            </w:r>
          </w:p>
        </w:tc>
        <w:tc>
          <w:tcPr>
            <w:tcW w:w="990" w:type="dxa"/>
          </w:tcPr>
          <w:p w14:paraId="47624BB0" w14:textId="77777777" w:rsidR="00FA0CDB" w:rsidRPr="00C634FF" w:rsidRDefault="00FA0CDB" w:rsidP="00FA0CDB">
            <w:pPr>
              <w:pStyle w:val="TCTableBody"/>
              <w:jc w:val="center"/>
              <w:rPr>
                <w:rFonts w:ascii="Times New Roman" w:hAnsi="Times New Roman"/>
                <w:b/>
                <w:bCs/>
                <w:color w:val="000000"/>
                <w:sz w:val="20"/>
              </w:rPr>
            </w:pPr>
            <w:r>
              <w:rPr>
                <w:sz w:val="20"/>
              </w:rPr>
              <w:t>284.3 ± 3.2</w:t>
            </w:r>
          </w:p>
        </w:tc>
      </w:tr>
    </w:tbl>
    <w:p w14:paraId="5DED9625" w14:textId="77777777" w:rsidR="004240A7" w:rsidRPr="00C634FF" w:rsidRDefault="009F24E2" w:rsidP="00007567">
      <w:pPr>
        <w:pStyle w:val="TAMainText"/>
        <w:spacing w:after="240"/>
        <w:rPr>
          <w:rFonts w:ascii="Times New Roman" w:hAnsi="Times New Roman"/>
          <w:b/>
          <w:bCs/>
          <w:noProof/>
          <w:sz w:val="20"/>
        </w:rPr>
      </w:pPr>
      <w:r>
        <w:rPr>
          <w:sz w:val="20"/>
        </w:rPr>
        <w:t>*Loss of tyrosine sidechain precludes calculation of ring stacking angle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0CEBAA26" w14:textId="31FDE218"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580E0E">
        <w:instrText xml:space="preserve"> ADDIN ZOTERO_ITEM CSL_CITATION {"citationID":"YsIGJLYx","properties":{"unsorted":true,"formattedCitation":"\\super 60\\uc0\\u8211{}62\\nosupersub{}","plainCitation":"60</w:instrText>
      </w:r>
      <w:r w:rsidR="00580E0E">
        <w:rPr>
          <w:rFonts w:hint="eastAsia"/>
        </w:rPr>
        <w:instrText>–</w:instrText>
      </w:r>
      <w:r w:rsidR="00580E0E">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580E0E">
        <w:rPr>
          <w:rFonts w:hint="eastAsia"/>
        </w:rPr>
        <w:instrText>Δ</w:instrText>
      </w:r>
      <w:r w:rsidR="00580E0E">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580E0E">
        <w:rPr>
          <w:rFonts w:hint="eastAsia"/>
        </w:rPr>
        <w:instrText>ΔΔ</w:instrText>
      </w:r>
      <w:r w:rsidR="00580E0E">
        <w:instrText>Ecoul for R292K-wildtype at position 292 parallel the change in experimental fold resistance energies (</w:instrText>
      </w:r>
      <w:r w:rsidR="00580E0E">
        <w:rPr>
          <w:rFonts w:hint="eastAsia"/>
        </w:rPr>
        <w:instrText>ΔΔ</w:instrText>
      </w:r>
      <w:r w:rsidR="00580E0E">
        <w:instrText xml:space="preserve">GR292K-WT) with S03 &amp;lt; S00 &amp;lt; S02 &amp;lt; S01. The footprints also reveal that the most potent ligands have (1) less reliance on R292 for intrinsic affinity, (2) enhanced binding via residues E119, E227, and E277, and (3) flatter </w:instrText>
      </w:r>
      <w:r w:rsidR="00580E0E">
        <w:rPr>
          <w:rFonts w:hint="eastAsia"/>
        </w:rPr>
        <w:instrText>Δ</w:instrText>
      </w:r>
      <w:r w:rsidR="00580E0E">
        <w:instrText xml:space="preserve">Ecoul and </w:instrText>
      </w:r>
      <w:r w:rsidR="00580E0E">
        <w:rPr>
          <w:rFonts w:hint="eastAsia"/>
        </w:rPr>
        <w:instrText>Δ</w:instrText>
      </w:r>
      <w:r w:rsidR="00580E0E">
        <w:instrText>H-bond profiles. Improved resistance for S03 appears to be a function of the ligand</w:instrText>
      </w:r>
      <w:r w:rsidR="00580E0E">
        <w:rPr>
          <w:rFonts w:hint="eastAsia"/>
        </w:rPr>
        <w:instrText>’</w:instrText>
      </w:r>
      <w:r w:rsidR="00580E0E">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580E0E">
        <w:rPr>
          <w:rFonts w:hint="eastAsia"/>
        </w:rPr>
        <w:instrText>µ</w:instrText>
      </w:r>
      <w:r w:rsidR="00580E0E">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580E0E">
        <w:rPr>
          <w:rFonts w:hint="eastAsia"/>
        </w:rPr>
        <w:instrText>’</w:instrText>
      </w:r>
      <w:r w:rsidR="00580E0E">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580E0E" w:rsidRPr="00580E0E">
        <w:rPr>
          <w:rFonts w:cs="Mangal"/>
          <w:szCs w:val="24"/>
          <w:vertAlign w:val="superscript"/>
          <w:lang w:bidi="hi-IN"/>
        </w:rPr>
        <w:t>60–62</w:t>
      </w:r>
      <w:r>
        <w:fldChar w:fldCharType="end"/>
      </w:r>
      <w:r>
        <w:t xml:space="preserve"> including HIV,</w:t>
      </w:r>
      <w:r>
        <w:fldChar w:fldCharType="begin"/>
      </w:r>
      <w:r w:rsidR="00580E0E">
        <w:instrText xml:space="preserve"> ADDIN ZOTERO_ITEM CSL_CITATION {"citationID":"FwFMZHUY","properties":{"unsorted":true,"formattedCitation":"\\super 26,63\\uc0\\u8211{}67\\nosupersub{}","plainCitation":"26,63</w:instrText>
      </w:r>
      <w:r w:rsidR="00580E0E">
        <w:rPr>
          <w:rFonts w:hint="eastAsia"/>
        </w:rPr>
        <w:instrText>–</w:instrText>
      </w:r>
      <w:r w:rsidR="00580E0E">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580E0E">
        <w:rPr>
          <w:rFonts w:hint="eastAsia"/>
        </w:rPr>
        <w:instrText>ć</w:instrText>
      </w:r>
      <w:r w:rsidR="00580E0E">
        <w:instrText xml:space="preserve">","given":"Marina"},{"family":"Tirado-Rives","given":"Julian"},{"family":"Jorgensen","given":"William L."}],"issued":{"date-parts":[["2004",3,20]]}}},{"id":267,"uris":["http://zotero.org/users/19404620/items/FLDCEDH2"],"itemData":{"id":267,"type":"article-journal","abstract":"Darunavir (DRV) is a high affinity (4.5 </w:instrText>
      </w:r>
      <w:r w:rsidR="00580E0E">
        <w:rPr>
          <w:rFonts w:hint="eastAsia"/>
        </w:rPr>
        <w:instrText>×</w:instrText>
      </w:r>
      <w:r w:rsidR="00580E0E">
        <w:instrText xml:space="preserve"> 10−12 M, </w:instrText>
      </w:r>
      <w:r w:rsidR="00580E0E">
        <w:rPr>
          <w:rFonts w:hint="eastAsia"/>
        </w:rPr>
        <w:instrText>Δ</w:instrText>
      </w:r>
      <w:r w:rsidR="00580E0E">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580E0E">
        <w:rPr>
          <w:rFonts w:hint="eastAsia"/>
        </w:rPr>
        <w:instrText>Δ</w:instrText>
      </w:r>
      <w:r w:rsidR="00580E0E">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580E0E">
        <w:rPr>
          <w:rFonts w:hint="eastAsia"/>
        </w:rPr>
        <w:instrText>’</w:instrText>
      </w:r>
      <w:r w:rsidR="00580E0E">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580E0E">
        <w:rPr>
          <w:rFonts w:hint="eastAsia"/>
        </w:rPr>
        <w:instrText>Å</w:instrText>
      </w:r>
      <w:r w:rsidR="00580E0E">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580E0E" w:rsidRPr="00580E0E">
        <w:rPr>
          <w:rFonts w:cs="Mangal"/>
          <w:szCs w:val="24"/>
          <w:vertAlign w:val="superscript"/>
          <w:lang w:bidi="hi-IN"/>
        </w:rPr>
        <w:t>26,63–67</w:t>
      </w:r>
      <w:r>
        <w:fldChar w:fldCharType="end"/>
      </w:r>
      <w:r>
        <w:t xml:space="preserve"> and cancer.</w:t>
      </w:r>
      <w:r>
        <w:fldChar w:fldCharType="begin"/>
      </w:r>
      <w:r w:rsidR="00580E0E">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580E0E" w:rsidRPr="00580E0E">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rsidR="00580E0E">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580E0E">
        <w:rPr>
          <w:rFonts w:ascii="Cambria Math" w:hAnsi="Cambria Math" w:cs="Cambria Math"/>
        </w:rPr>
        <w:instrText>∼</w:instrText>
      </w:r>
      <w:r w:rsidR="00580E0E">
        <w:instrText>5</w:instrText>
      </w:r>
      <w:r w:rsidR="00580E0E">
        <w:rPr>
          <w:rFonts w:hint="eastAsia"/>
        </w:rPr>
        <w:instrText>×</w:instrText>
      </w:r>
      <w:r w:rsidR="00580E0E">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580E0E">
        <w:rPr>
          <w:rFonts w:hint="eastAsia"/>
        </w:rPr>
        <w:instrText>ö</w:instrText>
      </w:r>
      <w:r w:rsidR="00580E0E">
        <w:instrText>se","given":"Dietrich"},{"family":"Buchstaller","given":"Hans-Peter"},{"family":"Burgdorf","given":"Lars"},{"family":"Cappel","given":"Daniel"},{"family":"Chekler","given":"Eugene"},{"family":"Czodrowski","given":"Paul"},{"family":"Dorsch","given":"Dieter"},{"family":"Eguida","given":"Merveille K. I."},{"family":"Follows","given":"Bruce"},{"family":"Fuch</w:instrText>
      </w:r>
      <w:r w:rsidR="00580E0E">
        <w:rPr>
          <w:rFonts w:hint="eastAsia"/>
        </w:rPr>
        <w:instrText>ß</w:instrText>
      </w:r>
      <w:r w:rsidR="00580E0E">
        <w:instrText>","given":"Thomas"},{"family":"Gr</w:instrText>
      </w:r>
      <w:r w:rsidR="00580E0E">
        <w:rPr>
          <w:rFonts w:hint="eastAsia"/>
        </w:rPr>
        <w:instrText>ä</w:instrText>
      </w:r>
      <w:r w:rsidR="00580E0E">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580E0E" w:rsidRPr="00580E0E">
        <w:rPr>
          <w:rFonts w:cs="Mangal"/>
          <w:szCs w:val="24"/>
          <w:vertAlign w:val="superscript"/>
          <w:lang w:bidi="hi-IN"/>
        </w:rPr>
        <w:t>70,71</w:t>
      </w:r>
      <w:r>
        <w:fldChar w:fldCharType="end"/>
      </w:r>
    </w:p>
    <w:p w14:paraId="47EB1EE3"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616038A6" w14:textId="3ACD613E"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580E0E">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580E0E">
        <w:rPr>
          <w:rFonts w:hint="eastAsia"/>
        </w:rPr>
        <w:instrText>π–π</w:instrText>
      </w:r>
      <w:r w:rsidR="00580E0E">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580E0E">
        <w:rPr>
          <w:rFonts w:hint="eastAsia"/>
        </w:rPr>
        <w:instrText>Å</w:instrText>
      </w:r>
      <w:r w:rsidR="00580E0E">
        <w:instrText xml:space="preserve">, Tyr181Cys RT (efavirenz) to 2.6 </w:instrText>
      </w:r>
      <w:r w:rsidR="00580E0E">
        <w:rPr>
          <w:rFonts w:hint="eastAsia"/>
        </w:rPr>
        <w:instrText>Å</w:instrText>
      </w:r>
      <w:r w:rsidR="00580E0E">
        <w:instrText xml:space="preserve">, Tyr181Cys RT (nevirapine) to 3.0 </w:instrText>
      </w:r>
      <w:r w:rsidR="00580E0E">
        <w:rPr>
          <w:rFonts w:hint="eastAsia"/>
        </w:rPr>
        <w:instrText>Å</w:instrText>
      </w:r>
      <w:r w:rsidR="00580E0E">
        <w:instrText xml:space="preserve">, Tyr181Cys RT (PETT-2) to 3.0 </w:instrText>
      </w:r>
      <w:r w:rsidR="00580E0E">
        <w:rPr>
          <w:rFonts w:hint="eastAsia"/>
        </w:rPr>
        <w:instrText>Å</w:instrText>
      </w:r>
      <w:r w:rsidR="00580E0E">
        <w:instrText xml:space="preserve">, Tyr188Cys RT (nevirapine) to 2.6 </w:instrText>
      </w:r>
      <w:r w:rsidR="00580E0E">
        <w:rPr>
          <w:rFonts w:hint="eastAsia"/>
        </w:rPr>
        <w:instrText>Å</w:instrText>
      </w:r>
      <w:r w:rsidR="00580E0E">
        <w:instrText xml:space="preserve">, Tyr188Cys RT (UC-781) to 2.6 </w:instrText>
      </w:r>
      <w:r w:rsidR="00580E0E">
        <w:rPr>
          <w:rFonts w:hint="eastAsia"/>
        </w:rPr>
        <w:instrText>Å</w:instrText>
      </w:r>
      <w:r w:rsidR="00580E0E">
        <w:instrText xml:space="preserve"> and Tyr188Cys RT (unliganded) to 2.8 </w:instrText>
      </w:r>
      <w:r w:rsidR="00580E0E">
        <w:rPr>
          <w:rFonts w:hint="eastAsia"/>
        </w:rPr>
        <w:instrText>Å</w:instrText>
      </w:r>
      <w:r w:rsidR="00580E0E">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580E0E" w:rsidRPr="00580E0E">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rsidR="008A2546">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436A294C" w14:textId="563A9F99"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rsidR="00580E0E">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580E0E" w:rsidRPr="00580E0E">
        <w:rPr>
          <w:rFonts w:cs="Mangal"/>
          <w:szCs w:val="24"/>
          <w:vertAlign w:val="superscript"/>
          <w:lang w:bidi="hi-IN"/>
        </w:rPr>
        <w:t>73</w:t>
      </w:r>
      <w:r>
        <w:fldChar w:fldCharType="end"/>
      </w:r>
      <w:r>
        <w:t xml:space="preserve"> so it is possible that the mechanism of DOR resistance associated with G190E may not be a binding effect.</w:t>
      </w:r>
    </w:p>
    <w:p w14:paraId="5ABF1F26" w14:textId="0F6CCAF5"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580E0E">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580E0E">
        <w:rPr>
          <w:rFonts w:hint="eastAsia"/>
        </w:rPr>
        <w:instrText>–</w:instrText>
      </w:r>
      <w:r w:rsidR="00580E0E">
        <w:instrText>inhibitor complexes. Val108 does not have direct contact with nevirapine in wild-type RT and in the RT(Val108Ile) complex the biggest change observed is at the distally positioned Tyr181 which is &gt;8</w:instrText>
      </w:r>
      <w:r w:rsidR="00580E0E">
        <w:rPr>
          <w:rFonts w:hint="eastAsia"/>
        </w:rPr>
        <w:instrText>Å</w:instrText>
      </w:r>
      <w:r w:rsidR="00580E0E">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580E0E" w:rsidRPr="00580E0E">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rsidR="008A2546">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rsidR="00580E0E">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580E0E" w:rsidRPr="00580E0E">
        <w:rPr>
          <w:rFonts w:cs="Mangal"/>
          <w:szCs w:val="24"/>
          <w:vertAlign w:val="superscript"/>
          <w:lang w:bidi="hi-IN"/>
        </w:rPr>
        <w:t>75</w:t>
      </w:r>
      <w:r>
        <w:fldChar w:fldCharType="end"/>
      </w:r>
      <w:r>
        <w:t xml:space="preserve"> and V106A/V106M is the primary resistance pathway in subtypes A and C as well as B.</w:t>
      </w:r>
      <w:r>
        <w:fldChar w:fldCharType="begin"/>
      </w:r>
      <w:r w:rsidR="008A2546">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711AED23" w14:textId="26BE86C0"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580E0E">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580E0E">
        <w:rPr>
          <w:rFonts w:hint="eastAsia"/>
        </w:rPr>
        <w:instrText>“</w:instrText>
      </w:r>
      <w:r w:rsidR="00580E0E">
        <w:instrText>primer grip</w:instrText>
      </w:r>
      <w:r w:rsidR="00580E0E">
        <w:rPr>
          <w:rFonts w:hint="eastAsia"/>
        </w:rPr>
        <w:instrText>”</w:instrText>
      </w:r>
      <w:r w:rsidR="00580E0E">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580E0E">
        <w:rPr>
          <w:rFonts w:hint="eastAsia"/>
        </w:rPr>
        <w:instrText>“</w:instrText>
      </w:r>
      <w:r w:rsidR="00580E0E">
        <w:instrText>precleaved</w:instrText>
      </w:r>
      <w:r w:rsidR="00580E0E">
        <w:rPr>
          <w:rFonts w:hint="eastAsia"/>
        </w:rPr>
        <w:instrText>”</w:instrText>
      </w:r>
      <w:r w:rsidR="00580E0E">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580E0E" w:rsidRPr="00580E0E">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rsidR="00580E0E">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580E0E" w:rsidRPr="00580E0E">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580E0E">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580E0E" w:rsidRPr="00580E0E">
        <w:rPr>
          <w:rFonts w:cs="Mangal"/>
          <w:szCs w:val="24"/>
          <w:vertAlign w:val="superscript"/>
          <w:lang w:bidi="hi-IN"/>
        </w:rPr>
        <w:t>78,79</w:t>
      </w:r>
      <w:r>
        <w:fldChar w:fldCharType="end"/>
      </w:r>
      <w:r>
        <w:t xml:space="preserve"> enhanced sampling techniques,</w:t>
      </w:r>
      <w:r>
        <w:fldChar w:fldCharType="begin"/>
      </w:r>
      <w:r w:rsidR="00580E0E">
        <w:instrText xml:space="preserve"> ADDIN ZOTERO_ITEM CSL_CITATION {"citationID":"rSbnknBS","properties":{"unsorted":true,"formattedCitation":"\\super 80\\uc0\\u8211{}82\\nosupersub{}","plainCitation":"80</w:instrText>
      </w:r>
      <w:r w:rsidR="00580E0E">
        <w:rPr>
          <w:rFonts w:hint="eastAsia"/>
        </w:rPr>
        <w:instrText>–</w:instrText>
      </w:r>
      <w:r w:rsidR="00580E0E">
        <w:instrText>82","noteIndex":0},"citationItems":[{"id":344,"uris":["http://zotero.org/users/19404620/items/LYV9Y28D"],"itemData":{"id":344,"type":"article-journal","abstract":"Understanding the structural mechanisms of protein</w:instrText>
      </w:r>
      <w:r w:rsidR="00580E0E">
        <w:rPr>
          <w:rFonts w:hint="eastAsia"/>
        </w:rPr>
        <w:instrText>–</w:instrText>
      </w:r>
      <w:r w:rsidR="00580E0E">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580E0E">
        <w:rPr>
          <w:rFonts w:hint="eastAsia"/>
        </w:rPr>
        <w:instrText>μ</w:instrText>
      </w:r>
      <w:r w:rsidR="00580E0E">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580E0E">
        <w:rPr>
          <w:rFonts w:hint="eastAsia"/>
        </w:rPr>
        <w:instrText>é</w:instrText>
      </w:r>
      <w:r w:rsidR="00580E0E">
        <w:instrText>","given":"Frank"}],"issued":{"date-parts":[["2015",7,2]]}}},{"id":342,"uris":["http://zotero.org/users/19404620/items/QEBNVLBI"],"itemData":{"id":342,"type":"article-journal","abstract":"The ability to predict the mechanisms and the associated rate constants of protein</w:instrText>
      </w:r>
      <w:r w:rsidR="00580E0E">
        <w:rPr>
          <w:rFonts w:hint="eastAsia"/>
        </w:rPr>
        <w:instrText>–</w:instrText>
      </w:r>
      <w:r w:rsidR="00580E0E">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580E0E">
        <w:rPr>
          <w:rFonts w:hint="eastAsia"/>
        </w:rPr>
        <w:instrText>–</w:instrText>
      </w:r>
      <w:r w:rsidR="00580E0E">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580E0E">
        <w:rPr>
          <w:rFonts w:hint="eastAsia"/>
        </w:rPr>
        <w:instrText>–</w:instrText>
      </w:r>
      <w:r w:rsidR="00580E0E">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580E0E">
        <w:rPr>
          <w:rFonts w:hint="eastAsia"/>
        </w:rPr>
        <w:instrText>–</w:instrText>
      </w:r>
      <w:r w:rsidR="00580E0E">
        <w:instrText>ligand unbinding: Predicting pathways, rates, and rate-limiting steps","title-short":"Kinetics of protein</w:instrText>
      </w:r>
      <w:r w:rsidR="00580E0E">
        <w:rPr>
          <w:rFonts w:hint="eastAsia"/>
        </w:rPr>
        <w:instrText>–</w:instrText>
      </w:r>
      <w:r w:rsidR="00580E0E">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580E0E">
        <w:rPr>
          <w:rFonts w:hint="eastAsia"/>
        </w:rPr>
        <w:instrText>–</w:instrText>
      </w:r>
      <w:r w:rsidR="00580E0E">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580E0E">
        <w:rPr>
          <w:rFonts w:hint="eastAsia"/>
        </w:rPr>
        <w:instrText>–</w:instrText>
      </w:r>
      <w:r w:rsidR="00580E0E">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580E0E" w:rsidRPr="00580E0E">
        <w:rPr>
          <w:rFonts w:cs="Mangal"/>
          <w:szCs w:val="24"/>
          <w:vertAlign w:val="superscript"/>
          <w:lang w:bidi="hi-IN"/>
        </w:rPr>
        <w:t>80–82</w:t>
      </w:r>
      <w:r>
        <w:fldChar w:fldCharType="end"/>
      </w:r>
      <w:r>
        <w:t xml:space="preserve"> and machine learning.</w:t>
      </w:r>
      <w:r>
        <w:fldChar w:fldCharType="begin"/>
      </w:r>
      <w:r w:rsidR="00580E0E">
        <w:instrText xml:space="preserve"> ADDIN ZOTERO_ITEM CSL_CITATION {"citationID":"QwpykdhK","properties":{"unsorted":false,"formattedCitation":"\\super 83\\uc0\\u8211{}85\\nosupersub{}","plainCitation":"83</w:instrText>
      </w:r>
      <w:r w:rsidR="00580E0E">
        <w:rPr>
          <w:rFonts w:hint="eastAsia"/>
        </w:rPr>
        <w:instrText>–</w:instrText>
      </w:r>
      <w:r w:rsidR="00580E0E">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580E0E">
        <w:rPr>
          <w:rFonts w:hint="eastAsia"/>
        </w:rPr>
        <w:instrText>ä</w:instrText>
      </w:r>
      <w:r w:rsidR="00580E0E">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580E0E">
        <w:rPr>
          <w:rFonts w:hint="eastAsia"/>
        </w:rPr>
        <w:instrText>–</w:instrText>
      </w:r>
      <w:r w:rsidR="00580E0E">
        <w:instrText>protein binding affinity. Crucially, it achieves strong correlation with experimental readouts on many benchmarks, while being at least 1000</w:instrText>
      </w:r>
      <w:r w:rsidR="00580E0E">
        <w:rPr>
          <w:rFonts w:hint="eastAsia"/>
        </w:rPr>
        <w:instrText>×</w:instrText>
      </w:r>
      <w:r w:rsidR="00580E0E">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580E0E" w:rsidRPr="00580E0E">
        <w:rPr>
          <w:rFonts w:cs="Mangal"/>
          <w:szCs w:val="24"/>
          <w:vertAlign w:val="superscript"/>
          <w:lang w:bidi="hi-IN"/>
        </w:rPr>
        <w:t>83–85</w:t>
      </w:r>
      <w:r>
        <w:fldChar w:fldCharType="end"/>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77777777"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w:t>
      </w:r>
      <w:r>
        <w:rPr>
          <w:highlight w:val="yellow"/>
        </w:rPr>
        <w:t>orcid.org/XXXX-XXXX-XXXX-XXXX</w:t>
      </w:r>
    </w:p>
    <w:p w14:paraId="33AC7385" w14:textId="77777777"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w:t>
      </w:r>
      <w:r>
        <w:rPr>
          <w:highlight w:val="yellow"/>
        </w:rPr>
        <w:t>orcid.org/XXXX-XXXX-XXXX-XXXX</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w:t>
      </w:r>
      <w:r>
        <w:rPr>
          <w:highlight w:val="yellow"/>
        </w:rPr>
        <w:t>National Institute of Allergy and Infectious Diseases, National Institutes of Health (grant number R24AI136618 to R.W.S.)</w:t>
      </w:r>
      <w:r>
        <w:t>.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r>
      <w:r>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395FAEF9" w14:textId="77777777" w:rsidR="008A2546" w:rsidRPr="008A2546" w:rsidRDefault="00574C6E" w:rsidP="008A2546">
      <w:pPr>
        <w:pStyle w:val="Bibliography"/>
        <w:rPr>
          <w:lang w:bidi="hi-IN"/>
        </w:rPr>
      </w:pPr>
      <w:r>
        <w:fldChar w:fldCharType="begin"/>
      </w:r>
      <w:r w:rsidR="008A2546">
        <w:instrText xml:space="preserve"> ADDIN ZOTERO_BIBL {"uncited":[],"omitted":[],"custom":[]} CSL_BIBLIOGRAPHY </w:instrText>
      </w:r>
      <w:r>
        <w:fldChar w:fldCharType="separate"/>
      </w:r>
      <w:r w:rsidR="008A2546" w:rsidRPr="008A2546">
        <w:rPr>
          <w:lang w:bidi="hi-IN"/>
        </w:rPr>
        <w:t>(1)</w:t>
      </w:r>
      <w:r w:rsidR="008A2546" w:rsidRPr="008A2546">
        <w:rPr>
          <w:lang w:bidi="hi-IN"/>
        </w:rPr>
        <w:tab/>
        <w:t xml:space="preserve">Kohlstaedt, L. A.; Wang, J.; Friedman, J. M.; Rice, P. A.; Steitz, T. A. Crystal Structure at 3.5 Å Resolution of HIV-1 Reverse Transcriptase Complexed with an Inhibitor. </w:t>
      </w:r>
      <w:r w:rsidR="008A2546" w:rsidRPr="008A2546">
        <w:rPr>
          <w:i/>
          <w:iCs/>
          <w:lang w:bidi="hi-IN"/>
        </w:rPr>
        <w:t>Science</w:t>
      </w:r>
      <w:r w:rsidR="008A2546" w:rsidRPr="008A2546">
        <w:rPr>
          <w:lang w:bidi="hi-IN"/>
        </w:rPr>
        <w:t xml:space="preserve"> </w:t>
      </w:r>
      <w:r w:rsidR="008A2546" w:rsidRPr="008A2546">
        <w:rPr>
          <w:b/>
          <w:bCs/>
          <w:lang w:bidi="hi-IN"/>
        </w:rPr>
        <w:t>1992</w:t>
      </w:r>
      <w:r w:rsidR="008A2546" w:rsidRPr="008A2546">
        <w:rPr>
          <w:lang w:bidi="hi-IN"/>
        </w:rPr>
        <w:t xml:space="preserve">, </w:t>
      </w:r>
      <w:r w:rsidR="008A2546" w:rsidRPr="008A2546">
        <w:rPr>
          <w:i/>
          <w:iCs/>
          <w:lang w:bidi="hi-IN"/>
        </w:rPr>
        <w:t>256</w:t>
      </w:r>
      <w:r w:rsidR="008A2546" w:rsidRPr="008A2546">
        <w:rPr>
          <w:lang w:bidi="hi-IN"/>
        </w:rPr>
        <w:t xml:space="preserve"> (5065), 1783–1790. https://doi.org/10.1126/science.1377403</w:t>
      </w:r>
    </w:p>
    <w:p w14:paraId="26C85030" w14:textId="77777777" w:rsidR="008A2546" w:rsidRPr="008A2546" w:rsidRDefault="008A2546" w:rsidP="008A2546">
      <w:pPr>
        <w:pStyle w:val="Bibliography"/>
        <w:rPr>
          <w:lang w:bidi="hi-IN"/>
        </w:rPr>
      </w:pPr>
      <w:r w:rsidRPr="008A2546">
        <w:rPr>
          <w:lang w:bidi="hi-IN"/>
        </w:rPr>
        <w:t>(2)</w:t>
      </w:r>
      <w:r w:rsidRPr="008A2546">
        <w:rPr>
          <w:lang w:bidi="hi-IN"/>
        </w:rPr>
        <w:tab/>
        <w:t xml:space="preserve">Spence, R. A.; Kati, W. M.; Anderson, K. S.; Johnson, K. A. Mechanism of Inhibition of HIV-1 Reverse Transcriptase by Nonnucleoside Inhibitors. </w:t>
      </w:r>
      <w:r w:rsidRPr="008A2546">
        <w:rPr>
          <w:i/>
          <w:iCs/>
          <w:lang w:bidi="hi-IN"/>
        </w:rPr>
        <w:t>Science</w:t>
      </w:r>
      <w:r w:rsidRPr="008A2546">
        <w:rPr>
          <w:lang w:bidi="hi-IN"/>
        </w:rPr>
        <w:t xml:space="preserve"> </w:t>
      </w:r>
      <w:r w:rsidRPr="008A2546">
        <w:rPr>
          <w:b/>
          <w:bCs/>
          <w:lang w:bidi="hi-IN"/>
        </w:rPr>
        <w:t>1995</w:t>
      </w:r>
      <w:r w:rsidRPr="008A2546">
        <w:rPr>
          <w:lang w:bidi="hi-IN"/>
        </w:rPr>
        <w:t xml:space="preserve">, </w:t>
      </w:r>
      <w:r w:rsidRPr="008A2546">
        <w:rPr>
          <w:i/>
          <w:iCs/>
          <w:lang w:bidi="hi-IN"/>
        </w:rPr>
        <w:t>267</w:t>
      </w:r>
      <w:r w:rsidRPr="008A2546">
        <w:rPr>
          <w:lang w:bidi="hi-IN"/>
        </w:rPr>
        <w:t xml:space="preserve"> (5200), 988–993. https://doi.org/10.1126/science.7532321</w:t>
      </w:r>
    </w:p>
    <w:p w14:paraId="6DB91115" w14:textId="77777777" w:rsidR="008A2546" w:rsidRPr="008A2546" w:rsidRDefault="008A2546" w:rsidP="008A2546">
      <w:pPr>
        <w:pStyle w:val="Bibliography"/>
        <w:rPr>
          <w:lang w:bidi="hi-IN"/>
        </w:rPr>
      </w:pPr>
      <w:r w:rsidRPr="008A2546">
        <w:rPr>
          <w:lang w:bidi="hi-IN"/>
        </w:rPr>
        <w:t>(3)</w:t>
      </w:r>
      <w:r w:rsidRPr="008A2546">
        <w:rPr>
          <w:lang w:bidi="hi-IN"/>
        </w:rPr>
        <w:tab/>
        <w:t xml:space="preserve">Rodgers, D. W.; Gamblin, S. J.; Harris, B. A.; Ray, S.; Culp, J. S.; Hellmig, B.; Woolf, D. J.; Debouck, C.; Harrison, S. C. The Structure of Unliganded Reverse Transcriptase from the Human Immunodeficiency Virus Type 1. </w:t>
      </w:r>
      <w:r w:rsidRPr="008A2546">
        <w:rPr>
          <w:i/>
          <w:iCs/>
          <w:lang w:bidi="hi-IN"/>
        </w:rPr>
        <w:t>Proceedings of the National Academy of Sciences</w:t>
      </w:r>
      <w:r w:rsidRPr="008A2546">
        <w:rPr>
          <w:lang w:bidi="hi-IN"/>
        </w:rPr>
        <w:t xml:space="preserve"> </w:t>
      </w:r>
      <w:r w:rsidRPr="008A2546">
        <w:rPr>
          <w:b/>
          <w:bCs/>
          <w:lang w:bidi="hi-IN"/>
        </w:rPr>
        <w:t>1995</w:t>
      </w:r>
      <w:r w:rsidRPr="008A2546">
        <w:rPr>
          <w:lang w:bidi="hi-IN"/>
        </w:rPr>
        <w:t xml:space="preserve">, </w:t>
      </w:r>
      <w:r w:rsidRPr="008A2546">
        <w:rPr>
          <w:i/>
          <w:iCs/>
          <w:lang w:bidi="hi-IN"/>
        </w:rPr>
        <w:t>92</w:t>
      </w:r>
      <w:r w:rsidRPr="008A2546">
        <w:rPr>
          <w:lang w:bidi="hi-IN"/>
        </w:rPr>
        <w:t xml:space="preserve"> (4), 1222–1226. https://doi.org/10.1073/pnas.92.4.1222</w:t>
      </w:r>
    </w:p>
    <w:p w14:paraId="6FD1560D" w14:textId="77777777" w:rsidR="008A2546" w:rsidRPr="008A2546" w:rsidRDefault="008A2546" w:rsidP="008A2546">
      <w:pPr>
        <w:pStyle w:val="Bibliography"/>
        <w:rPr>
          <w:lang w:bidi="hi-IN"/>
        </w:rPr>
      </w:pPr>
      <w:r w:rsidRPr="008A2546">
        <w:rPr>
          <w:lang w:bidi="hi-IN"/>
        </w:rPr>
        <w:t>(4)</w:t>
      </w:r>
      <w:r w:rsidRPr="008A2546">
        <w:rPr>
          <w:lang w:bidi="hi-IN"/>
        </w:rPr>
        <w:tab/>
        <w:t xml:space="preserve">Hsiou, Y.; Ding, J.; Das, K.; AD Clark, J.; Hughes, S. H.; Arnold, E. Structure of Unliganded HIV-1 Reverse Transcriptase at 2.7 å Resolution: Implications of Conformational Changes for Polymerization and Inhibition Mechanisms. </w:t>
      </w:r>
      <w:r w:rsidRPr="008A2546">
        <w:rPr>
          <w:i/>
          <w:iCs/>
          <w:lang w:bidi="hi-IN"/>
        </w:rPr>
        <w:t>Structure</w:t>
      </w:r>
      <w:r w:rsidRPr="008A2546">
        <w:rPr>
          <w:lang w:bidi="hi-IN"/>
        </w:rPr>
        <w:t xml:space="preserve"> </w:t>
      </w:r>
      <w:r w:rsidRPr="008A2546">
        <w:rPr>
          <w:b/>
          <w:bCs/>
          <w:lang w:bidi="hi-IN"/>
        </w:rPr>
        <w:t>1996</w:t>
      </w:r>
      <w:r w:rsidRPr="008A2546">
        <w:rPr>
          <w:lang w:bidi="hi-IN"/>
        </w:rPr>
        <w:t xml:space="preserve">, </w:t>
      </w:r>
      <w:r w:rsidRPr="008A2546">
        <w:rPr>
          <w:i/>
          <w:iCs/>
          <w:lang w:bidi="hi-IN"/>
        </w:rPr>
        <w:t>4</w:t>
      </w:r>
      <w:r w:rsidRPr="008A2546">
        <w:rPr>
          <w:lang w:bidi="hi-IN"/>
        </w:rPr>
        <w:t xml:space="preserve"> (7), 853–860. https://doi.org/10.1016/S0969-2126(96)00091-3</w:t>
      </w:r>
    </w:p>
    <w:p w14:paraId="4CDF217D" w14:textId="77777777" w:rsidR="008A2546" w:rsidRPr="008A2546" w:rsidRDefault="008A2546" w:rsidP="008A2546">
      <w:pPr>
        <w:pStyle w:val="Bibliography"/>
        <w:rPr>
          <w:lang w:bidi="hi-IN"/>
        </w:rPr>
      </w:pPr>
      <w:r w:rsidRPr="008A2546">
        <w:rPr>
          <w:lang w:bidi="hi-IN"/>
        </w:rPr>
        <w:t>(5)</w:t>
      </w:r>
      <w:r w:rsidRPr="008A2546">
        <w:rPr>
          <w:lang w:bidi="hi-IN"/>
        </w:rPr>
        <w:tab/>
        <w:t xml:space="preserve">Arts, E. J.; Hazuda, D. J. HIV-1 Antiretroviral Drug Therapy. </w:t>
      </w:r>
      <w:r w:rsidRPr="008A2546">
        <w:rPr>
          <w:i/>
          <w:iCs/>
          <w:lang w:bidi="hi-IN"/>
        </w:rPr>
        <w:t>Cold Spring Harb Perspect Med</w:t>
      </w:r>
      <w:r w:rsidRPr="008A2546">
        <w:rPr>
          <w:lang w:bidi="hi-IN"/>
        </w:rPr>
        <w:t xml:space="preserve"> </w:t>
      </w:r>
      <w:r w:rsidRPr="008A2546">
        <w:rPr>
          <w:b/>
          <w:bCs/>
          <w:lang w:bidi="hi-IN"/>
        </w:rPr>
        <w:t>2012</w:t>
      </w:r>
      <w:r w:rsidRPr="008A2546">
        <w:rPr>
          <w:lang w:bidi="hi-IN"/>
        </w:rPr>
        <w:t xml:space="preserve">, </w:t>
      </w:r>
      <w:r w:rsidRPr="008A2546">
        <w:rPr>
          <w:i/>
          <w:iCs/>
          <w:lang w:bidi="hi-IN"/>
        </w:rPr>
        <w:t>2</w:t>
      </w:r>
      <w:r w:rsidRPr="008A2546">
        <w:rPr>
          <w:lang w:bidi="hi-IN"/>
        </w:rPr>
        <w:t xml:space="preserve"> (4), a007161. https://doi.org/10.1101/cshperspect.a007161</w:t>
      </w:r>
    </w:p>
    <w:p w14:paraId="2714A07D" w14:textId="77777777" w:rsidR="008A2546" w:rsidRPr="008A2546" w:rsidRDefault="008A2546" w:rsidP="008A2546">
      <w:pPr>
        <w:pStyle w:val="Bibliography"/>
        <w:rPr>
          <w:lang w:bidi="hi-IN"/>
        </w:rPr>
      </w:pPr>
      <w:r w:rsidRPr="008A2546">
        <w:rPr>
          <w:lang w:bidi="hi-IN"/>
        </w:rPr>
        <w:t>(6)</w:t>
      </w:r>
      <w:r w:rsidRPr="008A2546">
        <w:rPr>
          <w:lang w:bidi="hi-IN"/>
        </w:rPr>
        <w:tab/>
        <w:t xml:space="preserve">Cilento, M. E.; Kirby, K. A.; Sarafianos, S. G. Avoiding Drug Resistance in HIV Reverse Transcriptase. </w:t>
      </w:r>
      <w:r w:rsidRPr="008A2546">
        <w:rPr>
          <w:i/>
          <w:iCs/>
          <w:lang w:bidi="hi-IN"/>
        </w:rPr>
        <w:t>Chem. Rev.</w:t>
      </w:r>
      <w:r w:rsidRPr="008A2546">
        <w:rPr>
          <w:lang w:bidi="hi-IN"/>
        </w:rPr>
        <w:t xml:space="preserve"> </w:t>
      </w:r>
      <w:r w:rsidRPr="008A2546">
        <w:rPr>
          <w:b/>
          <w:bCs/>
          <w:lang w:bidi="hi-IN"/>
        </w:rPr>
        <w:t>2021</w:t>
      </w:r>
      <w:r w:rsidRPr="008A2546">
        <w:rPr>
          <w:lang w:bidi="hi-IN"/>
        </w:rPr>
        <w:t xml:space="preserve">, </w:t>
      </w:r>
      <w:r w:rsidRPr="008A2546">
        <w:rPr>
          <w:i/>
          <w:iCs/>
          <w:lang w:bidi="hi-IN"/>
        </w:rPr>
        <w:t>121</w:t>
      </w:r>
      <w:r w:rsidRPr="008A2546">
        <w:rPr>
          <w:lang w:bidi="hi-IN"/>
        </w:rPr>
        <w:t xml:space="preserve"> (6), 3271–3296. https://doi.org/10.1021/acs.chemrev.0c00967</w:t>
      </w:r>
    </w:p>
    <w:p w14:paraId="5D5D9A59" w14:textId="77777777" w:rsidR="008A2546" w:rsidRPr="008A2546" w:rsidRDefault="008A2546" w:rsidP="008A2546">
      <w:pPr>
        <w:pStyle w:val="Bibliography"/>
        <w:rPr>
          <w:lang w:bidi="hi-IN"/>
        </w:rPr>
      </w:pPr>
      <w:r w:rsidRPr="008A2546">
        <w:rPr>
          <w:lang w:bidi="hi-IN"/>
        </w:rPr>
        <w:t>(7)</w:t>
      </w:r>
      <w:r w:rsidRPr="008A2546">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8A2546">
        <w:rPr>
          <w:i/>
          <w:iCs/>
          <w:lang w:bidi="hi-IN"/>
        </w:rPr>
        <w:t>Journal of Molecular Biology</w:t>
      </w:r>
      <w:r w:rsidRPr="008A2546">
        <w:rPr>
          <w:lang w:bidi="hi-IN"/>
        </w:rPr>
        <w:t xml:space="preserve"> </w:t>
      </w:r>
      <w:r w:rsidRPr="008A2546">
        <w:rPr>
          <w:b/>
          <w:bCs/>
          <w:lang w:bidi="hi-IN"/>
        </w:rPr>
        <w:t>1994</w:t>
      </w:r>
      <w:r w:rsidRPr="008A2546">
        <w:rPr>
          <w:lang w:bidi="hi-IN"/>
        </w:rPr>
        <w:t xml:space="preserve">, </w:t>
      </w:r>
      <w:r w:rsidRPr="008A2546">
        <w:rPr>
          <w:i/>
          <w:iCs/>
          <w:lang w:bidi="hi-IN"/>
        </w:rPr>
        <w:t>243</w:t>
      </w:r>
      <w:r w:rsidRPr="008A2546">
        <w:rPr>
          <w:lang w:bidi="hi-IN"/>
        </w:rPr>
        <w:t xml:space="preserve"> (3), 369–387. https://doi.org/10.1006/jmbi.1994.1665</w:t>
      </w:r>
    </w:p>
    <w:p w14:paraId="6AF73859" w14:textId="77777777" w:rsidR="008A2546" w:rsidRPr="008A2546" w:rsidRDefault="008A2546" w:rsidP="008A2546">
      <w:pPr>
        <w:pStyle w:val="Bibliography"/>
        <w:rPr>
          <w:lang w:bidi="hi-IN"/>
        </w:rPr>
      </w:pPr>
      <w:r w:rsidRPr="008A2546">
        <w:rPr>
          <w:lang w:bidi="hi-IN"/>
        </w:rPr>
        <w:t>(8)</w:t>
      </w:r>
      <w:r w:rsidRPr="008A2546">
        <w:rPr>
          <w:lang w:bidi="hi-IN"/>
        </w:rPr>
        <w:tab/>
        <w:t xml:space="preserve">Schauer, G. D.; Huber, K. D.; Leuba, S. H.; Sluis-Cremer, N. Mechanism of Allosteric Inhibition of HIV-1 Reverse Transcriptase Revealed by Single-Molecule and Ensemble Fluorescence. </w:t>
      </w:r>
      <w:r w:rsidRPr="008A2546">
        <w:rPr>
          <w:i/>
          <w:iCs/>
          <w:lang w:bidi="hi-IN"/>
        </w:rPr>
        <w:t>Nucleic Acids Res</w:t>
      </w:r>
      <w:r w:rsidRPr="008A2546">
        <w:rPr>
          <w:lang w:bidi="hi-IN"/>
        </w:rPr>
        <w:t xml:space="preserve"> </w:t>
      </w:r>
      <w:r w:rsidRPr="008A2546">
        <w:rPr>
          <w:b/>
          <w:bCs/>
          <w:lang w:bidi="hi-IN"/>
        </w:rPr>
        <w:t>2014</w:t>
      </w:r>
      <w:r w:rsidRPr="008A2546">
        <w:rPr>
          <w:lang w:bidi="hi-IN"/>
        </w:rPr>
        <w:t xml:space="preserve">, </w:t>
      </w:r>
      <w:r w:rsidRPr="008A2546">
        <w:rPr>
          <w:i/>
          <w:iCs/>
          <w:lang w:bidi="hi-IN"/>
        </w:rPr>
        <w:t>42</w:t>
      </w:r>
      <w:r w:rsidRPr="008A2546">
        <w:rPr>
          <w:lang w:bidi="hi-IN"/>
        </w:rPr>
        <w:t xml:space="preserve"> (18), 11687–11696. https://doi.org/10.1093/nar/gku819</w:t>
      </w:r>
    </w:p>
    <w:p w14:paraId="29399D61" w14:textId="77777777" w:rsidR="008A2546" w:rsidRPr="008A2546" w:rsidRDefault="008A2546" w:rsidP="008A2546">
      <w:pPr>
        <w:pStyle w:val="Bibliography"/>
        <w:rPr>
          <w:lang w:bidi="hi-IN"/>
        </w:rPr>
      </w:pPr>
      <w:r w:rsidRPr="008A2546">
        <w:rPr>
          <w:lang w:bidi="hi-IN"/>
        </w:rPr>
        <w:lastRenderedPageBreak/>
        <w:t>(9)</w:t>
      </w:r>
      <w:r w:rsidRPr="008A2546">
        <w:rPr>
          <w:lang w:bidi="hi-IN"/>
        </w:rPr>
        <w:tab/>
        <w:t xml:space="preserve">Hsiou, Y.; Ding, J.; Das, K.; Clark, A. D.; Boyer, P. L.; Lewi, P.; Janssen, P. A. J.; Kleim, J.-P.; Rösner, M.; Hughes, S. H.; Arnold, E. The Lys103Asn Mutation of HIV-1 RT: A Novel Mechanism of Drug Resistance.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309</w:t>
      </w:r>
      <w:r w:rsidRPr="008A2546">
        <w:rPr>
          <w:lang w:bidi="hi-IN"/>
        </w:rPr>
        <w:t xml:space="preserve"> (2), 437–445. https://doi.org/10.1006/jmbi.2001.4648</w:t>
      </w:r>
    </w:p>
    <w:p w14:paraId="22574D0F" w14:textId="77777777" w:rsidR="008A2546" w:rsidRPr="008A2546" w:rsidRDefault="008A2546" w:rsidP="008A2546">
      <w:pPr>
        <w:pStyle w:val="Bibliography"/>
        <w:rPr>
          <w:lang w:bidi="hi-IN"/>
        </w:rPr>
      </w:pPr>
      <w:r w:rsidRPr="008A2546">
        <w:rPr>
          <w:lang w:bidi="hi-IN"/>
        </w:rPr>
        <w:t>(10)</w:t>
      </w:r>
      <w:r w:rsidRPr="008A2546">
        <w:rPr>
          <w:lang w:bidi="hi-IN"/>
        </w:rPr>
        <w:tab/>
        <w:t xml:space="preserve">Lai, M.-T.; Munshi, V.; Lu, M.; Feng, M.; Hrin-Solt, R.; McKenna, P. M.; Hazuda, D. J.; Miller, M. D. Mechanistic Study of Common Non-Nucleoside Reverse Transcriptase Inhibitor-Resistant Mutations with K103N and Y181C Substitutions. </w:t>
      </w:r>
      <w:r w:rsidRPr="008A2546">
        <w:rPr>
          <w:i/>
          <w:iCs/>
          <w:lang w:bidi="hi-IN"/>
        </w:rPr>
        <w:t>Viruses</w:t>
      </w:r>
      <w:r w:rsidRPr="008A2546">
        <w:rPr>
          <w:lang w:bidi="hi-IN"/>
        </w:rPr>
        <w:t xml:space="preserve"> </w:t>
      </w:r>
      <w:r w:rsidRPr="008A2546">
        <w:rPr>
          <w:b/>
          <w:bCs/>
          <w:lang w:bidi="hi-IN"/>
        </w:rPr>
        <w:t>2016</w:t>
      </w:r>
      <w:r w:rsidRPr="008A2546">
        <w:rPr>
          <w:lang w:bidi="hi-IN"/>
        </w:rPr>
        <w:t xml:space="preserve">, </w:t>
      </w:r>
      <w:r w:rsidRPr="008A2546">
        <w:rPr>
          <w:i/>
          <w:iCs/>
          <w:lang w:bidi="hi-IN"/>
        </w:rPr>
        <w:t>8</w:t>
      </w:r>
      <w:r w:rsidRPr="008A2546">
        <w:rPr>
          <w:lang w:bidi="hi-IN"/>
        </w:rPr>
        <w:t xml:space="preserve"> (10), 263. https://doi.org/10.3390/v8100263</w:t>
      </w:r>
    </w:p>
    <w:p w14:paraId="0A34027B" w14:textId="77777777" w:rsidR="008A2546" w:rsidRPr="008A2546" w:rsidRDefault="008A2546" w:rsidP="008A2546">
      <w:pPr>
        <w:pStyle w:val="Bibliography"/>
        <w:rPr>
          <w:lang w:bidi="hi-IN"/>
        </w:rPr>
      </w:pPr>
      <w:r w:rsidRPr="008A2546">
        <w:rPr>
          <w:lang w:bidi="hi-IN"/>
        </w:rPr>
        <w:t>(11)</w:t>
      </w:r>
      <w:r w:rsidRPr="008A2546">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312</w:t>
      </w:r>
      <w:r w:rsidRPr="008A2546">
        <w:rPr>
          <w:lang w:bidi="hi-IN"/>
        </w:rPr>
        <w:t xml:space="preserve"> (4), 795–805. https://doi.org/10.1006/jmbi.2001.4988</w:t>
      </w:r>
    </w:p>
    <w:p w14:paraId="084FEDD9" w14:textId="77777777" w:rsidR="008A2546" w:rsidRPr="008A2546" w:rsidRDefault="008A2546" w:rsidP="008A2546">
      <w:pPr>
        <w:pStyle w:val="Bibliography"/>
        <w:rPr>
          <w:lang w:bidi="hi-IN"/>
        </w:rPr>
      </w:pPr>
      <w:r w:rsidRPr="008A2546">
        <w:rPr>
          <w:lang w:bidi="hi-IN"/>
        </w:rPr>
        <w:t>(12)</w:t>
      </w:r>
      <w:r w:rsidRPr="008A2546">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(10), 2550–2560. https://doi.org/10.1021/jm030558s</w:t>
      </w:r>
    </w:p>
    <w:p w14:paraId="7D64440B" w14:textId="77777777" w:rsidR="008A2546" w:rsidRPr="008A2546" w:rsidRDefault="008A2546" w:rsidP="008A2546">
      <w:pPr>
        <w:pStyle w:val="Bibliography"/>
        <w:rPr>
          <w:lang w:bidi="hi-IN"/>
        </w:rPr>
      </w:pPr>
      <w:r w:rsidRPr="008A2546">
        <w:rPr>
          <w:lang w:bidi="hi-IN"/>
        </w:rPr>
        <w:t>(13)</w:t>
      </w:r>
      <w:r w:rsidRPr="008A2546">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8A2546">
        <w:rPr>
          <w:i/>
          <w:iCs/>
          <w:lang w:bidi="hi-IN"/>
        </w:rPr>
        <w:t>Proceedings of the National Academy of Sciences</w:t>
      </w:r>
      <w:r w:rsidRPr="008A2546">
        <w:rPr>
          <w:lang w:bidi="hi-IN"/>
        </w:rPr>
        <w:t xml:space="preserve"> </w:t>
      </w:r>
      <w:r w:rsidRPr="008A2546">
        <w:rPr>
          <w:b/>
          <w:bCs/>
          <w:lang w:bidi="hi-IN"/>
        </w:rPr>
        <w:t>2008</w:t>
      </w:r>
      <w:r w:rsidRPr="008A2546">
        <w:rPr>
          <w:lang w:bidi="hi-IN"/>
        </w:rPr>
        <w:t xml:space="preserve">, </w:t>
      </w:r>
      <w:r w:rsidRPr="008A2546">
        <w:rPr>
          <w:i/>
          <w:iCs/>
          <w:lang w:bidi="hi-IN"/>
        </w:rPr>
        <w:t>105</w:t>
      </w:r>
      <w:r w:rsidRPr="008A2546">
        <w:rPr>
          <w:lang w:bidi="hi-IN"/>
        </w:rPr>
        <w:t xml:space="preserve"> (5), 1466–1471. https://doi.org/10.1073/pnas.0711209105</w:t>
      </w:r>
    </w:p>
    <w:p w14:paraId="0A934C44" w14:textId="77777777" w:rsidR="008A2546" w:rsidRPr="008A2546" w:rsidRDefault="008A2546" w:rsidP="008A2546">
      <w:pPr>
        <w:pStyle w:val="Bibliography"/>
        <w:rPr>
          <w:lang w:bidi="hi-IN"/>
        </w:rPr>
      </w:pPr>
      <w:r w:rsidRPr="008A2546">
        <w:rPr>
          <w:lang w:bidi="hi-IN"/>
        </w:rPr>
        <w:t>(14)</w:t>
      </w:r>
      <w:r w:rsidRPr="008A2546">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8A2546">
        <w:rPr>
          <w:i/>
          <w:iCs/>
          <w:lang w:bidi="hi-IN"/>
        </w:rPr>
        <w:t>Bioorganic &amp; Medicinal Chemistry Letters</w:t>
      </w:r>
      <w:r w:rsidRPr="008A2546">
        <w:rPr>
          <w:lang w:bidi="hi-IN"/>
        </w:rPr>
        <w:t xml:space="preserve"> </w:t>
      </w:r>
      <w:r w:rsidRPr="008A2546">
        <w:rPr>
          <w:b/>
          <w:bCs/>
          <w:lang w:bidi="hi-IN"/>
        </w:rPr>
        <w:t>2014</w:t>
      </w:r>
      <w:r w:rsidRPr="008A2546">
        <w:rPr>
          <w:lang w:bidi="hi-IN"/>
        </w:rPr>
        <w:t xml:space="preserve">, </w:t>
      </w:r>
      <w:r w:rsidRPr="008A2546">
        <w:rPr>
          <w:i/>
          <w:iCs/>
          <w:lang w:bidi="hi-IN"/>
        </w:rPr>
        <w:t>24</w:t>
      </w:r>
      <w:r w:rsidRPr="008A2546">
        <w:rPr>
          <w:lang w:bidi="hi-IN"/>
        </w:rPr>
        <w:t xml:space="preserve"> (3), 917–922. https://doi.org/10.1016/j.bmcl.2013.12.070</w:t>
      </w:r>
    </w:p>
    <w:p w14:paraId="4FE18054" w14:textId="77777777" w:rsidR="008A2546" w:rsidRPr="008A2546" w:rsidRDefault="008A2546" w:rsidP="008A2546">
      <w:pPr>
        <w:pStyle w:val="Bibliography"/>
        <w:rPr>
          <w:lang w:bidi="hi-IN"/>
        </w:rPr>
      </w:pPr>
      <w:r w:rsidRPr="008A2546">
        <w:rPr>
          <w:lang w:bidi="hi-IN"/>
        </w:rPr>
        <w:t>(15)</w:t>
      </w:r>
      <w:r w:rsidRPr="008A2546">
        <w:rPr>
          <w:lang w:bidi="hi-IN"/>
        </w:rPr>
        <w:tab/>
        <w:t xml:space="preserve">Hwang, C.; Lai, M.-T.; Hazuda, D. Rational Design of Doravirine: From Bench to Patients. </w:t>
      </w:r>
      <w:r w:rsidRPr="008A2546">
        <w:rPr>
          <w:i/>
          <w:iCs/>
          <w:lang w:bidi="hi-IN"/>
        </w:rPr>
        <w:t>ACS Infect. Dis.</w:t>
      </w:r>
      <w:r w:rsidRPr="008A2546">
        <w:rPr>
          <w:lang w:bidi="hi-IN"/>
        </w:rPr>
        <w:t xml:space="preserve"> </w:t>
      </w:r>
      <w:r w:rsidRPr="008A2546">
        <w:rPr>
          <w:b/>
          <w:bCs/>
          <w:lang w:bidi="hi-IN"/>
        </w:rPr>
        <w:t>2020</w:t>
      </w:r>
      <w:r w:rsidRPr="008A2546">
        <w:rPr>
          <w:lang w:bidi="hi-IN"/>
        </w:rPr>
        <w:t xml:space="preserve">, </w:t>
      </w:r>
      <w:r w:rsidRPr="008A2546">
        <w:rPr>
          <w:i/>
          <w:iCs/>
          <w:lang w:bidi="hi-IN"/>
        </w:rPr>
        <w:t>6</w:t>
      </w:r>
      <w:r w:rsidRPr="008A2546">
        <w:rPr>
          <w:lang w:bidi="hi-IN"/>
        </w:rPr>
        <w:t xml:space="preserve"> (1), 64–73. https://doi.org/10.1021/acsinfecdis.9b00178</w:t>
      </w:r>
    </w:p>
    <w:p w14:paraId="1904F620" w14:textId="77777777" w:rsidR="008A2546" w:rsidRPr="008A2546" w:rsidRDefault="008A2546" w:rsidP="008A2546">
      <w:pPr>
        <w:pStyle w:val="Bibliography"/>
        <w:rPr>
          <w:lang w:bidi="hi-IN"/>
        </w:rPr>
      </w:pPr>
      <w:r w:rsidRPr="008A2546">
        <w:rPr>
          <w:lang w:bidi="hi-IN"/>
        </w:rPr>
        <w:t>(16)</w:t>
      </w:r>
      <w:r w:rsidRPr="008A2546">
        <w:rPr>
          <w:lang w:bidi="hi-IN"/>
        </w:rPr>
        <w:tab/>
        <w:t xml:space="preserve">Feng, M.; Wang, D.; Grobler, J. A.; Hazuda, D. J.; Miller, M. D.; Lai, M.-T. In Vitro Resistance Selection with Doravirine (MK-1439), a Novel Nonnucleoside Reverse Transcriptase Inhibitor with Distinct Mutation Development Pathways. </w:t>
      </w:r>
      <w:r w:rsidRPr="008A2546">
        <w:rPr>
          <w:i/>
          <w:iCs/>
          <w:lang w:bidi="hi-IN"/>
        </w:rPr>
        <w:t>Antimicrobial Agents and Chemotherapy</w:t>
      </w:r>
      <w:r w:rsidRPr="008A2546">
        <w:rPr>
          <w:lang w:bidi="hi-IN"/>
        </w:rPr>
        <w:t xml:space="preserve"> </w:t>
      </w:r>
      <w:r w:rsidRPr="008A2546">
        <w:rPr>
          <w:b/>
          <w:bCs/>
          <w:lang w:bidi="hi-IN"/>
        </w:rPr>
        <w:t>2015</w:t>
      </w:r>
      <w:r w:rsidRPr="008A2546">
        <w:rPr>
          <w:lang w:bidi="hi-IN"/>
        </w:rPr>
        <w:t xml:space="preserve">, </w:t>
      </w:r>
      <w:r w:rsidRPr="008A2546">
        <w:rPr>
          <w:i/>
          <w:iCs/>
          <w:lang w:bidi="hi-IN"/>
        </w:rPr>
        <w:t>59</w:t>
      </w:r>
      <w:r w:rsidRPr="008A2546">
        <w:rPr>
          <w:lang w:bidi="hi-IN"/>
        </w:rPr>
        <w:t xml:space="preserve"> (1), 590–598. https://doi.org/10.1128/aac.04201-14</w:t>
      </w:r>
    </w:p>
    <w:p w14:paraId="6E62FAC5" w14:textId="77777777" w:rsidR="008A2546" w:rsidRPr="008A2546" w:rsidRDefault="008A2546" w:rsidP="008A2546">
      <w:pPr>
        <w:pStyle w:val="Bibliography"/>
        <w:rPr>
          <w:lang w:bidi="hi-IN"/>
        </w:rPr>
      </w:pPr>
      <w:r w:rsidRPr="008A2546">
        <w:rPr>
          <w:lang w:bidi="hi-IN"/>
        </w:rPr>
        <w:lastRenderedPageBreak/>
        <w:t>(17)</w:t>
      </w:r>
      <w:r w:rsidRPr="008A2546">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sidRPr="008A2546">
        <w:rPr>
          <w:i/>
          <w:iCs/>
          <w:lang w:bidi="hi-IN"/>
        </w:rPr>
        <w:t>Antimicrobial Agents and Chemotherapy</w:t>
      </w:r>
      <w:r w:rsidRPr="008A2546">
        <w:rPr>
          <w:lang w:bidi="hi-IN"/>
        </w:rPr>
        <w:t xml:space="preserve"> </w:t>
      </w:r>
      <w:r w:rsidRPr="008A2546">
        <w:rPr>
          <w:b/>
          <w:bCs/>
          <w:lang w:bidi="hi-IN"/>
        </w:rPr>
        <w:t>2014</w:t>
      </w:r>
      <w:r w:rsidRPr="008A2546">
        <w:rPr>
          <w:lang w:bidi="hi-IN"/>
        </w:rPr>
        <w:t xml:space="preserve">, </w:t>
      </w:r>
      <w:r w:rsidRPr="008A2546">
        <w:rPr>
          <w:i/>
          <w:iCs/>
          <w:lang w:bidi="hi-IN"/>
        </w:rPr>
        <w:t>58</w:t>
      </w:r>
      <w:r w:rsidRPr="008A2546">
        <w:rPr>
          <w:lang w:bidi="hi-IN"/>
        </w:rPr>
        <w:t xml:space="preserve"> (3), 1652–1663. https://doi.org/10.1128/aac.02403-13</w:t>
      </w:r>
    </w:p>
    <w:p w14:paraId="663B4CE7" w14:textId="77777777" w:rsidR="008A2546" w:rsidRPr="008A2546" w:rsidRDefault="008A2546" w:rsidP="008A2546">
      <w:pPr>
        <w:pStyle w:val="Bibliography"/>
        <w:rPr>
          <w:lang w:bidi="hi-IN"/>
        </w:rPr>
      </w:pPr>
      <w:r w:rsidRPr="008A2546">
        <w:rPr>
          <w:lang w:bidi="hi-IN"/>
        </w:rPr>
        <w:t>(18)</w:t>
      </w:r>
      <w:r w:rsidRPr="008A2546">
        <w:rPr>
          <w:lang w:bidi="hi-IN"/>
        </w:rPr>
        <w:tab/>
        <w:t xml:space="preserve">Rhee, S.-Y.; Schapiro, J. M.; Saladini, F.; Zazzi, M.; Khoo, S.; Shafer, R. W. Potential Role of Doravirine for the Treatment of HIV-1-Infected Persons with Transmitted Drug Resistance. </w:t>
      </w:r>
      <w:r w:rsidRPr="008A2546">
        <w:rPr>
          <w:i/>
          <w:iCs/>
          <w:lang w:bidi="hi-IN"/>
        </w:rPr>
        <w:t>AIDS Res Ther</w:t>
      </w:r>
      <w:r w:rsidRPr="008A2546">
        <w:rPr>
          <w:lang w:bidi="hi-IN"/>
        </w:rPr>
        <w:t xml:space="preserve"> </w:t>
      </w:r>
      <w:r w:rsidRPr="008A2546">
        <w:rPr>
          <w:b/>
          <w:bCs/>
          <w:lang w:bidi="hi-IN"/>
        </w:rPr>
        <w:t>2023</w:t>
      </w:r>
      <w:r w:rsidRPr="008A2546">
        <w:rPr>
          <w:lang w:bidi="hi-IN"/>
        </w:rPr>
        <w:t xml:space="preserve">, </w:t>
      </w:r>
      <w:r w:rsidRPr="008A2546">
        <w:rPr>
          <w:i/>
          <w:iCs/>
          <w:lang w:bidi="hi-IN"/>
        </w:rPr>
        <w:t>20</w:t>
      </w:r>
      <w:r w:rsidRPr="008A2546">
        <w:rPr>
          <w:lang w:bidi="hi-IN"/>
        </w:rPr>
        <w:t xml:space="preserve"> (1), 8. https://doi.org/10.1186/s12981-023-00503-5</w:t>
      </w:r>
    </w:p>
    <w:p w14:paraId="0C0224FE" w14:textId="77777777" w:rsidR="008A2546" w:rsidRPr="008A2546" w:rsidRDefault="008A2546" w:rsidP="008A2546">
      <w:pPr>
        <w:pStyle w:val="Bibliography"/>
        <w:rPr>
          <w:lang w:bidi="hi-IN"/>
        </w:rPr>
      </w:pPr>
      <w:r w:rsidRPr="008A2546">
        <w:rPr>
          <w:lang w:bidi="hi-IN"/>
        </w:rPr>
        <w:t>(19)</w:t>
      </w:r>
      <w:r w:rsidRPr="008A2546">
        <w:rPr>
          <w:lang w:bidi="hi-IN"/>
        </w:rPr>
        <w:tab/>
        <w:t xml:space="preserve">Calza, L.; Colangeli, V.; Pensalfine, G.; Appolloni, L.; Vitale, S.; Bon, I.; Viale, P. Doravirine/Lamivudine/Tenofovir Disoproxil Fumarate in Virologically Suppressed People Living with HIV: A Real-Life Experience. </w:t>
      </w:r>
      <w:r w:rsidRPr="008A2546">
        <w:rPr>
          <w:i/>
          <w:iCs/>
          <w:lang w:bidi="hi-IN"/>
        </w:rPr>
        <w:t>Int J STD AIDS</w:t>
      </w:r>
      <w:r w:rsidRPr="008A2546">
        <w:rPr>
          <w:lang w:bidi="hi-IN"/>
        </w:rPr>
        <w:t xml:space="preserve"> </w:t>
      </w:r>
      <w:r w:rsidRPr="008A2546">
        <w:rPr>
          <w:b/>
          <w:bCs/>
          <w:lang w:bidi="hi-IN"/>
        </w:rPr>
        <w:t>2023</w:t>
      </w:r>
      <w:r w:rsidRPr="008A2546">
        <w:rPr>
          <w:lang w:bidi="hi-IN"/>
        </w:rPr>
        <w:t xml:space="preserve">, </w:t>
      </w:r>
      <w:r w:rsidRPr="008A2546">
        <w:rPr>
          <w:i/>
          <w:iCs/>
          <w:lang w:bidi="hi-IN"/>
        </w:rPr>
        <w:t>34</w:t>
      </w:r>
      <w:r w:rsidRPr="008A2546">
        <w:rPr>
          <w:lang w:bidi="hi-IN"/>
        </w:rPr>
        <w:t xml:space="preserve"> (14), 1018–1023. https://doi.org/10.1177/09564624231195084</w:t>
      </w:r>
    </w:p>
    <w:p w14:paraId="4951ED67" w14:textId="77777777" w:rsidR="008A2546" w:rsidRPr="008A2546" w:rsidRDefault="008A2546" w:rsidP="008A2546">
      <w:pPr>
        <w:pStyle w:val="Bibliography"/>
        <w:rPr>
          <w:lang w:bidi="hi-IN"/>
        </w:rPr>
      </w:pPr>
      <w:r w:rsidRPr="008A2546">
        <w:rPr>
          <w:lang w:bidi="hi-IN"/>
        </w:rPr>
        <w:t>(20)</w:t>
      </w:r>
      <w:r w:rsidRPr="008A2546">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8A2546">
        <w:rPr>
          <w:i/>
          <w:iCs/>
          <w:lang w:bidi="hi-IN"/>
        </w:rPr>
        <w:t>Microbiology Spectrum</w:t>
      </w:r>
      <w:r w:rsidRPr="008A2546">
        <w:rPr>
          <w:lang w:bidi="hi-IN"/>
        </w:rPr>
        <w:t xml:space="preserve"> </w:t>
      </w:r>
      <w:r w:rsidRPr="008A2546">
        <w:rPr>
          <w:b/>
          <w:bCs/>
          <w:lang w:bidi="hi-IN"/>
        </w:rPr>
        <w:t>2024</w:t>
      </w:r>
      <w:r w:rsidRPr="008A2546">
        <w:rPr>
          <w:lang w:bidi="hi-IN"/>
        </w:rPr>
        <w:t xml:space="preserve">, </w:t>
      </w:r>
      <w:r w:rsidRPr="008A2546">
        <w:rPr>
          <w:i/>
          <w:iCs/>
          <w:lang w:bidi="hi-IN"/>
        </w:rPr>
        <w:t>12</w:t>
      </w:r>
      <w:r w:rsidRPr="008A2546">
        <w:rPr>
          <w:lang w:bidi="hi-IN"/>
        </w:rPr>
        <w:t xml:space="preserve"> (8), e00654-24. https://doi.org/10.1128/spectrum.00654-24</w:t>
      </w:r>
    </w:p>
    <w:p w14:paraId="670D6D0B" w14:textId="77777777" w:rsidR="008A2546" w:rsidRPr="008A2546" w:rsidRDefault="008A2546" w:rsidP="008A2546">
      <w:pPr>
        <w:pStyle w:val="Bibliography"/>
        <w:rPr>
          <w:lang w:bidi="hi-IN"/>
        </w:rPr>
      </w:pPr>
      <w:r w:rsidRPr="008A2546">
        <w:rPr>
          <w:lang w:bidi="hi-IN"/>
        </w:rPr>
        <w:t>(21)</w:t>
      </w:r>
      <w:r w:rsidRPr="008A2546">
        <w:rPr>
          <w:lang w:bidi="hi-IN"/>
        </w:rPr>
        <w:tab/>
        <w:t xml:space="preserve">Yang, H.; Li, M.; Liu, Q.; Zeng, Q.; Yuan, J. The Efficacy and Safety of Doravirine/Lamivudine/Tenofovir Disoproxil Fumarate in Treatment-Naïve and Treatment-Experienced Patients with HIV. </w:t>
      </w:r>
      <w:r w:rsidRPr="008A2546">
        <w:rPr>
          <w:i/>
          <w:iCs/>
          <w:lang w:bidi="hi-IN"/>
        </w:rPr>
        <w:t>Annals of Medicine</w:t>
      </w:r>
      <w:r w:rsidRPr="008A2546">
        <w:rPr>
          <w:lang w:bidi="hi-IN"/>
        </w:rPr>
        <w:t xml:space="preserve"> </w:t>
      </w:r>
      <w:r w:rsidRPr="008A2546">
        <w:rPr>
          <w:b/>
          <w:bCs/>
          <w:lang w:bidi="hi-IN"/>
        </w:rPr>
        <w:t>2025</w:t>
      </w:r>
      <w:r w:rsidRPr="008A2546">
        <w:rPr>
          <w:lang w:bidi="hi-IN"/>
        </w:rPr>
        <w:t xml:space="preserve">, </w:t>
      </w:r>
      <w:r w:rsidRPr="008A2546">
        <w:rPr>
          <w:i/>
          <w:iCs/>
          <w:lang w:bidi="hi-IN"/>
        </w:rPr>
        <w:t>57</w:t>
      </w:r>
      <w:r w:rsidRPr="008A2546">
        <w:rPr>
          <w:lang w:bidi="hi-IN"/>
        </w:rPr>
        <w:t xml:space="preserve"> (1), 2564286. https://doi.org/10.1080/07853890.2025.2564286</w:t>
      </w:r>
    </w:p>
    <w:p w14:paraId="091D3D07" w14:textId="77777777" w:rsidR="008A2546" w:rsidRPr="008A2546" w:rsidRDefault="008A2546" w:rsidP="008A2546">
      <w:pPr>
        <w:pStyle w:val="Bibliography"/>
        <w:rPr>
          <w:lang w:bidi="hi-IN"/>
        </w:rPr>
      </w:pPr>
      <w:r w:rsidRPr="008A2546">
        <w:rPr>
          <w:lang w:bidi="hi-IN"/>
        </w:rPr>
        <w:t>(22)</w:t>
      </w:r>
      <w:r w:rsidRPr="008A2546">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8A2546">
        <w:rPr>
          <w:i/>
          <w:iCs/>
          <w:lang w:bidi="hi-IN"/>
        </w:rPr>
        <w:t>The Lancet</w:t>
      </w:r>
      <w:r w:rsidRPr="008A2546">
        <w:rPr>
          <w:lang w:bidi="hi-IN"/>
        </w:rPr>
        <w:t xml:space="preserve"> </w:t>
      </w:r>
      <w:r w:rsidRPr="008A2546">
        <w:rPr>
          <w:b/>
          <w:bCs/>
          <w:lang w:bidi="hi-IN"/>
        </w:rPr>
        <w:t>2026</w:t>
      </w:r>
      <w:r w:rsidRPr="008A2546">
        <w:rPr>
          <w:lang w:bidi="hi-IN"/>
        </w:rPr>
        <w:t xml:space="preserve">, </w:t>
      </w:r>
      <w:r w:rsidRPr="008A2546">
        <w:rPr>
          <w:i/>
          <w:iCs/>
          <w:lang w:bidi="hi-IN"/>
        </w:rPr>
        <w:t>407</w:t>
      </w:r>
      <w:r w:rsidRPr="008A2546">
        <w:rPr>
          <w:lang w:bidi="hi-IN"/>
        </w:rPr>
        <w:t xml:space="preserve"> (10528), 599–610. https://doi.org/10.1016/S0140-6736(25)01945-2</w:t>
      </w:r>
    </w:p>
    <w:p w14:paraId="41BAFCF3" w14:textId="77777777" w:rsidR="008A2546" w:rsidRPr="008A2546" w:rsidRDefault="008A2546" w:rsidP="008A2546">
      <w:pPr>
        <w:pStyle w:val="Bibliography"/>
        <w:rPr>
          <w:lang w:bidi="hi-IN"/>
        </w:rPr>
      </w:pPr>
      <w:r w:rsidRPr="008A2546">
        <w:rPr>
          <w:lang w:bidi="hi-IN"/>
        </w:rPr>
        <w:t>(23)</w:t>
      </w:r>
      <w:r w:rsidRPr="008A2546">
        <w:rPr>
          <w:lang w:bidi="hi-IN"/>
        </w:rPr>
        <w:tab/>
        <w:t xml:space="preserve">Rizzo, R. C.; Wang, D.-P.; Tirado-Rives, J.; Jorgensen, W. L. Validation of a Model for the Complex of HIV-1 Reverse Transcriptase with Sustiva through Computation of Resistance Profiles. </w:t>
      </w:r>
      <w:r w:rsidRPr="008A2546">
        <w:rPr>
          <w:i/>
          <w:iCs/>
          <w:lang w:bidi="hi-IN"/>
        </w:rPr>
        <w:t>Journal American Chemical Society</w:t>
      </w:r>
      <w:r w:rsidRPr="008A2546">
        <w:rPr>
          <w:lang w:bidi="hi-IN"/>
        </w:rPr>
        <w:t xml:space="preserve"> </w:t>
      </w:r>
      <w:r w:rsidRPr="008A2546">
        <w:rPr>
          <w:b/>
          <w:bCs/>
          <w:lang w:bidi="hi-IN"/>
        </w:rPr>
        <w:t>2000</w:t>
      </w:r>
      <w:r w:rsidRPr="008A2546">
        <w:rPr>
          <w:lang w:bidi="hi-IN"/>
        </w:rPr>
        <w:t xml:space="preserve">, </w:t>
      </w:r>
      <w:r w:rsidRPr="008A2546">
        <w:rPr>
          <w:i/>
          <w:iCs/>
          <w:lang w:bidi="hi-IN"/>
        </w:rPr>
        <w:t>122</w:t>
      </w:r>
      <w:r w:rsidRPr="008A2546">
        <w:rPr>
          <w:lang w:bidi="hi-IN"/>
        </w:rPr>
        <w:t xml:space="preserve"> (51), 12898–12900. https://doi.org/10.1021/ja003113r</w:t>
      </w:r>
    </w:p>
    <w:p w14:paraId="3D86D417" w14:textId="77777777" w:rsidR="008A2546" w:rsidRPr="008A2546" w:rsidRDefault="008A2546" w:rsidP="008A2546">
      <w:pPr>
        <w:pStyle w:val="Bibliography"/>
        <w:rPr>
          <w:lang w:bidi="hi-IN"/>
        </w:rPr>
      </w:pPr>
      <w:r w:rsidRPr="008A2546">
        <w:rPr>
          <w:lang w:bidi="hi-IN"/>
        </w:rPr>
        <w:t>(24)</w:t>
      </w:r>
      <w:r w:rsidRPr="008A2546">
        <w:rPr>
          <w:lang w:bidi="hi-IN"/>
        </w:rPr>
        <w:tab/>
        <w:t xml:space="preserve">Wang, D.-P.; Rizzo, R. C.; Tirado-Rives, J.; Jorgensen, W. L. Antiviral Drug Design: Computational Analyses of the Effects of the L100I Mutation for HIV-RT on the Binding of NNRTIs. </w:t>
      </w:r>
      <w:r w:rsidRPr="008A2546">
        <w:rPr>
          <w:i/>
          <w:iCs/>
          <w:lang w:bidi="hi-IN"/>
        </w:rPr>
        <w:t>Bioorganic &amp; Medicinal Chemistry Letters</w:t>
      </w:r>
      <w:r w:rsidRPr="008A2546">
        <w:rPr>
          <w:lang w:bidi="hi-IN"/>
        </w:rPr>
        <w:t xml:space="preserve"> </w:t>
      </w:r>
      <w:r w:rsidRPr="008A2546">
        <w:rPr>
          <w:b/>
          <w:bCs/>
          <w:lang w:bidi="hi-IN"/>
        </w:rPr>
        <w:t>2001</w:t>
      </w:r>
      <w:r w:rsidRPr="008A2546">
        <w:rPr>
          <w:lang w:bidi="hi-IN"/>
        </w:rPr>
        <w:t xml:space="preserve">, </w:t>
      </w:r>
      <w:r w:rsidRPr="008A2546">
        <w:rPr>
          <w:i/>
          <w:iCs/>
          <w:lang w:bidi="hi-IN"/>
        </w:rPr>
        <w:t>11</w:t>
      </w:r>
      <w:r w:rsidRPr="008A2546">
        <w:rPr>
          <w:lang w:bidi="hi-IN"/>
        </w:rPr>
        <w:t xml:space="preserve"> (21), 2799–2802. https://doi.org/10.1016/S0960-894X(01)00510-8</w:t>
      </w:r>
    </w:p>
    <w:p w14:paraId="788339B6" w14:textId="77777777" w:rsidR="008A2546" w:rsidRPr="008A2546" w:rsidRDefault="008A2546" w:rsidP="008A2546">
      <w:pPr>
        <w:pStyle w:val="Bibliography"/>
        <w:rPr>
          <w:lang w:bidi="hi-IN"/>
        </w:rPr>
      </w:pPr>
      <w:r w:rsidRPr="008A2546">
        <w:rPr>
          <w:lang w:bidi="hi-IN"/>
        </w:rPr>
        <w:t>(25)</w:t>
      </w:r>
      <w:r w:rsidRPr="008A2546">
        <w:rPr>
          <w:lang w:bidi="hi-IN"/>
        </w:rPr>
        <w:tab/>
        <w:t xml:space="preserve">Udier-Blagović, M.; Tirado-Rives, J.; Jorgensen, W. L. Validation of a Model for the Complex of HIV-1 Reverse Transcriptase with Nonnucleoside Inhibitor TMC125. </w:t>
      </w:r>
      <w:r w:rsidRPr="008A2546">
        <w:rPr>
          <w:i/>
          <w:iCs/>
          <w:lang w:bidi="hi-IN"/>
        </w:rPr>
        <w:t>Journal American Chemical Society</w:t>
      </w:r>
      <w:r w:rsidRPr="008A2546">
        <w:rPr>
          <w:lang w:bidi="hi-IN"/>
        </w:rPr>
        <w:t xml:space="preserve"> </w:t>
      </w:r>
      <w:r w:rsidRPr="008A2546">
        <w:rPr>
          <w:b/>
          <w:bCs/>
          <w:lang w:bidi="hi-IN"/>
        </w:rPr>
        <w:t>2003</w:t>
      </w:r>
      <w:r w:rsidRPr="008A2546">
        <w:rPr>
          <w:lang w:bidi="hi-IN"/>
        </w:rPr>
        <w:t xml:space="preserve">, </w:t>
      </w:r>
      <w:r w:rsidRPr="008A2546">
        <w:rPr>
          <w:i/>
          <w:iCs/>
          <w:lang w:bidi="hi-IN"/>
        </w:rPr>
        <w:t>125</w:t>
      </w:r>
      <w:r w:rsidRPr="008A2546">
        <w:rPr>
          <w:lang w:bidi="hi-IN"/>
        </w:rPr>
        <w:t xml:space="preserve"> (20), 6016–6017. https://doi.org/10.1021/ja034308c</w:t>
      </w:r>
    </w:p>
    <w:p w14:paraId="5D4A06A2" w14:textId="77777777" w:rsidR="008A2546" w:rsidRPr="008A2546" w:rsidRDefault="008A2546" w:rsidP="008A2546">
      <w:pPr>
        <w:pStyle w:val="Bibliography"/>
        <w:rPr>
          <w:lang w:bidi="hi-IN"/>
        </w:rPr>
      </w:pPr>
      <w:r w:rsidRPr="008A2546">
        <w:rPr>
          <w:lang w:bidi="hi-IN"/>
        </w:rPr>
        <w:lastRenderedPageBreak/>
        <w:t>(26)</w:t>
      </w:r>
      <w:r w:rsidRPr="008A2546">
        <w:rPr>
          <w:lang w:bidi="hi-IN"/>
        </w:rPr>
        <w:tab/>
        <w:t xml:space="preserve">Udier-Blagović, M.; Tirado-Rives, J.; Jorgensen, W. L. Structural and Energetic Analyses of the Effects of the K103N Mutation of HIV-1 Reverse Transcriptase on Efavirenz Analogues.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(9), 2389–2392. https://doi.org/10.1021/jm0303507</w:t>
      </w:r>
    </w:p>
    <w:p w14:paraId="7BED56EE" w14:textId="77777777" w:rsidR="008A2546" w:rsidRPr="008A2546" w:rsidRDefault="008A2546" w:rsidP="008A2546">
      <w:pPr>
        <w:pStyle w:val="Bibliography"/>
        <w:rPr>
          <w:lang w:bidi="hi-IN"/>
        </w:rPr>
      </w:pPr>
      <w:r w:rsidRPr="008A2546">
        <w:rPr>
          <w:lang w:bidi="hi-IN"/>
        </w:rPr>
        <w:t>(27)</w:t>
      </w:r>
      <w:r w:rsidRPr="008A2546">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8A2546">
        <w:rPr>
          <w:i/>
          <w:iCs/>
          <w:lang w:bidi="hi-IN"/>
        </w:rPr>
        <w:t>Journal American Chemical Society</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(20), 7570–7578. https://doi.org/10.1021/ja042289g</w:t>
      </w:r>
    </w:p>
    <w:p w14:paraId="5B2CDFBF" w14:textId="77777777" w:rsidR="008A2546" w:rsidRPr="008A2546" w:rsidRDefault="008A2546" w:rsidP="008A2546">
      <w:pPr>
        <w:pStyle w:val="Bibliography"/>
        <w:rPr>
          <w:lang w:bidi="hi-IN"/>
        </w:rPr>
      </w:pPr>
      <w:r w:rsidRPr="008A2546">
        <w:rPr>
          <w:lang w:bidi="hi-IN"/>
        </w:rPr>
        <w:t>(28)</w:t>
      </w:r>
      <w:r w:rsidRPr="008A2546">
        <w:rPr>
          <w:lang w:bidi="hi-IN"/>
        </w:rPr>
        <w:tab/>
        <w:t xml:space="preserve">Zhou, Z.; Madrid, M.; Evanseck, J. D.; Madura, J. D. Effect of a Bound Non-Nucleoside RT Inhibitor on the Dynamics of Wild-Type and Mutant HIV-1 Reverse Transcriptase. </w:t>
      </w:r>
      <w:r w:rsidRPr="008A2546">
        <w:rPr>
          <w:i/>
          <w:iCs/>
          <w:lang w:bidi="hi-IN"/>
        </w:rPr>
        <w:t>J. Am. Chem. Soc.</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(49), 17253–17260. https://doi.org/10.1021/ja053973d</w:t>
      </w:r>
    </w:p>
    <w:p w14:paraId="639082D1" w14:textId="77777777" w:rsidR="008A2546" w:rsidRPr="008A2546" w:rsidRDefault="008A2546" w:rsidP="008A2546">
      <w:pPr>
        <w:pStyle w:val="Bibliography"/>
        <w:rPr>
          <w:lang w:bidi="hi-IN"/>
        </w:rPr>
      </w:pPr>
      <w:r w:rsidRPr="008A2546">
        <w:rPr>
          <w:lang w:bidi="hi-IN"/>
        </w:rPr>
        <w:t>(29)</w:t>
      </w:r>
      <w:r w:rsidRPr="008A2546">
        <w:rPr>
          <w:lang w:bidi="hi-IN"/>
        </w:rPr>
        <w:tab/>
        <w:t xml:space="preserve">Vijayan, R. S. K.; Arnold, E.; Das, K. Molecular Dynamics Study of HIV-1 RT-DNA-Nevirapine Complexes Explains NNRTI Inhibition and Resistance by Connection Mutations. </w:t>
      </w:r>
      <w:r w:rsidRPr="008A2546">
        <w:rPr>
          <w:i/>
          <w:iCs/>
          <w:lang w:bidi="hi-IN"/>
        </w:rPr>
        <w:t>Proteins: Structure, Function, and Bioinformatics</w:t>
      </w:r>
      <w:r w:rsidRPr="008A2546">
        <w:rPr>
          <w:lang w:bidi="hi-IN"/>
        </w:rPr>
        <w:t xml:space="preserve"> </w:t>
      </w:r>
      <w:r w:rsidRPr="008A2546">
        <w:rPr>
          <w:b/>
          <w:bCs/>
          <w:lang w:bidi="hi-IN"/>
        </w:rPr>
        <w:t>2014</w:t>
      </w:r>
      <w:r w:rsidRPr="008A2546">
        <w:rPr>
          <w:lang w:bidi="hi-IN"/>
        </w:rPr>
        <w:t xml:space="preserve">, </w:t>
      </w:r>
      <w:r w:rsidRPr="008A2546">
        <w:rPr>
          <w:i/>
          <w:iCs/>
          <w:lang w:bidi="hi-IN"/>
        </w:rPr>
        <w:t>82</w:t>
      </w:r>
      <w:r w:rsidRPr="008A2546">
        <w:rPr>
          <w:lang w:bidi="hi-IN"/>
        </w:rPr>
        <w:t xml:space="preserve"> (5), 815–829. https://doi.org/10.1002/prot.24460</w:t>
      </w:r>
    </w:p>
    <w:p w14:paraId="39F7835D" w14:textId="77777777" w:rsidR="008A2546" w:rsidRPr="008A2546" w:rsidRDefault="008A2546" w:rsidP="008A2546">
      <w:pPr>
        <w:pStyle w:val="Bibliography"/>
        <w:rPr>
          <w:lang w:bidi="hi-IN"/>
        </w:rPr>
      </w:pPr>
      <w:r w:rsidRPr="008A2546">
        <w:rPr>
          <w:lang w:bidi="hi-IN"/>
        </w:rPr>
        <w:t>(30)</w:t>
      </w:r>
      <w:r w:rsidRPr="008A2546">
        <w:rPr>
          <w:lang w:bidi="hi-IN"/>
        </w:rPr>
        <w:tab/>
        <w:t xml:space="preserve">Geitmann, M.; Unge, T.; Danielson, U. H. Interaction Kinetic Characterization of HIV-1 Reverse Transcriptase Non-Nucleoside Inhibitor Resistance. </w:t>
      </w:r>
      <w:r w:rsidRPr="008A2546">
        <w:rPr>
          <w:i/>
          <w:iCs/>
          <w:lang w:bidi="hi-IN"/>
        </w:rPr>
        <w:t>J. Med. Chem.</w:t>
      </w:r>
      <w:r w:rsidRPr="008A2546">
        <w:rPr>
          <w:lang w:bidi="hi-IN"/>
        </w:rPr>
        <w:t xml:space="preserve"> </w:t>
      </w:r>
      <w:r w:rsidRPr="008A2546">
        <w:rPr>
          <w:b/>
          <w:bCs/>
          <w:lang w:bidi="hi-IN"/>
        </w:rPr>
        <w:t>2006</w:t>
      </w:r>
      <w:r w:rsidRPr="008A2546">
        <w:rPr>
          <w:lang w:bidi="hi-IN"/>
        </w:rPr>
        <w:t xml:space="preserve">, </w:t>
      </w:r>
      <w:r w:rsidRPr="008A2546">
        <w:rPr>
          <w:i/>
          <w:iCs/>
          <w:lang w:bidi="hi-IN"/>
        </w:rPr>
        <w:t>49</w:t>
      </w:r>
      <w:r w:rsidRPr="008A2546">
        <w:rPr>
          <w:lang w:bidi="hi-IN"/>
        </w:rPr>
        <w:t xml:space="preserve"> (8), 2375–2387. https://doi.org/10.1021/jm0504050</w:t>
      </w:r>
    </w:p>
    <w:p w14:paraId="67774ECA" w14:textId="77777777" w:rsidR="008A2546" w:rsidRPr="008A2546" w:rsidRDefault="008A2546" w:rsidP="008A2546">
      <w:pPr>
        <w:pStyle w:val="Bibliography"/>
        <w:rPr>
          <w:lang w:bidi="hi-IN"/>
        </w:rPr>
      </w:pPr>
      <w:r w:rsidRPr="008A2546">
        <w:rPr>
          <w:lang w:bidi="hi-IN"/>
        </w:rPr>
        <w:t>(31)</w:t>
      </w:r>
      <w:r w:rsidRPr="008A2546">
        <w:rPr>
          <w:lang w:bidi="hi-IN"/>
        </w:rPr>
        <w:tab/>
        <w:t xml:space="preserve">Ghidini, A.; Serra, E.; Cavalli, A. On Free Energy Calculations in Drug Discovery. </w:t>
      </w:r>
      <w:r w:rsidRPr="008A2546">
        <w:rPr>
          <w:i/>
          <w:iCs/>
          <w:lang w:bidi="hi-IN"/>
        </w:rPr>
        <w:t>Acc. Chem. Res.</w:t>
      </w:r>
      <w:r w:rsidRPr="008A2546">
        <w:rPr>
          <w:lang w:bidi="hi-IN"/>
        </w:rPr>
        <w:t xml:space="preserve"> </w:t>
      </w:r>
      <w:r w:rsidRPr="008A2546">
        <w:rPr>
          <w:b/>
          <w:bCs/>
          <w:lang w:bidi="hi-IN"/>
        </w:rPr>
        <w:t>2025</w:t>
      </w:r>
      <w:r w:rsidRPr="008A2546">
        <w:rPr>
          <w:lang w:bidi="hi-IN"/>
        </w:rPr>
        <w:t xml:space="preserve">, </w:t>
      </w:r>
      <w:r w:rsidRPr="008A2546">
        <w:rPr>
          <w:i/>
          <w:iCs/>
          <w:lang w:bidi="hi-IN"/>
        </w:rPr>
        <w:t>58</w:t>
      </w:r>
      <w:r w:rsidRPr="008A2546">
        <w:rPr>
          <w:lang w:bidi="hi-IN"/>
        </w:rPr>
        <w:t xml:space="preserve"> (20), 3137–3145. https://doi.org/10.1021/acs.accounts.5c00465</w:t>
      </w:r>
    </w:p>
    <w:p w14:paraId="67168A93" w14:textId="77777777" w:rsidR="008A2546" w:rsidRPr="008A2546" w:rsidRDefault="008A2546" w:rsidP="008A2546">
      <w:pPr>
        <w:pStyle w:val="Bibliography"/>
        <w:rPr>
          <w:lang w:bidi="hi-IN"/>
        </w:rPr>
      </w:pPr>
      <w:r w:rsidRPr="008A2546">
        <w:rPr>
          <w:lang w:bidi="hi-IN"/>
        </w:rPr>
        <w:t>(32)</w:t>
      </w:r>
      <w:r w:rsidRPr="008A2546">
        <w:rPr>
          <w:lang w:bidi="hi-IN"/>
        </w:rPr>
        <w:tab/>
        <w:t xml:space="preserve">Gapsys, V.; Pérez-Benito, L.; Aldeghi, M.; Seeliger, D.; van Vlijmen, H.; Tresadern, G.; de Groot, B. L. Large Scale Relative Protein Ligand Binding Affinities Using Non-Equilibrium Alchemy. </w:t>
      </w:r>
      <w:r w:rsidRPr="008A2546">
        <w:rPr>
          <w:i/>
          <w:iCs/>
          <w:lang w:bidi="hi-IN"/>
        </w:rPr>
        <w:t>Chem. Sci.</w:t>
      </w:r>
      <w:r w:rsidRPr="008A2546">
        <w:rPr>
          <w:lang w:bidi="hi-IN"/>
        </w:rPr>
        <w:t xml:space="preserve"> </w:t>
      </w:r>
      <w:r w:rsidRPr="008A2546">
        <w:rPr>
          <w:b/>
          <w:bCs/>
          <w:lang w:bidi="hi-IN"/>
        </w:rPr>
        <w:t>2020</w:t>
      </w:r>
      <w:r w:rsidRPr="008A2546">
        <w:rPr>
          <w:lang w:bidi="hi-IN"/>
        </w:rPr>
        <w:t xml:space="preserve">, </w:t>
      </w:r>
      <w:r w:rsidRPr="008A2546">
        <w:rPr>
          <w:i/>
          <w:iCs/>
          <w:lang w:bidi="hi-IN"/>
        </w:rPr>
        <w:t>11</w:t>
      </w:r>
      <w:r w:rsidRPr="008A2546">
        <w:rPr>
          <w:lang w:bidi="hi-IN"/>
        </w:rPr>
        <w:t xml:space="preserve"> (4), 1140–1152. https://doi.org/10.1039/c9sc03754c</w:t>
      </w:r>
    </w:p>
    <w:p w14:paraId="66CF1885" w14:textId="77777777" w:rsidR="008A2546" w:rsidRPr="008A2546" w:rsidRDefault="008A2546" w:rsidP="008A2546">
      <w:pPr>
        <w:pStyle w:val="Bibliography"/>
        <w:rPr>
          <w:lang w:bidi="hi-IN"/>
        </w:rPr>
      </w:pPr>
      <w:r w:rsidRPr="008A2546">
        <w:rPr>
          <w:lang w:bidi="hi-IN"/>
        </w:rPr>
        <w:t>(33)</w:t>
      </w:r>
      <w:r w:rsidRPr="008A2546">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8A2546">
        <w:rPr>
          <w:i/>
          <w:iCs/>
          <w:lang w:bidi="hi-IN"/>
        </w:rPr>
        <w:t>Acc. Chem. Res.</w:t>
      </w:r>
      <w:r w:rsidRPr="008A2546">
        <w:rPr>
          <w:lang w:bidi="hi-IN"/>
        </w:rPr>
        <w:t xml:space="preserve"> </w:t>
      </w:r>
      <w:r w:rsidRPr="008A2546">
        <w:rPr>
          <w:b/>
          <w:bCs/>
          <w:lang w:bidi="hi-IN"/>
        </w:rPr>
        <w:t>2000</w:t>
      </w:r>
      <w:r w:rsidRPr="008A2546">
        <w:rPr>
          <w:lang w:bidi="hi-IN"/>
        </w:rPr>
        <w:t xml:space="preserve">, </w:t>
      </w:r>
      <w:r w:rsidRPr="008A2546">
        <w:rPr>
          <w:i/>
          <w:iCs/>
          <w:lang w:bidi="hi-IN"/>
        </w:rPr>
        <w:t>33</w:t>
      </w:r>
      <w:r w:rsidRPr="008A2546">
        <w:rPr>
          <w:lang w:bidi="hi-IN"/>
        </w:rPr>
        <w:t xml:space="preserve"> (12), 889–897. https://doi.org/10.1021/ar000033j</w:t>
      </w:r>
    </w:p>
    <w:p w14:paraId="31EC8E78" w14:textId="77777777" w:rsidR="008A2546" w:rsidRPr="008A2546" w:rsidRDefault="008A2546" w:rsidP="008A2546">
      <w:pPr>
        <w:pStyle w:val="Bibliography"/>
        <w:rPr>
          <w:lang w:bidi="hi-IN"/>
        </w:rPr>
      </w:pPr>
      <w:r w:rsidRPr="008A2546">
        <w:rPr>
          <w:lang w:bidi="hi-IN"/>
        </w:rPr>
        <w:t>(34)</w:t>
      </w:r>
      <w:r w:rsidRPr="008A2546">
        <w:rPr>
          <w:lang w:bidi="hi-IN"/>
        </w:rPr>
        <w:tab/>
        <w:t xml:space="preserve">Genheden, S.; Ryde, U. The MM/PBSA and MM/GBSA Methods to Estimate Ligand-Binding Affinities. </w:t>
      </w:r>
      <w:r w:rsidRPr="008A2546">
        <w:rPr>
          <w:i/>
          <w:iCs/>
          <w:lang w:bidi="hi-IN"/>
        </w:rPr>
        <w:t>Expert Opinion on Drug Discovery</w:t>
      </w:r>
      <w:r w:rsidRPr="008A2546">
        <w:rPr>
          <w:lang w:bidi="hi-IN"/>
        </w:rPr>
        <w:t xml:space="preserve"> </w:t>
      </w:r>
      <w:r w:rsidRPr="008A2546">
        <w:rPr>
          <w:b/>
          <w:bCs/>
          <w:lang w:bidi="hi-IN"/>
        </w:rPr>
        <w:t>2015</w:t>
      </w:r>
      <w:r w:rsidRPr="008A2546">
        <w:rPr>
          <w:lang w:bidi="hi-IN"/>
        </w:rPr>
        <w:t xml:space="preserve">, </w:t>
      </w:r>
      <w:r w:rsidRPr="008A2546">
        <w:rPr>
          <w:i/>
          <w:iCs/>
          <w:lang w:bidi="hi-IN"/>
        </w:rPr>
        <w:t>10</w:t>
      </w:r>
      <w:r w:rsidRPr="008A2546">
        <w:rPr>
          <w:lang w:bidi="hi-IN"/>
        </w:rPr>
        <w:t xml:space="preserve"> (5), 449–461. https://doi.org/10.1517/17460441.2015.1032936</w:t>
      </w:r>
    </w:p>
    <w:p w14:paraId="5B225780" w14:textId="77777777" w:rsidR="008A2546" w:rsidRPr="008A2546" w:rsidRDefault="008A2546" w:rsidP="008A2546">
      <w:pPr>
        <w:pStyle w:val="Bibliography"/>
        <w:rPr>
          <w:lang w:bidi="hi-IN"/>
        </w:rPr>
      </w:pPr>
      <w:r w:rsidRPr="008A2546">
        <w:rPr>
          <w:lang w:bidi="hi-IN"/>
        </w:rPr>
        <w:t>(35)</w:t>
      </w:r>
      <w:r w:rsidRPr="008A2546">
        <w:rPr>
          <w:lang w:bidi="hi-IN"/>
        </w:rPr>
        <w:tab/>
        <w:t xml:space="preserve">Kabsch, W. A Solution for the Best Rotation to Relate Two Sets of Vectors. </w:t>
      </w:r>
      <w:r w:rsidRPr="008A2546">
        <w:rPr>
          <w:i/>
          <w:iCs/>
          <w:lang w:bidi="hi-IN"/>
        </w:rPr>
        <w:t>Acta Crystallographica Section A</w:t>
      </w:r>
      <w:r w:rsidRPr="008A2546">
        <w:rPr>
          <w:lang w:bidi="hi-IN"/>
        </w:rPr>
        <w:t xml:space="preserve"> </w:t>
      </w:r>
      <w:r w:rsidRPr="008A2546">
        <w:rPr>
          <w:b/>
          <w:bCs/>
          <w:lang w:bidi="hi-IN"/>
        </w:rPr>
        <w:t>1976</w:t>
      </w:r>
      <w:r w:rsidRPr="008A2546">
        <w:rPr>
          <w:lang w:bidi="hi-IN"/>
        </w:rPr>
        <w:t xml:space="preserve">, </w:t>
      </w:r>
      <w:r w:rsidRPr="008A2546">
        <w:rPr>
          <w:i/>
          <w:iCs/>
          <w:lang w:bidi="hi-IN"/>
        </w:rPr>
        <w:t>32</w:t>
      </w:r>
      <w:r w:rsidRPr="008A2546">
        <w:rPr>
          <w:lang w:bidi="hi-IN"/>
        </w:rPr>
        <w:t xml:space="preserve"> (5), 922–923. https://doi.org/10.1107/S0567739476001873</w:t>
      </w:r>
    </w:p>
    <w:p w14:paraId="4F83B565" w14:textId="77777777" w:rsidR="008A2546" w:rsidRPr="008A2546" w:rsidRDefault="008A2546" w:rsidP="008A2546">
      <w:pPr>
        <w:pStyle w:val="Bibliography"/>
        <w:rPr>
          <w:lang w:bidi="hi-IN"/>
        </w:rPr>
      </w:pPr>
      <w:r w:rsidRPr="008A2546">
        <w:rPr>
          <w:lang w:bidi="hi-IN"/>
        </w:rPr>
        <w:t>(36)</w:t>
      </w:r>
      <w:r w:rsidRPr="008A2546">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8A2546">
        <w:rPr>
          <w:i/>
          <w:iCs/>
          <w:lang w:bidi="hi-IN"/>
        </w:rPr>
        <w:t>PLOS Computational Biology</w:t>
      </w:r>
      <w:r w:rsidRPr="008A2546">
        <w:rPr>
          <w:lang w:bidi="hi-IN"/>
        </w:rPr>
        <w:t xml:space="preserve"> </w:t>
      </w:r>
      <w:r w:rsidRPr="008A2546">
        <w:rPr>
          <w:b/>
          <w:bCs/>
          <w:lang w:bidi="hi-IN"/>
        </w:rPr>
        <w:t>2017</w:t>
      </w:r>
      <w:r w:rsidRPr="008A2546">
        <w:rPr>
          <w:lang w:bidi="hi-IN"/>
        </w:rPr>
        <w:t xml:space="preserve">, </w:t>
      </w:r>
      <w:r w:rsidRPr="008A2546">
        <w:rPr>
          <w:i/>
          <w:iCs/>
          <w:lang w:bidi="hi-IN"/>
        </w:rPr>
        <w:t>13</w:t>
      </w:r>
      <w:r w:rsidRPr="008A2546">
        <w:rPr>
          <w:lang w:bidi="hi-IN"/>
        </w:rPr>
        <w:t xml:space="preserve"> (7), e1005659. https://doi.org/10.1371/journal.pcbi.1005659</w:t>
      </w:r>
    </w:p>
    <w:p w14:paraId="0AD2D31D" w14:textId="77777777" w:rsidR="008A2546" w:rsidRPr="008A2546" w:rsidRDefault="008A2546" w:rsidP="008A2546">
      <w:pPr>
        <w:pStyle w:val="Bibliography"/>
        <w:rPr>
          <w:lang w:bidi="hi-IN"/>
        </w:rPr>
      </w:pPr>
      <w:r w:rsidRPr="008A2546">
        <w:rPr>
          <w:lang w:bidi="hi-IN"/>
        </w:rPr>
        <w:lastRenderedPageBreak/>
        <w:t>(37)</w:t>
      </w:r>
      <w:r w:rsidRPr="008A2546">
        <w:rPr>
          <w:lang w:bidi="hi-IN"/>
        </w:rPr>
        <w:tab/>
        <w:t xml:space="preserve">Maier, J. A.; Martinez, C.; Kasavajhala, K.; Wickstrom, L.; Hauser, K. E.; Simmerling, C. ff14SB: Improving the Accuracy of Protein Side Chain and Backbone Parameters from ff99SB. </w:t>
      </w:r>
      <w:r w:rsidRPr="008A2546">
        <w:rPr>
          <w:i/>
          <w:iCs/>
          <w:lang w:bidi="hi-IN"/>
        </w:rPr>
        <w:t>J. Chem. Theory Comput.</w:t>
      </w:r>
      <w:r w:rsidRPr="008A2546">
        <w:rPr>
          <w:lang w:bidi="hi-IN"/>
        </w:rPr>
        <w:t xml:space="preserve"> </w:t>
      </w:r>
      <w:r w:rsidRPr="008A2546">
        <w:rPr>
          <w:b/>
          <w:bCs/>
          <w:lang w:bidi="hi-IN"/>
        </w:rPr>
        <w:t>2015</w:t>
      </w:r>
      <w:r w:rsidRPr="008A2546">
        <w:rPr>
          <w:lang w:bidi="hi-IN"/>
        </w:rPr>
        <w:t xml:space="preserve">, </w:t>
      </w:r>
      <w:r w:rsidRPr="008A2546">
        <w:rPr>
          <w:i/>
          <w:iCs/>
          <w:lang w:bidi="hi-IN"/>
        </w:rPr>
        <w:t>11</w:t>
      </w:r>
      <w:r w:rsidRPr="008A2546">
        <w:rPr>
          <w:lang w:bidi="hi-IN"/>
        </w:rPr>
        <w:t xml:space="preserve"> (8), 3696–3713. https://doi.org/10.1021/acs.jctc.5b00255</w:t>
      </w:r>
    </w:p>
    <w:p w14:paraId="54F9B6D5" w14:textId="77777777" w:rsidR="008A2546" w:rsidRPr="008A2546" w:rsidRDefault="008A2546" w:rsidP="008A2546">
      <w:pPr>
        <w:pStyle w:val="Bibliography"/>
        <w:rPr>
          <w:lang w:bidi="hi-IN"/>
        </w:rPr>
      </w:pPr>
      <w:r w:rsidRPr="008A2546">
        <w:rPr>
          <w:lang w:bidi="hi-IN"/>
        </w:rPr>
        <w:t>(38)</w:t>
      </w:r>
      <w:r w:rsidRPr="008A2546">
        <w:rPr>
          <w:lang w:bidi="hi-IN"/>
        </w:rPr>
        <w:tab/>
        <w:t xml:space="preserve">Jorgensen, W. L.; Chandrasekhar, J.; Madura, J. D.; Impey, R. W.; Klein, M. L. Comparison of Simple Potential Functions for Simulating Liquid Water. </w:t>
      </w:r>
      <w:r w:rsidRPr="008A2546">
        <w:rPr>
          <w:i/>
          <w:iCs/>
          <w:lang w:bidi="hi-IN"/>
        </w:rPr>
        <w:t>J. Chem. Phys.</w:t>
      </w:r>
      <w:r w:rsidRPr="008A2546">
        <w:rPr>
          <w:lang w:bidi="hi-IN"/>
        </w:rPr>
        <w:t xml:space="preserve"> </w:t>
      </w:r>
      <w:r w:rsidRPr="008A2546">
        <w:rPr>
          <w:b/>
          <w:bCs/>
          <w:lang w:bidi="hi-IN"/>
        </w:rPr>
        <w:t>1983</w:t>
      </w:r>
      <w:r w:rsidRPr="008A2546">
        <w:rPr>
          <w:lang w:bidi="hi-IN"/>
        </w:rPr>
        <w:t xml:space="preserve">, </w:t>
      </w:r>
      <w:r w:rsidRPr="008A2546">
        <w:rPr>
          <w:i/>
          <w:iCs/>
          <w:lang w:bidi="hi-IN"/>
        </w:rPr>
        <w:t>79</w:t>
      </w:r>
      <w:r w:rsidRPr="008A2546">
        <w:rPr>
          <w:lang w:bidi="hi-IN"/>
        </w:rPr>
        <w:t xml:space="preserve"> (2), 926–935. https://doi.org/10.1063/1.445869</w:t>
      </w:r>
    </w:p>
    <w:p w14:paraId="0AE7E52B" w14:textId="77777777" w:rsidR="008A2546" w:rsidRPr="008A2546" w:rsidRDefault="008A2546" w:rsidP="008A2546">
      <w:pPr>
        <w:pStyle w:val="Bibliography"/>
        <w:rPr>
          <w:lang w:bidi="hi-IN"/>
        </w:rPr>
      </w:pPr>
      <w:r w:rsidRPr="008A2546">
        <w:rPr>
          <w:lang w:bidi="hi-IN"/>
        </w:rPr>
        <w:t>(39)</w:t>
      </w:r>
      <w:r w:rsidRPr="008A2546">
        <w:rPr>
          <w:lang w:bidi="hi-IN"/>
        </w:rPr>
        <w:tab/>
        <w:t xml:space="preserve">Mobley, D. L.; Bannan, C. C.; Rizzi, A.; Bayly, C. I.; Chodera, J. D.; Lim, V. T.; Lim, N. M.; Beauchamp, K. A.; Slochower, D. R.; Shirts, M. R.; Gilson, M. K.; Eastman, P. K. Escaping Atom Types in Force Fields Using Direct Chemical Perception.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(11), 6076–6092. https://doi.org/10.1021/acs.jctc.8b00640</w:t>
      </w:r>
    </w:p>
    <w:p w14:paraId="7D4F69A6" w14:textId="77777777" w:rsidR="008A2546" w:rsidRPr="008A2546" w:rsidRDefault="008A2546" w:rsidP="008A2546">
      <w:pPr>
        <w:pStyle w:val="Bibliography"/>
        <w:rPr>
          <w:lang w:bidi="hi-IN"/>
        </w:rPr>
      </w:pPr>
      <w:r w:rsidRPr="008A2546">
        <w:rPr>
          <w:lang w:bidi="hi-IN"/>
        </w:rPr>
        <w:t>(40)</w:t>
      </w:r>
      <w:r w:rsidRPr="008A2546">
        <w:rPr>
          <w:lang w:bidi="hi-IN"/>
        </w:rPr>
        <w:tab/>
        <w:t xml:space="preserve">Gasteiger, J.; Marsili, M. Iterative Partial Equalization of Orbital Electronegativity—a Rapid Access to Atomic Charges. </w:t>
      </w:r>
      <w:r w:rsidRPr="008A2546">
        <w:rPr>
          <w:i/>
          <w:iCs/>
          <w:lang w:bidi="hi-IN"/>
        </w:rPr>
        <w:t>Tetrahedron</w:t>
      </w:r>
      <w:r w:rsidRPr="008A2546">
        <w:rPr>
          <w:lang w:bidi="hi-IN"/>
        </w:rPr>
        <w:t xml:space="preserve"> </w:t>
      </w:r>
      <w:r w:rsidRPr="008A2546">
        <w:rPr>
          <w:b/>
          <w:bCs/>
          <w:lang w:bidi="hi-IN"/>
        </w:rPr>
        <w:t>1980</w:t>
      </w:r>
      <w:r w:rsidRPr="008A2546">
        <w:rPr>
          <w:lang w:bidi="hi-IN"/>
        </w:rPr>
        <w:t xml:space="preserve">, </w:t>
      </w:r>
      <w:r w:rsidRPr="008A2546">
        <w:rPr>
          <w:i/>
          <w:iCs/>
          <w:lang w:bidi="hi-IN"/>
        </w:rPr>
        <w:t>36</w:t>
      </w:r>
      <w:r w:rsidRPr="008A2546">
        <w:rPr>
          <w:lang w:bidi="hi-IN"/>
        </w:rPr>
        <w:t xml:space="preserve"> (22), 3219–3228. https://doi.org/10.1016/0040-4020(80)80168-2</w:t>
      </w:r>
    </w:p>
    <w:p w14:paraId="6A950CFF" w14:textId="77777777" w:rsidR="008A2546" w:rsidRPr="008A2546" w:rsidRDefault="008A2546" w:rsidP="008A2546">
      <w:pPr>
        <w:pStyle w:val="Bibliography"/>
        <w:rPr>
          <w:lang w:bidi="hi-IN"/>
        </w:rPr>
      </w:pPr>
      <w:r w:rsidRPr="008A2546">
        <w:rPr>
          <w:lang w:bidi="hi-IN"/>
        </w:rPr>
        <w:t>(41)</w:t>
      </w:r>
      <w:r w:rsidRPr="008A2546">
        <w:rPr>
          <w:lang w:bidi="hi-IN"/>
        </w:rPr>
        <w:tab/>
        <w:t>Darden, T.; York, D.; Pedersen, L. Particle Mesh Ewald: An N</w:t>
      </w:r>
      <w:r w:rsidRPr="008A2546">
        <w:rPr>
          <w:rFonts w:ascii="Cambria Math" w:hAnsi="Cambria Math" w:cs="Cambria Math"/>
          <w:lang w:bidi="hi-IN"/>
        </w:rPr>
        <w:t>⋅</w:t>
      </w:r>
      <w:r w:rsidRPr="008A2546">
        <w:rPr>
          <w:lang w:bidi="hi-IN"/>
        </w:rPr>
        <w:t xml:space="preserve">log(N) Method for Ewald Sums in Large Systems. </w:t>
      </w:r>
      <w:r w:rsidRPr="008A2546">
        <w:rPr>
          <w:i/>
          <w:iCs/>
          <w:lang w:bidi="hi-IN"/>
        </w:rPr>
        <w:t>J. Chem. Phys.</w:t>
      </w:r>
      <w:r w:rsidRPr="008A2546">
        <w:rPr>
          <w:lang w:bidi="hi-IN"/>
        </w:rPr>
        <w:t xml:space="preserve"> </w:t>
      </w:r>
      <w:r w:rsidRPr="008A2546">
        <w:rPr>
          <w:b/>
          <w:bCs/>
          <w:lang w:bidi="hi-IN"/>
        </w:rPr>
        <w:t>1993</w:t>
      </w:r>
      <w:r w:rsidRPr="008A2546">
        <w:rPr>
          <w:lang w:bidi="hi-IN"/>
        </w:rPr>
        <w:t xml:space="preserve">, </w:t>
      </w:r>
      <w:r w:rsidRPr="008A2546">
        <w:rPr>
          <w:i/>
          <w:iCs/>
          <w:lang w:bidi="hi-IN"/>
        </w:rPr>
        <w:t>98</w:t>
      </w:r>
      <w:r w:rsidRPr="008A2546">
        <w:rPr>
          <w:lang w:bidi="hi-IN"/>
        </w:rPr>
        <w:t xml:space="preserve"> (12), 10089–10092. https://doi.org/10.1063/1.464397</w:t>
      </w:r>
    </w:p>
    <w:p w14:paraId="7320910A" w14:textId="77777777" w:rsidR="008A2546" w:rsidRPr="008A2546" w:rsidRDefault="008A2546" w:rsidP="008A2546">
      <w:pPr>
        <w:pStyle w:val="Bibliography"/>
        <w:rPr>
          <w:lang w:bidi="hi-IN"/>
        </w:rPr>
      </w:pPr>
      <w:r w:rsidRPr="008A2546">
        <w:rPr>
          <w:lang w:bidi="hi-IN"/>
        </w:rPr>
        <w:t>(42)</w:t>
      </w:r>
      <w:r w:rsidRPr="008A2546">
        <w:rPr>
          <w:lang w:bidi="hi-IN"/>
        </w:rPr>
        <w:tab/>
        <w:t xml:space="preserve">Michaud-Agrawal, N.; Denning, E. J.; Woolf, T. B.; Beckstein, O. MDAnalysis: A Toolkit for the Analysis of Molecular Dynamics Simulations. </w:t>
      </w:r>
      <w:r w:rsidRPr="008A2546">
        <w:rPr>
          <w:i/>
          <w:iCs/>
          <w:lang w:bidi="hi-IN"/>
        </w:rPr>
        <w:t>Journal of Computational Chemistry</w:t>
      </w:r>
      <w:r w:rsidRPr="008A2546">
        <w:rPr>
          <w:lang w:bidi="hi-IN"/>
        </w:rPr>
        <w:t xml:space="preserve"> </w:t>
      </w:r>
      <w:r w:rsidRPr="008A2546">
        <w:rPr>
          <w:b/>
          <w:bCs/>
          <w:lang w:bidi="hi-IN"/>
        </w:rPr>
        <w:t>2011</w:t>
      </w:r>
      <w:r w:rsidRPr="008A2546">
        <w:rPr>
          <w:lang w:bidi="hi-IN"/>
        </w:rPr>
        <w:t xml:space="preserve">, </w:t>
      </w:r>
      <w:r w:rsidRPr="008A2546">
        <w:rPr>
          <w:i/>
          <w:iCs/>
          <w:lang w:bidi="hi-IN"/>
        </w:rPr>
        <w:t>32</w:t>
      </w:r>
      <w:r w:rsidRPr="008A2546">
        <w:rPr>
          <w:lang w:bidi="hi-IN"/>
        </w:rPr>
        <w:t xml:space="preserve"> (10), 2319–2327. https://doi.org/10.1002/jcc.21787</w:t>
      </w:r>
    </w:p>
    <w:p w14:paraId="436916E2" w14:textId="77777777" w:rsidR="008A2546" w:rsidRPr="008A2546" w:rsidRDefault="008A2546" w:rsidP="008A2546">
      <w:pPr>
        <w:pStyle w:val="Bibliography"/>
        <w:rPr>
          <w:lang w:bidi="hi-IN"/>
        </w:rPr>
      </w:pPr>
      <w:r w:rsidRPr="008A2546">
        <w:rPr>
          <w:lang w:bidi="hi-IN"/>
        </w:rPr>
        <w:t>(43)</w:t>
      </w:r>
      <w:r w:rsidRPr="008A2546">
        <w:rPr>
          <w:lang w:bidi="hi-IN"/>
        </w:rPr>
        <w:tab/>
        <w:t xml:space="preserve">McGibbon, R. T.; Beauchamp, K. A.; Harrigan, M. P.; Klein, C.; Swails, J. M.; Hernández, C. X.; Schwantes, C. R.; Wang, L.-P.; Lane, T. J.; Pande, V. S. MDTraj: A Modern Open Library for the Analysis of Molecular Dynamics Trajectories. </w:t>
      </w:r>
      <w:r w:rsidRPr="008A2546">
        <w:rPr>
          <w:i/>
          <w:iCs/>
          <w:lang w:bidi="hi-IN"/>
        </w:rPr>
        <w:t>Biophysical Journal</w:t>
      </w:r>
      <w:r w:rsidRPr="008A2546">
        <w:rPr>
          <w:lang w:bidi="hi-IN"/>
        </w:rPr>
        <w:t xml:space="preserve"> </w:t>
      </w:r>
      <w:r w:rsidRPr="008A2546">
        <w:rPr>
          <w:b/>
          <w:bCs/>
          <w:lang w:bidi="hi-IN"/>
        </w:rPr>
        <w:t>2015</w:t>
      </w:r>
      <w:r w:rsidRPr="008A2546">
        <w:rPr>
          <w:lang w:bidi="hi-IN"/>
        </w:rPr>
        <w:t xml:space="preserve">, </w:t>
      </w:r>
      <w:r w:rsidRPr="008A2546">
        <w:rPr>
          <w:i/>
          <w:iCs/>
          <w:lang w:bidi="hi-IN"/>
        </w:rPr>
        <w:t>109</w:t>
      </w:r>
      <w:r w:rsidRPr="008A2546">
        <w:rPr>
          <w:lang w:bidi="hi-IN"/>
        </w:rPr>
        <w:t xml:space="preserve"> (8), 1528–1532. https://doi.org/10.1016/j.bpj.2015.08.015</w:t>
      </w:r>
    </w:p>
    <w:p w14:paraId="319FA54F" w14:textId="77777777" w:rsidR="008A2546" w:rsidRPr="008A2546" w:rsidRDefault="008A2546" w:rsidP="008A2546">
      <w:pPr>
        <w:pStyle w:val="Bibliography"/>
        <w:rPr>
          <w:lang w:bidi="hi-IN"/>
        </w:rPr>
      </w:pPr>
      <w:r w:rsidRPr="008A2546">
        <w:rPr>
          <w:lang w:bidi="hi-IN"/>
        </w:rPr>
        <w:t>(44)</w:t>
      </w:r>
      <w:r w:rsidRPr="008A2546">
        <w:rPr>
          <w:lang w:bidi="hi-IN"/>
        </w:rPr>
        <w:tab/>
        <w:t xml:space="preserve">Massova, I.; Kollman, P. A. Combined Molecular Mechanical and Continuum Solvent Approach (MM-PBSA/GBSA) to Predict Ligand Binding. </w:t>
      </w:r>
      <w:r w:rsidRPr="008A2546">
        <w:rPr>
          <w:i/>
          <w:iCs/>
          <w:lang w:bidi="hi-IN"/>
        </w:rPr>
        <w:t>Perspectives in Drug Discovery and Design</w:t>
      </w:r>
      <w:r w:rsidRPr="008A2546">
        <w:rPr>
          <w:lang w:bidi="hi-IN"/>
        </w:rPr>
        <w:t xml:space="preserve"> </w:t>
      </w:r>
      <w:r w:rsidRPr="008A2546">
        <w:rPr>
          <w:b/>
          <w:bCs/>
          <w:lang w:bidi="hi-IN"/>
        </w:rPr>
        <w:t>2000</w:t>
      </w:r>
      <w:r w:rsidRPr="008A2546">
        <w:rPr>
          <w:lang w:bidi="hi-IN"/>
        </w:rPr>
        <w:t xml:space="preserve">, </w:t>
      </w:r>
      <w:r w:rsidRPr="008A2546">
        <w:rPr>
          <w:i/>
          <w:iCs/>
          <w:lang w:bidi="hi-IN"/>
        </w:rPr>
        <w:t>18</w:t>
      </w:r>
      <w:r w:rsidRPr="008A2546">
        <w:rPr>
          <w:lang w:bidi="hi-IN"/>
        </w:rPr>
        <w:t xml:space="preserve"> (1), 113–135. https://doi.org/10.1023/A:1008763014207</w:t>
      </w:r>
    </w:p>
    <w:p w14:paraId="54958CEF" w14:textId="77777777" w:rsidR="008A2546" w:rsidRPr="008A2546" w:rsidRDefault="008A2546" w:rsidP="008A2546">
      <w:pPr>
        <w:pStyle w:val="Bibliography"/>
        <w:rPr>
          <w:lang w:bidi="hi-IN"/>
        </w:rPr>
      </w:pPr>
      <w:r w:rsidRPr="008A2546">
        <w:rPr>
          <w:lang w:bidi="hi-IN"/>
        </w:rPr>
        <w:t>(45)</w:t>
      </w:r>
      <w:r w:rsidRPr="008A2546">
        <w:rPr>
          <w:lang w:bidi="hi-IN"/>
        </w:rPr>
        <w:tab/>
        <w:t xml:space="preserve">Onufriev, A.; Bashford, D.; Case, D. A. Exploring Protein Native States and Large-Scale Conformational Changes with a Modified Generalized Born Model. </w:t>
      </w:r>
      <w:r w:rsidRPr="008A2546">
        <w:rPr>
          <w:i/>
          <w:iCs/>
          <w:lang w:bidi="hi-IN"/>
        </w:rPr>
        <w:t>Proteins: Structure, Function, and Bioinformatics</w:t>
      </w:r>
      <w:r w:rsidRPr="008A2546">
        <w:rPr>
          <w:lang w:bidi="hi-IN"/>
        </w:rPr>
        <w:t xml:space="preserve"> </w:t>
      </w:r>
      <w:r w:rsidRPr="008A2546">
        <w:rPr>
          <w:b/>
          <w:bCs/>
          <w:lang w:bidi="hi-IN"/>
        </w:rPr>
        <w:t>2004</w:t>
      </w:r>
      <w:r w:rsidRPr="008A2546">
        <w:rPr>
          <w:lang w:bidi="hi-IN"/>
        </w:rPr>
        <w:t xml:space="preserve">, </w:t>
      </w:r>
      <w:r w:rsidRPr="008A2546">
        <w:rPr>
          <w:i/>
          <w:iCs/>
          <w:lang w:bidi="hi-IN"/>
        </w:rPr>
        <w:t>55</w:t>
      </w:r>
      <w:r w:rsidRPr="008A2546">
        <w:rPr>
          <w:lang w:bidi="hi-IN"/>
        </w:rPr>
        <w:t xml:space="preserve"> (2), 383–394. https://doi.org/10.1002/prot.20033</w:t>
      </w:r>
    </w:p>
    <w:p w14:paraId="084C805F" w14:textId="77777777" w:rsidR="008A2546" w:rsidRPr="008A2546" w:rsidRDefault="008A2546" w:rsidP="008A2546">
      <w:pPr>
        <w:pStyle w:val="Bibliography"/>
        <w:rPr>
          <w:lang w:bidi="hi-IN"/>
        </w:rPr>
      </w:pPr>
      <w:r w:rsidRPr="008A2546">
        <w:rPr>
          <w:lang w:bidi="hi-IN"/>
        </w:rPr>
        <w:t>(46)</w:t>
      </w:r>
      <w:r w:rsidRPr="008A2546">
        <w:rPr>
          <w:lang w:bidi="hi-IN"/>
        </w:rPr>
        <w:tab/>
        <w:t xml:space="preserve">Gapsys, V.; Michielssens, S.; Seeliger, D.; de Groot, B. L. Pmx: Automated Protein Structure and Topology Generation for Alchemical Perturbations. </w:t>
      </w:r>
      <w:r w:rsidRPr="008A2546">
        <w:rPr>
          <w:i/>
          <w:iCs/>
          <w:lang w:bidi="hi-IN"/>
        </w:rPr>
        <w:t>Journal of Computational Chemistry</w:t>
      </w:r>
      <w:r w:rsidRPr="008A2546">
        <w:rPr>
          <w:lang w:bidi="hi-IN"/>
        </w:rPr>
        <w:t xml:space="preserve"> </w:t>
      </w:r>
      <w:r w:rsidRPr="008A2546">
        <w:rPr>
          <w:b/>
          <w:bCs/>
          <w:lang w:bidi="hi-IN"/>
        </w:rPr>
        <w:t>2015</w:t>
      </w:r>
      <w:r w:rsidRPr="008A2546">
        <w:rPr>
          <w:lang w:bidi="hi-IN"/>
        </w:rPr>
        <w:t xml:space="preserve">, </w:t>
      </w:r>
      <w:r w:rsidRPr="008A2546">
        <w:rPr>
          <w:i/>
          <w:iCs/>
          <w:lang w:bidi="hi-IN"/>
        </w:rPr>
        <w:t>36</w:t>
      </w:r>
      <w:r w:rsidRPr="008A2546">
        <w:rPr>
          <w:lang w:bidi="hi-IN"/>
        </w:rPr>
        <w:t xml:space="preserve"> (5), 348–354. https://doi.org/10.1002/jcc.23804</w:t>
      </w:r>
    </w:p>
    <w:p w14:paraId="79E5844A" w14:textId="77777777" w:rsidR="008A2546" w:rsidRPr="008A2546" w:rsidRDefault="008A2546" w:rsidP="008A2546">
      <w:pPr>
        <w:pStyle w:val="Bibliography"/>
        <w:rPr>
          <w:lang w:bidi="hi-IN"/>
        </w:rPr>
      </w:pPr>
      <w:r w:rsidRPr="008A2546">
        <w:rPr>
          <w:lang w:bidi="hi-IN"/>
        </w:rPr>
        <w:t>(47)</w:t>
      </w:r>
      <w:r w:rsidRPr="008A2546">
        <w:rPr>
          <w:lang w:bidi="hi-IN"/>
        </w:rPr>
        <w:tab/>
        <w:t xml:space="preserve">Abraham, M. J.; Murtola, T.; Schulz, R.; Páll, S.; Smith, J. C.; Hess, B.; Lindahl, E. GROMACS: High Performance Molecular Simulations through Multi-Level Parallelism from Laptops to Supercomputers. </w:t>
      </w:r>
      <w:r w:rsidRPr="008A2546">
        <w:rPr>
          <w:i/>
          <w:iCs/>
          <w:lang w:bidi="hi-IN"/>
        </w:rPr>
        <w:t>SoftwareX</w:t>
      </w:r>
      <w:r w:rsidRPr="008A2546">
        <w:rPr>
          <w:lang w:bidi="hi-IN"/>
        </w:rPr>
        <w:t xml:space="preserve"> </w:t>
      </w:r>
      <w:r w:rsidRPr="008A2546">
        <w:rPr>
          <w:b/>
          <w:bCs/>
          <w:lang w:bidi="hi-IN"/>
        </w:rPr>
        <w:t>2015</w:t>
      </w:r>
      <w:r w:rsidRPr="008A2546">
        <w:rPr>
          <w:lang w:bidi="hi-IN"/>
        </w:rPr>
        <w:t xml:space="preserve">, </w:t>
      </w:r>
      <w:r w:rsidRPr="008A2546">
        <w:rPr>
          <w:i/>
          <w:iCs/>
          <w:lang w:bidi="hi-IN"/>
        </w:rPr>
        <w:t>1–2</w:t>
      </w:r>
      <w:r w:rsidRPr="008A2546">
        <w:rPr>
          <w:lang w:bidi="hi-IN"/>
        </w:rPr>
        <w:t>, 19–25. https://doi.org/10.1016/j.softx.2015.06.001</w:t>
      </w:r>
    </w:p>
    <w:p w14:paraId="75110B88" w14:textId="77777777" w:rsidR="008A2546" w:rsidRPr="008A2546" w:rsidRDefault="008A2546" w:rsidP="008A2546">
      <w:pPr>
        <w:pStyle w:val="Bibliography"/>
        <w:rPr>
          <w:lang w:bidi="hi-IN"/>
        </w:rPr>
      </w:pPr>
      <w:r w:rsidRPr="008A2546">
        <w:rPr>
          <w:lang w:bidi="hi-IN"/>
        </w:rPr>
        <w:lastRenderedPageBreak/>
        <w:t>(48)</w:t>
      </w:r>
      <w:r w:rsidRPr="008A2546">
        <w:rPr>
          <w:lang w:bidi="hi-IN"/>
        </w:rPr>
        <w:tab/>
        <w:t xml:space="preserve">Gapsys, V.; Seeliger, D.; de Groot, B. L. New Soft-Core Potential Function for Molecular Dynamics Based Alchemical Free Energy Calculations. </w:t>
      </w:r>
      <w:r w:rsidRPr="008A2546">
        <w:rPr>
          <w:i/>
          <w:iCs/>
          <w:lang w:bidi="hi-IN"/>
        </w:rPr>
        <w:t>J. Chem. Theory Comput.</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(7), 2373–2382. https://doi.org/10.1021/ct300220p</w:t>
      </w:r>
    </w:p>
    <w:p w14:paraId="29F45BF7" w14:textId="77777777" w:rsidR="008A2546" w:rsidRPr="008A2546" w:rsidRDefault="008A2546" w:rsidP="008A2546">
      <w:pPr>
        <w:pStyle w:val="Bibliography"/>
        <w:rPr>
          <w:lang w:bidi="hi-IN"/>
        </w:rPr>
      </w:pPr>
      <w:r w:rsidRPr="008A2546">
        <w:rPr>
          <w:lang w:bidi="hi-IN"/>
        </w:rPr>
        <w:t>(49)</w:t>
      </w:r>
      <w:r w:rsidRPr="008A2546">
        <w:rPr>
          <w:lang w:bidi="hi-IN"/>
        </w:rPr>
        <w:tab/>
        <w:t xml:space="preserve">Jarzynski, C. Nonequilibrium Equality for Free Energy Differences. </w:t>
      </w:r>
      <w:r w:rsidRPr="008A2546">
        <w:rPr>
          <w:i/>
          <w:iCs/>
          <w:lang w:bidi="hi-IN"/>
        </w:rPr>
        <w:t>Phys. Rev. Lett.</w:t>
      </w:r>
      <w:r w:rsidRPr="008A2546">
        <w:rPr>
          <w:lang w:bidi="hi-IN"/>
        </w:rPr>
        <w:t xml:space="preserve"> </w:t>
      </w:r>
      <w:r w:rsidRPr="008A2546">
        <w:rPr>
          <w:b/>
          <w:bCs/>
          <w:lang w:bidi="hi-IN"/>
        </w:rPr>
        <w:t>1997</w:t>
      </w:r>
      <w:r w:rsidRPr="008A2546">
        <w:rPr>
          <w:lang w:bidi="hi-IN"/>
        </w:rPr>
        <w:t xml:space="preserve">, </w:t>
      </w:r>
      <w:r w:rsidRPr="008A2546">
        <w:rPr>
          <w:i/>
          <w:iCs/>
          <w:lang w:bidi="hi-IN"/>
        </w:rPr>
        <w:t>78</w:t>
      </w:r>
      <w:r w:rsidRPr="008A2546">
        <w:rPr>
          <w:lang w:bidi="hi-IN"/>
        </w:rPr>
        <w:t xml:space="preserve"> (14), 2690–2693. https://doi.org/10.1103/PhysRevLett.78.2690</w:t>
      </w:r>
    </w:p>
    <w:p w14:paraId="1E78DA70" w14:textId="77777777" w:rsidR="008A2546" w:rsidRPr="008A2546" w:rsidRDefault="008A2546" w:rsidP="008A2546">
      <w:pPr>
        <w:pStyle w:val="Bibliography"/>
        <w:rPr>
          <w:lang w:bidi="hi-IN"/>
        </w:rPr>
      </w:pPr>
      <w:r w:rsidRPr="008A2546">
        <w:rPr>
          <w:lang w:bidi="hi-IN"/>
        </w:rPr>
        <w:t>(50)</w:t>
      </w:r>
      <w:r w:rsidRPr="008A2546">
        <w:rPr>
          <w:lang w:bidi="hi-IN"/>
        </w:rPr>
        <w:tab/>
        <w:t xml:space="preserve">Crooks, G. E. Entropy Production Fluctuation Theorem and the Nonequilibrium Work Relation for Free Energy Differences. </w:t>
      </w:r>
      <w:r w:rsidRPr="008A2546">
        <w:rPr>
          <w:i/>
          <w:iCs/>
          <w:lang w:bidi="hi-IN"/>
        </w:rPr>
        <w:t>Phys. Rev. E</w:t>
      </w:r>
      <w:r w:rsidRPr="008A2546">
        <w:rPr>
          <w:lang w:bidi="hi-IN"/>
        </w:rPr>
        <w:t xml:space="preserve"> </w:t>
      </w:r>
      <w:r w:rsidRPr="008A2546">
        <w:rPr>
          <w:b/>
          <w:bCs/>
          <w:lang w:bidi="hi-IN"/>
        </w:rPr>
        <w:t>1999</w:t>
      </w:r>
      <w:r w:rsidRPr="008A2546">
        <w:rPr>
          <w:lang w:bidi="hi-IN"/>
        </w:rPr>
        <w:t xml:space="preserve">, </w:t>
      </w:r>
      <w:r w:rsidRPr="008A2546">
        <w:rPr>
          <w:i/>
          <w:iCs/>
          <w:lang w:bidi="hi-IN"/>
        </w:rPr>
        <w:t>60</w:t>
      </w:r>
      <w:r w:rsidRPr="008A2546">
        <w:rPr>
          <w:lang w:bidi="hi-IN"/>
        </w:rPr>
        <w:t xml:space="preserve"> (3), 2721–2726. https://doi.org/10.1103/PhysRevE.60.2721</w:t>
      </w:r>
    </w:p>
    <w:p w14:paraId="1D60CE03" w14:textId="77777777" w:rsidR="008A2546" w:rsidRPr="008A2546" w:rsidRDefault="008A2546" w:rsidP="008A2546">
      <w:pPr>
        <w:pStyle w:val="Bibliography"/>
        <w:rPr>
          <w:lang w:bidi="hi-IN"/>
        </w:rPr>
      </w:pPr>
      <w:r w:rsidRPr="008A2546">
        <w:rPr>
          <w:lang w:bidi="hi-IN"/>
        </w:rPr>
        <w:t>(51)</w:t>
      </w:r>
      <w:r w:rsidRPr="008A2546">
        <w:rPr>
          <w:lang w:bidi="hi-IN"/>
        </w:rPr>
        <w:tab/>
        <w:t xml:space="preserve">Bernetti, M.; Bussi, G. Pressure Control Using Stochastic Cell Rescaling. </w:t>
      </w:r>
      <w:r w:rsidRPr="008A2546">
        <w:rPr>
          <w:i/>
          <w:iCs/>
          <w:lang w:bidi="hi-IN"/>
        </w:rPr>
        <w:t>J. Chem. Phys.</w:t>
      </w:r>
      <w:r w:rsidRPr="008A2546">
        <w:rPr>
          <w:lang w:bidi="hi-IN"/>
        </w:rPr>
        <w:t xml:space="preserve"> </w:t>
      </w:r>
      <w:r w:rsidRPr="008A2546">
        <w:rPr>
          <w:b/>
          <w:bCs/>
          <w:lang w:bidi="hi-IN"/>
        </w:rPr>
        <w:t>2020</w:t>
      </w:r>
      <w:r w:rsidRPr="008A2546">
        <w:rPr>
          <w:lang w:bidi="hi-IN"/>
        </w:rPr>
        <w:t xml:space="preserve">, </w:t>
      </w:r>
      <w:r w:rsidRPr="008A2546">
        <w:rPr>
          <w:i/>
          <w:iCs/>
          <w:lang w:bidi="hi-IN"/>
        </w:rPr>
        <w:t>153</w:t>
      </w:r>
      <w:r w:rsidRPr="008A2546">
        <w:rPr>
          <w:lang w:bidi="hi-IN"/>
        </w:rPr>
        <w:t xml:space="preserve"> (11), 114107. https://doi.org/10.1063/5.0020514</w:t>
      </w:r>
    </w:p>
    <w:p w14:paraId="25CBFBF8" w14:textId="77777777" w:rsidR="008A2546" w:rsidRPr="008A2546" w:rsidRDefault="008A2546" w:rsidP="008A2546">
      <w:pPr>
        <w:pStyle w:val="Bibliography"/>
        <w:rPr>
          <w:lang w:bidi="hi-IN"/>
        </w:rPr>
      </w:pPr>
      <w:r w:rsidRPr="008A2546">
        <w:rPr>
          <w:lang w:bidi="hi-IN"/>
        </w:rPr>
        <w:t>(52)</w:t>
      </w:r>
      <w:r w:rsidRPr="008A2546">
        <w:rPr>
          <w:lang w:bidi="hi-IN"/>
        </w:rPr>
        <w:tab/>
        <w:t xml:space="preserve">Bennett, C. H. Efficient Estimation of Free Energy Differences from Monte Carlo Data. </w:t>
      </w:r>
      <w:r w:rsidRPr="008A2546">
        <w:rPr>
          <w:i/>
          <w:iCs/>
          <w:lang w:bidi="hi-IN"/>
        </w:rPr>
        <w:t>Journal of Computational Physics</w:t>
      </w:r>
      <w:r w:rsidRPr="008A2546">
        <w:rPr>
          <w:lang w:bidi="hi-IN"/>
        </w:rPr>
        <w:t xml:space="preserve"> </w:t>
      </w:r>
      <w:r w:rsidRPr="008A2546">
        <w:rPr>
          <w:b/>
          <w:bCs/>
          <w:lang w:bidi="hi-IN"/>
        </w:rPr>
        <w:t>1976</w:t>
      </w:r>
      <w:r w:rsidRPr="008A2546">
        <w:rPr>
          <w:lang w:bidi="hi-IN"/>
        </w:rPr>
        <w:t xml:space="preserve">, </w:t>
      </w:r>
      <w:r w:rsidRPr="008A2546">
        <w:rPr>
          <w:i/>
          <w:iCs/>
          <w:lang w:bidi="hi-IN"/>
        </w:rPr>
        <w:t>22</w:t>
      </w:r>
      <w:r w:rsidRPr="008A2546">
        <w:rPr>
          <w:lang w:bidi="hi-IN"/>
        </w:rPr>
        <w:t xml:space="preserve"> (2), 245–268. https://doi.org/10.1016/0021-9991(76)90078-4</w:t>
      </w:r>
    </w:p>
    <w:p w14:paraId="1D8E1962" w14:textId="77777777" w:rsidR="008A2546" w:rsidRPr="008A2546" w:rsidRDefault="008A2546" w:rsidP="008A2546">
      <w:pPr>
        <w:pStyle w:val="Bibliography"/>
        <w:rPr>
          <w:lang w:bidi="hi-IN"/>
        </w:rPr>
      </w:pPr>
      <w:r w:rsidRPr="008A2546">
        <w:rPr>
          <w:lang w:bidi="hi-IN"/>
        </w:rPr>
        <w:t>(53)</w:t>
      </w:r>
      <w:r w:rsidRPr="008A2546">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8A2546">
        <w:rPr>
          <w:i/>
          <w:iCs/>
          <w:lang w:bidi="hi-IN"/>
        </w:rPr>
        <w:t>J. Chem. Phys.</w:t>
      </w:r>
      <w:r w:rsidRPr="008A2546">
        <w:rPr>
          <w:lang w:bidi="hi-IN"/>
        </w:rPr>
        <w:t xml:space="preserve"> </w:t>
      </w:r>
      <w:r w:rsidRPr="008A2546">
        <w:rPr>
          <w:b/>
          <w:bCs/>
          <w:lang w:bidi="hi-IN"/>
        </w:rPr>
        <w:t>2013</w:t>
      </w:r>
      <w:r w:rsidRPr="008A2546">
        <w:rPr>
          <w:lang w:bidi="hi-IN"/>
        </w:rPr>
        <w:t xml:space="preserve">, </w:t>
      </w:r>
      <w:r w:rsidRPr="008A2546">
        <w:rPr>
          <w:i/>
          <w:iCs/>
          <w:lang w:bidi="hi-IN"/>
        </w:rPr>
        <w:t>139</w:t>
      </w:r>
      <w:r w:rsidRPr="008A2546">
        <w:rPr>
          <w:lang w:bidi="hi-IN"/>
        </w:rPr>
        <w:t xml:space="preserve"> (18), 184103. https://doi.org/10.1063/1.4826261</w:t>
      </w:r>
    </w:p>
    <w:p w14:paraId="6F709898" w14:textId="77777777" w:rsidR="008A2546" w:rsidRPr="008A2546" w:rsidRDefault="008A2546" w:rsidP="008A2546">
      <w:pPr>
        <w:pStyle w:val="Bibliography"/>
        <w:rPr>
          <w:lang w:bidi="hi-IN"/>
        </w:rPr>
      </w:pPr>
      <w:r w:rsidRPr="008A2546">
        <w:rPr>
          <w:lang w:bidi="hi-IN"/>
        </w:rPr>
        <w:t>(54)</w:t>
      </w:r>
      <w:r w:rsidRPr="008A2546">
        <w:rPr>
          <w:lang w:bidi="hi-IN"/>
        </w:rPr>
        <w:tab/>
        <w:t xml:space="preserve">Orkin, C.; Kuritzkes, D. R.; Katlama, C.; Su, F.-H.; Plank, R. M.; Lahoulou, R.; Asante-Appiah, E. Doravirine Resistance Patterns Identified Through Week 192 in the DRIVE-FORWARD and DRIVE-AHEAD Phase 3 Clinical Trials. </w:t>
      </w:r>
      <w:r w:rsidRPr="008A2546">
        <w:rPr>
          <w:i/>
          <w:iCs/>
          <w:lang w:bidi="hi-IN"/>
        </w:rPr>
        <w:t>J Acquir Immune Defic Syndr</w:t>
      </w:r>
      <w:r w:rsidRPr="008A2546">
        <w:rPr>
          <w:lang w:bidi="hi-IN"/>
        </w:rPr>
        <w:t xml:space="preserve"> </w:t>
      </w:r>
      <w:r w:rsidRPr="008A2546">
        <w:rPr>
          <w:b/>
          <w:bCs/>
          <w:lang w:bidi="hi-IN"/>
        </w:rPr>
        <w:t>2026</w:t>
      </w:r>
      <w:r w:rsidRPr="008A2546">
        <w:rPr>
          <w:lang w:bidi="hi-IN"/>
        </w:rPr>
        <w:t xml:space="preserve">, </w:t>
      </w:r>
      <w:r w:rsidRPr="008A2546">
        <w:rPr>
          <w:i/>
          <w:iCs/>
          <w:lang w:bidi="hi-IN"/>
        </w:rPr>
        <w:t>101</w:t>
      </w:r>
      <w:r w:rsidRPr="008A2546">
        <w:rPr>
          <w:lang w:bidi="hi-IN"/>
        </w:rPr>
        <w:t xml:space="preserve"> (3), 308–315. https://doi.org/10.1097/QAI.0000000000003787</w:t>
      </w:r>
    </w:p>
    <w:p w14:paraId="4D9AF0CF" w14:textId="77777777" w:rsidR="008A2546" w:rsidRPr="008A2546" w:rsidRDefault="008A2546" w:rsidP="008A2546">
      <w:pPr>
        <w:pStyle w:val="Bibliography"/>
        <w:rPr>
          <w:lang w:bidi="hi-IN"/>
        </w:rPr>
      </w:pPr>
      <w:r w:rsidRPr="008A2546">
        <w:rPr>
          <w:lang w:bidi="hi-IN"/>
        </w:rPr>
        <w:t>(55)</w:t>
      </w:r>
      <w:r w:rsidRPr="008A2546">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8A2546">
        <w:rPr>
          <w:i/>
          <w:iCs/>
          <w:lang w:bidi="hi-IN"/>
        </w:rPr>
        <w:t>Antimicrobial Agents and Chemotherapy</w:t>
      </w:r>
      <w:r w:rsidRPr="008A2546">
        <w:rPr>
          <w:lang w:bidi="hi-IN"/>
        </w:rPr>
        <w:t xml:space="preserve"> </w:t>
      </w:r>
      <w:r w:rsidRPr="008A2546">
        <w:rPr>
          <w:b/>
          <w:bCs/>
          <w:lang w:bidi="hi-IN"/>
        </w:rPr>
        <w:t>2021</w:t>
      </w:r>
      <w:r w:rsidRPr="008A2546">
        <w:rPr>
          <w:lang w:bidi="hi-IN"/>
        </w:rPr>
        <w:t xml:space="preserve">, </w:t>
      </w:r>
      <w:r w:rsidRPr="008A2546">
        <w:rPr>
          <w:i/>
          <w:iCs/>
          <w:lang w:bidi="hi-IN"/>
        </w:rPr>
        <w:t>65</w:t>
      </w:r>
      <w:r w:rsidRPr="008A2546">
        <w:rPr>
          <w:lang w:bidi="hi-IN"/>
        </w:rPr>
        <w:t xml:space="preserve"> (12), 10.1128/aac.01216-21. https://doi.org/10.1128/aac.01216-21</w:t>
      </w:r>
    </w:p>
    <w:p w14:paraId="4C151D20" w14:textId="77777777" w:rsidR="008A2546" w:rsidRPr="008A2546" w:rsidRDefault="008A2546" w:rsidP="008A2546">
      <w:pPr>
        <w:pStyle w:val="Bibliography"/>
        <w:rPr>
          <w:lang w:bidi="hi-IN"/>
        </w:rPr>
      </w:pPr>
      <w:r w:rsidRPr="008A2546">
        <w:rPr>
          <w:lang w:bidi="hi-IN"/>
        </w:rPr>
        <w:t>(56)</w:t>
      </w:r>
      <w:r w:rsidRPr="008A2546">
        <w:rPr>
          <w:lang w:bidi="hi-IN"/>
        </w:rPr>
        <w:tab/>
        <w:t xml:space="preserve">Lai, M.-T.; Xu, M.; Ngo, W.; Feng, M.; Graham, D.; Wang, J.; Hazuda, D. J.; Hanna, G. J.; Kumar, S.; Xu, X.; Martin, E.; Hwang, C. </w:t>
      </w:r>
      <w:r w:rsidRPr="008A2546">
        <w:rPr>
          <w:i/>
          <w:iCs/>
          <w:lang w:bidi="hi-IN"/>
        </w:rPr>
        <w:t>Characterization of Doravirine-Selected Resistance Patterns From Participants in Treatment-Naïve Phase 3 Clinical Trials</w:t>
      </w:r>
      <w:r w:rsidRPr="008A2546">
        <w:rPr>
          <w:lang w:bidi="hi-IN"/>
        </w:rPr>
        <w:t>. https://www.natap.org/2018/IAC/IAC_54.htm (accessed 2026-05-24)</w:t>
      </w:r>
    </w:p>
    <w:p w14:paraId="610B2BFD" w14:textId="77777777" w:rsidR="008A2546" w:rsidRPr="008A2546" w:rsidRDefault="008A2546" w:rsidP="008A2546">
      <w:pPr>
        <w:pStyle w:val="Bibliography"/>
        <w:rPr>
          <w:lang w:bidi="hi-IN"/>
        </w:rPr>
      </w:pPr>
      <w:r w:rsidRPr="008A2546">
        <w:rPr>
          <w:lang w:bidi="hi-IN"/>
        </w:rPr>
        <w:t>(57)</w:t>
      </w:r>
      <w:r w:rsidRPr="008A2546">
        <w:rPr>
          <w:lang w:bidi="hi-IN"/>
        </w:rPr>
        <w:tab/>
        <w:t xml:space="preserve">Hazuda, D. J.; Xu, M.; Ngo, W.; Feng, M.; Hwang, C.; Grobler, J. A.; Lai, M.-T. </w:t>
      </w:r>
      <w:r w:rsidRPr="008A2546">
        <w:rPr>
          <w:i/>
          <w:iCs/>
          <w:lang w:bidi="hi-IN"/>
        </w:rPr>
        <w:t>Understanding the Resistance Profile of the HIV-1 NNRTI Doravirine in Combination With the Novel NRTTI MK-8591</w:t>
      </w:r>
      <w:r w:rsidRPr="008A2546">
        <w:rPr>
          <w:lang w:bidi="hi-IN"/>
        </w:rPr>
        <w:t>. https://www.natap.org/2018/IAC/IAC_48.htm (accessed 2026-05-24)</w:t>
      </w:r>
    </w:p>
    <w:p w14:paraId="04A3812D" w14:textId="77777777" w:rsidR="008A2546" w:rsidRPr="008A2546" w:rsidRDefault="008A2546" w:rsidP="008A2546">
      <w:pPr>
        <w:pStyle w:val="Bibliography"/>
        <w:rPr>
          <w:lang w:bidi="hi-IN"/>
        </w:rPr>
      </w:pPr>
      <w:r w:rsidRPr="008A2546">
        <w:rPr>
          <w:lang w:bidi="hi-IN"/>
        </w:rPr>
        <w:t>(58)</w:t>
      </w:r>
      <w:r w:rsidRPr="008A2546">
        <w:rPr>
          <w:lang w:bidi="hi-IN"/>
        </w:rPr>
        <w:tab/>
        <w:t xml:space="preserve">Smith, S. J.; Pauly, G. T.; Akram, A.; Melody, K.; Ambrose, Z.; Schneider, J. P.; Hughes, S. H. Rilpivirine and Doravirine Have Complementary Efficacies Against NNRTI-Resistant HIV-1 Mutants. </w:t>
      </w:r>
      <w:r w:rsidRPr="008A2546">
        <w:rPr>
          <w:i/>
          <w:iCs/>
          <w:lang w:bidi="hi-IN"/>
        </w:rPr>
        <w:t>JAIDS Journal of Acquired Immune Deficiency Syndromes</w:t>
      </w:r>
      <w:r w:rsidRPr="008A2546">
        <w:rPr>
          <w:lang w:bidi="hi-IN"/>
        </w:rPr>
        <w:t xml:space="preserve"> </w:t>
      </w:r>
      <w:r w:rsidRPr="008A2546">
        <w:rPr>
          <w:b/>
          <w:bCs/>
          <w:lang w:bidi="hi-IN"/>
        </w:rPr>
        <w:t>2016</w:t>
      </w:r>
      <w:r w:rsidRPr="008A2546">
        <w:rPr>
          <w:lang w:bidi="hi-IN"/>
        </w:rPr>
        <w:t xml:space="preserve">, </w:t>
      </w:r>
      <w:r w:rsidRPr="008A2546">
        <w:rPr>
          <w:i/>
          <w:iCs/>
          <w:lang w:bidi="hi-IN"/>
        </w:rPr>
        <w:t>72</w:t>
      </w:r>
      <w:r w:rsidRPr="008A2546">
        <w:rPr>
          <w:lang w:bidi="hi-IN"/>
        </w:rPr>
        <w:t xml:space="preserve"> (5), 485. https://doi.org/10.1097/QAI.0000000000001031</w:t>
      </w:r>
    </w:p>
    <w:p w14:paraId="0F9F3CEB" w14:textId="77777777" w:rsidR="008A2546" w:rsidRPr="008A2546" w:rsidRDefault="008A2546" w:rsidP="008A2546">
      <w:pPr>
        <w:pStyle w:val="Bibliography"/>
        <w:rPr>
          <w:lang w:bidi="hi-IN"/>
        </w:rPr>
      </w:pPr>
      <w:r w:rsidRPr="008A2546">
        <w:rPr>
          <w:lang w:bidi="hi-IN"/>
        </w:rPr>
        <w:lastRenderedPageBreak/>
        <w:t>(59)</w:t>
      </w:r>
      <w:r w:rsidRPr="008A2546">
        <w:rPr>
          <w:lang w:bidi="hi-IN"/>
        </w:rPr>
        <w:tab/>
        <w:t xml:space="preserve">Kellinger, M. W.; Johnson, K. A. Nucleotide-Dependent Conformational Change Governs Specificity and Analog Discrimination by HIV Reverse Transcriptase. </w:t>
      </w:r>
      <w:r w:rsidRPr="008A2546">
        <w:rPr>
          <w:i/>
          <w:iCs/>
          <w:lang w:bidi="hi-IN"/>
        </w:rPr>
        <w:t>Proceedings of the National Academy of Sciences</w:t>
      </w:r>
      <w:r w:rsidRPr="008A2546">
        <w:rPr>
          <w:lang w:bidi="hi-IN"/>
        </w:rPr>
        <w:t xml:space="preserve"> </w:t>
      </w:r>
      <w:r w:rsidRPr="008A2546">
        <w:rPr>
          <w:b/>
          <w:bCs/>
          <w:lang w:bidi="hi-IN"/>
        </w:rPr>
        <w:t>2010</w:t>
      </w:r>
      <w:r w:rsidRPr="008A2546">
        <w:rPr>
          <w:lang w:bidi="hi-IN"/>
        </w:rPr>
        <w:t xml:space="preserve">, </w:t>
      </w:r>
      <w:r w:rsidRPr="008A2546">
        <w:rPr>
          <w:i/>
          <w:iCs/>
          <w:lang w:bidi="hi-IN"/>
        </w:rPr>
        <w:t>107</w:t>
      </w:r>
      <w:r w:rsidRPr="008A2546">
        <w:rPr>
          <w:lang w:bidi="hi-IN"/>
        </w:rPr>
        <w:t xml:space="preserve"> (17), 7734–7739. https://doi.org/10.1073/pnas.0913946107</w:t>
      </w:r>
    </w:p>
    <w:p w14:paraId="6AF0C53B" w14:textId="77777777" w:rsidR="008A2546" w:rsidRPr="008A2546" w:rsidRDefault="008A2546" w:rsidP="008A2546">
      <w:pPr>
        <w:pStyle w:val="Bibliography"/>
        <w:rPr>
          <w:lang w:bidi="hi-IN"/>
        </w:rPr>
      </w:pPr>
      <w:r w:rsidRPr="008A2546">
        <w:rPr>
          <w:lang w:bidi="hi-IN"/>
        </w:rPr>
        <w:t>(60)</w:t>
      </w:r>
      <w:r w:rsidRPr="008A2546">
        <w:rPr>
          <w:lang w:bidi="hi-IN"/>
        </w:rPr>
        <w:tab/>
        <w:t xml:space="preserve">Chachra, R.; Rizzo, R. C. Origins of Resistance Conferred by the R292K Neuraminidase Mutation via Molecular Dynamics and Free Energy Calculations. </w:t>
      </w:r>
      <w:r w:rsidRPr="008A2546">
        <w:rPr>
          <w:i/>
          <w:iCs/>
          <w:lang w:bidi="hi-IN"/>
        </w:rPr>
        <w:t>J. Chem. Theory Comput.</w:t>
      </w:r>
      <w:r w:rsidRPr="008A2546">
        <w:rPr>
          <w:lang w:bidi="hi-IN"/>
        </w:rPr>
        <w:t xml:space="preserve"> </w:t>
      </w:r>
      <w:r w:rsidRPr="008A2546">
        <w:rPr>
          <w:b/>
          <w:bCs/>
          <w:lang w:bidi="hi-IN"/>
        </w:rPr>
        <w:t>2008</w:t>
      </w:r>
      <w:r w:rsidRPr="008A2546">
        <w:rPr>
          <w:lang w:bidi="hi-IN"/>
        </w:rPr>
        <w:t xml:space="preserve">, </w:t>
      </w:r>
      <w:r w:rsidRPr="008A2546">
        <w:rPr>
          <w:i/>
          <w:iCs/>
          <w:lang w:bidi="hi-IN"/>
        </w:rPr>
        <w:t>4</w:t>
      </w:r>
      <w:r w:rsidRPr="008A2546">
        <w:rPr>
          <w:lang w:bidi="hi-IN"/>
        </w:rPr>
        <w:t xml:space="preserve"> (9), 1526–1540. https://doi.org/10.1021/ct800068v</w:t>
      </w:r>
    </w:p>
    <w:p w14:paraId="31CB5BAD" w14:textId="77777777" w:rsidR="008A2546" w:rsidRPr="008A2546" w:rsidRDefault="008A2546" w:rsidP="008A2546">
      <w:pPr>
        <w:pStyle w:val="Bibliography"/>
        <w:rPr>
          <w:lang w:bidi="hi-IN"/>
        </w:rPr>
      </w:pPr>
      <w:r w:rsidRPr="008A2546">
        <w:rPr>
          <w:lang w:bidi="hi-IN"/>
        </w:rPr>
        <w:t>(61)</w:t>
      </w:r>
      <w:r w:rsidRPr="008A2546">
        <w:rPr>
          <w:lang w:bidi="hi-IN"/>
        </w:rPr>
        <w:tab/>
        <w:t xml:space="preserve">Ripoll, D. R.; Khavrutskii, I. V.; Chaudhury, S.; Liu, J.; Kuschner, R. A.; Wallqvist, A.; Reifman, J. Quantitative Predictions of Binding Free Energy Changes in Drug-Resistant Influenza Neuraminidase. </w:t>
      </w:r>
      <w:r w:rsidRPr="008A2546">
        <w:rPr>
          <w:i/>
          <w:iCs/>
          <w:lang w:bidi="hi-IN"/>
        </w:rPr>
        <w:t>PLOS Computational Biology</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(8), e1002665. https://doi.org/10.1371/journal.pcbi.1002665</w:t>
      </w:r>
    </w:p>
    <w:p w14:paraId="6188BD42" w14:textId="77777777" w:rsidR="008A2546" w:rsidRPr="008A2546" w:rsidRDefault="008A2546" w:rsidP="008A2546">
      <w:pPr>
        <w:pStyle w:val="Bibliography"/>
        <w:rPr>
          <w:lang w:bidi="hi-IN"/>
        </w:rPr>
      </w:pPr>
      <w:r w:rsidRPr="008A2546">
        <w:rPr>
          <w:lang w:bidi="hi-IN"/>
        </w:rPr>
        <w:t>(62)</w:t>
      </w:r>
      <w:r w:rsidRPr="008A2546">
        <w:rPr>
          <w:lang w:bidi="hi-IN"/>
        </w:rPr>
        <w:tab/>
        <w:t xml:space="preserve">Havranek, B.; Demissie, R.; Lee, H.; Lan, S.; Zhang, H.; Sarafianos, S.; Ayitou, A. J.-L.; Islam, S. M. Discovery of Nirmatrelvir Resistance Mutations in SARS-CoV‑2 3CLpro: A Computational-Experimental Approach. </w:t>
      </w:r>
      <w:r w:rsidRPr="008A2546">
        <w:rPr>
          <w:i/>
          <w:iCs/>
          <w:lang w:bidi="hi-IN"/>
        </w:rPr>
        <w:t>J. Chem. Inf. Model.</w:t>
      </w:r>
      <w:r w:rsidRPr="008A2546">
        <w:rPr>
          <w:lang w:bidi="hi-IN"/>
        </w:rPr>
        <w:t xml:space="preserve"> </w:t>
      </w:r>
      <w:r w:rsidRPr="008A2546">
        <w:rPr>
          <w:b/>
          <w:bCs/>
          <w:lang w:bidi="hi-IN"/>
        </w:rPr>
        <w:t>2023</w:t>
      </w:r>
      <w:r w:rsidRPr="008A2546">
        <w:rPr>
          <w:lang w:bidi="hi-IN"/>
        </w:rPr>
        <w:t xml:space="preserve">, </w:t>
      </w:r>
      <w:r w:rsidRPr="008A2546">
        <w:rPr>
          <w:i/>
          <w:iCs/>
          <w:lang w:bidi="hi-IN"/>
        </w:rPr>
        <w:t>63</w:t>
      </w:r>
      <w:r w:rsidRPr="008A2546">
        <w:rPr>
          <w:lang w:bidi="hi-IN"/>
        </w:rPr>
        <w:t xml:space="preserve"> (22), 7180–7188. https://doi.org/10.1021/acs.jcim.3c01269</w:t>
      </w:r>
    </w:p>
    <w:p w14:paraId="55D17CC5" w14:textId="77777777" w:rsidR="008A2546" w:rsidRPr="008A2546" w:rsidRDefault="008A2546" w:rsidP="008A2546">
      <w:pPr>
        <w:pStyle w:val="Bibliography"/>
        <w:rPr>
          <w:lang w:bidi="hi-IN"/>
        </w:rPr>
      </w:pPr>
      <w:r w:rsidRPr="008A2546">
        <w:rPr>
          <w:lang w:bidi="hi-IN"/>
        </w:rPr>
        <w:t>(63)</w:t>
      </w:r>
      <w:r w:rsidRPr="008A2546">
        <w:rPr>
          <w:lang w:bidi="hi-IN"/>
        </w:rPr>
        <w:tab/>
        <w:t xml:space="preserve">Cai, Y.; Schiffer, C. A. Decomposing the Energetic Impact of Drug Resistant Mutations in HIV-1 Protease on Binding DRV. </w:t>
      </w:r>
      <w:r w:rsidRPr="008A2546">
        <w:rPr>
          <w:i/>
          <w:iCs/>
          <w:lang w:bidi="hi-IN"/>
        </w:rPr>
        <w:t>J. Chem. Theory Comput.</w:t>
      </w:r>
      <w:r w:rsidRPr="008A2546">
        <w:rPr>
          <w:lang w:bidi="hi-IN"/>
        </w:rPr>
        <w:t xml:space="preserve"> </w:t>
      </w:r>
      <w:r w:rsidRPr="008A2546">
        <w:rPr>
          <w:b/>
          <w:bCs/>
          <w:lang w:bidi="hi-IN"/>
        </w:rPr>
        <w:t>2010</w:t>
      </w:r>
      <w:r w:rsidRPr="008A2546">
        <w:rPr>
          <w:lang w:bidi="hi-IN"/>
        </w:rPr>
        <w:t xml:space="preserve">, </w:t>
      </w:r>
      <w:r w:rsidRPr="008A2546">
        <w:rPr>
          <w:i/>
          <w:iCs/>
          <w:lang w:bidi="hi-IN"/>
        </w:rPr>
        <w:t>6</w:t>
      </w:r>
      <w:r w:rsidRPr="008A2546">
        <w:rPr>
          <w:lang w:bidi="hi-IN"/>
        </w:rPr>
        <w:t xml:space="preserve"> (4), 1358–1368. https://doi.org/10.1021/ct9004678</w:t>
      </w:r>
    </w:p>
    <w:p w14:paraId="60AC6BB4" w14:textId="77777777" w:rsidR="008A2546" w:rsidRPr="008A2546" w:rsidRDefault="008A2546" w:rsidP="008A2546">
      <w:pPr>
        <w:pStyle w:val="Bibliography"/>
        <w:rPr>
          <w:lang w:bidi="hi-IN"/>
        </w:rPr>
      </w:pPr>
      <w:r w:rsidRPr="008A2546">
        <w:rPr>
          <w:lang w:bidi="hi-IN"/>
        </w:rPr>
        <w:t>(64)</w:t>
      </w:r>
      <w:r w:rsidRPr="008A2546">
        <w:rPr>
          <w:lang w:bidi="hi-IN"/>
        </w:rPr>
        <w:tab/>
        <w:t xml:space="preserve">Bastys, T.; Gapsys, V.; Doncheva, N. T.; Kaiser, R.; de Groot, B. L.; Kalinina, O. V. Consistent Prediction of Mutation Effect on Drug Binding in HIV‑1 Protease Using Alchemical Calculations.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(7), 3397–3408. https://doi.org/10.1021/acs.jctc.7b01109</w:t>
      </w:r>
    </w:p>
    <w:p w14:paraId="51ACC5EF" w14:textId="77777777" w:rsidR="008A2546" w:rsidRPr="008A2546" w:rsidRDefault="008A2546" w:rsidP="008A2546">
      <w:pPr>
        <w:pStyle w:val="Bibliography"/>
        <w:rPr>
          <w:lang w:bidi="hi-IN"/>
        </w:rPr>
      </w:pPr>
      <w:r w:rsidRPr="008A2546">
        <w:rPr>
          <w:lang w:bidi="hi-IN"/>
        </w:rPr>
        <w:t>(65)</w:t>
      </w:r>
      <w:r w:rsidRPr="008A2546">
        <w:rPr>
          <w:lang w:bidi="hi-IN"/>
        </w:rPr>
        <w:tab/>
        <w:t xml:space="preserve">Bastys, T.; Gapsys, V.; Walter, H.; Heger, E.; Doncheva, N. T.; Kaiser, R.; de Groot, B. L.; Kalinina, O. V. Non-Active Site Mutants of HIV-1 Protease Influence Resistance and Sensitisation towards Protease Inhibitors. </w:t>
      </w:r>
      <w:r w:rsidRPr="008A2546">
        <w:rPr>
          <w:i/>
          <w:iCs/>
          <w:lang w:bidi="hi-IN"/>
        </w:rPr>
        <w:t>Retrovirology</w:t>
      </w:r>
      <w:r w:rsidRPr="008A2546">
        <w:rPr>
          <w:lang w:bidi="hi-IN"/>
        </w:rPr>
        <w:t xml:space="preserve"> </w:t>
      </w:r>
      <w:r w:rsidRPr="008A2546">
        <w:rPr>
          <w:b/>
          <w:bCs/>
          <w:lang w:bidi="hi-IN"/>
        </w:rPr>
        <w:t>2020</w:t>
      </w:r>
      <w:r w:rsidRPr="008A2546">
        <w:rPr>
          <w:lang w:bidi="hi-IN"/>
        </w:rPr>
        <w:t xml:space="preserve">, </w:t>
      </w:r>
      <w:r w:rsidRPr="008A2546">
        <w:rPr>
          <w:i/>
          <w:iCs/>
          <w:lang w:bidi="hi-IN"/>
        </w:rPr>
        <w:t>17</w:t>
      </w:r>
      <w:r w:rsidRPr="008A2546">
        <w:rPr>
          <w:lang w:bidi="hi-IN"/>
        </w:rPr>
        <w:t xml:space="preserve"> (1), 13. https://doi.org/10.1186/s12977-020-00520-6</w:t>
      </w:r>
    </w:p>
    <w:p w14:paraId="6C325117" w14:textId="77777777" w:rsidR="008A2546" w:rsidRPr="008A2546" w:rsidRDefault="008A2546" w:rsidP="008A2546">
      <w:pPr>
        <w:pStyle w:val="Bibliography"/>
        <w:rPr>
          <w:lang w:bidi="hi-IN"/>
        </w:rPr>
      </w:pPr>
      <w:r w:rsidRPr="008A2546">
        <w:rPr>
          <w:lang w:bidi="hi-IN"/>
        </w:rPr>
        <w:t>(66)</w:t>
      </w:r>
      <w:r w:rsidRPr="008A2546">
        <w:rPr>
          <w:lang w:bidi="hi-IN"/>
        </w:rPr>
        <w:tab/>
        <w:t xml:space="preserve">Sun, Q.; Levy, R. M.; Kirby, K. A.; Wang, Z.; Sarafianos, S. G.; Deng, N. Molecular Dynamics Free Energy Simulations Reveal the Mechanism for the Antiviral Resistance of the M66I HIV-1 Capsid Mutation. </w:t>
      </w:r>
      <w:r w:rsidRPr="008A2546">
        <w:rPr>
          <w:i/>
          <w:iCs/>
          <w:lang w:bidi="hi-IN"/>
        </w:rPr>
        <w:t>Viruses</w:t>
      </w:r>
      <w:r w:rsidRPr="008A2546">
        <w:rPr>
          <w:lang w:bidi="hi-IN"/>
        </w:rPr>
        <w:t xml:space="preserve"> </w:t>
      </w:r>
      <w:r w:rsidRPr="008A2546">
        <w:rPr>
          <w:b/>
          <w:bCs/>
          <w:lang w:bidi="hi-IN"/>
        </w:rPr>
        <w:t>2021</w:t>
      </w:r>
      <w:r w:rsidRPr="008A2546">
        <w:rPr>
          <w:lang w:bidi="hi-IN"/>
        </w:rPr>
        <w:t xml:space="preserve">, </w:t>
      </w:r>
      <w:r w:rsidRPr="008A2546">
        <w:rPr>
          <w:i/>
          <w:iCs/>
          <w:lang w:bidi="hi-IN"/>
        </w:rPr>
        <w:t>13</w:t>
      </w:r>
      <w:r w:rsidRPr="008A2546">
        <w:rPr>
          <w:lang w:bidi="hi-IN"/>
        </w:rPr>
        <w:t xml:space="preserve"> (5), 920. https://doi.org/10.3390/v13050920</w:t>
      </w:r>
    </w:p>
    <w:p w14:paraId="615DD571" w14:textId="77777777" w:rsidR="008A2546" w:rsidRPr="008A2546" w:rsidRDefault="008A2546" w:rsidP="008A2546">
      <w:pPr>
        <w:pStyle w:val="Bibliography"/>
        <w:rPr>
          <w:lang w:bidi="hi-IN"/>
        </w:rPr>
      </w:pPr>
      <w:r w:rsidRPr="008A2546">
        <w:rPr>
          <w:lang w:bidi="hi-IN"/>
        </w:rPr>
        <w:t>(67)</w:t>
      </w:r>
      <w:r w:rsidRPr="008A2546">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8A2546">
        <w:rPr>
          <w:i/>
          <w:iCs/>
          <w:lang w:bidi="hi-IN"/>
        </w:rPr>
        <w:t>Science Advances</w:t>
      </w:r>
      <w:r w:rsidRPr="008A2546">
        <w:rPr>
          <w:lang w:bidi="hi-IN"/>
        </w:rPr>
        <w:t xml:space="preserve"> </w:t>
      </w:r>
      <w:r w:rsidRPr="008A2546">
        <w:rPr>
          <w:b/>
          <w:bCs/>
          <w:lang w:bidi="hi-IN"/>
        </w:rPr>
        <w:t>2023</w:t>
      </w:r>
      <w:r w:rsidRPr="008A2546">
        <w:rPr>
          <w:lang w:bidi="hi-IN"/>
        </w:rPr>
        <w:t xml:space="preserve">, </w:t>
      </w:r>
      <w:r w:rsidRPr="008A2546">
        <w:rPr>
          <w:i/>
          <w:iCs/>
          <w:lang w:bidi="hi-IN"/>
        </w:rPr>
        <w:t>9</w:t>
      </w:r>
      <w:r w:rsidRPr="008A2546">
        <w:rPr>
          <w:lang w:bidi="hi-IN"/>
        </w:rPr>
        <w:t xml:space="preserve"> (29), eadg5953. https://doi.org/10.1126/sciadv.adg5953</w:t>
      </w:r>
    </w:p>
    <w:p w14:paraId="67D23414" w14:textId="77777777" w:rsidR="008A2546" w:rsidRPr="008A2546" w:rsidRDefault="008A2546" w:rsidP="008A2546">
      <w:pPr>
        <w:pStyle w:val="Bibliography"/>
        <w:rPr>
          <w:lang w:bidi="hi-IN"/>
        </w:rPr>
      </w:pPr>
      <w:r w:rsidRPr="008A2546">
        <w:rPr>
          <w:lang w:bidi="hi-IN"/>
        </w:rPr>
        <w:t>(68)</w:t>
      </w:r>
      <w:r w:rsidRPr="008A2546">
        <w:rPr>
          <w:lang w:bidi="hi-IN"/>
        </w:rPr>
        <w:tab/>
        <w:t xml:space="preserve">Hauser, K.; Negron, C.; Albanese, S. K.; Ray, S.; Steinbrecher, T.; Abel, R.; Chodera, J. D.; Wang, L. Predicting Resistance of Clinical Abl Mutations to Targeted Kinase Inhibitors Using Alchemical Free-Energy Calculations. </w:t>
      </w:r>
      <w:r w:rsidRPr="008A2546">
        <w:rPr>
          <w:i/>
          <w:iCs/>
          <w:lang w:bidi="hi-IN"/>
        </w:rPr>
        <w:t>Commun Biol</w:t>
      </w:r>
      <w:r w:rsidRPr="008A2546">
        <w:rPr>
          <w:lang w:bidi="hi-IN"/>
        </w:rPr>
        <w:t xml:space="preserve"> </w:t>
      </w:r>
      <w:r w:rsidRPr="008A2546">
        <w:rPr>
          <w:b/>
          <w:bCs/>
          <w:lang w:bidi="hi-IN"/>
        </w:rPr>
        <w:t>2018</w:t>
      </w:r>
      <w:r w:rsidRPr="008A2546">
        <w:rPr>
          <w:lang w:bidi="hi-IN"/>
        </w:rPr>
        <w:t xml:space="preserve">, </w:t>
      </w:r>
      <w:r w:rsidRPr="008A2546">
        <w:rPr>
          <w:i/>
          <w:iCs/>
          <w:lang w:bidi="hi-IN"/>
        </w:rPr>
        <w:t>1</w:t>
      </w:r>
      <w:r w:rsidRPr="008A2546">
        <w:rPr>
          <w:lang w:bidi="hi-IN"/>
        </w:rPr>
        <w:t xml:space="preserve"> (1), 70. https://doi.org/10.1038/s42003-018-0075-x</w:t>
      </w:r>
    </w:p>
    <w:p w14:paraId="0624CFEA" w14:textId="77777777" w:rsidR="008A2546" w:rsidRPr="008A2546" w:rsidRDefault="008A2546" w:rsidP="008A2546">
      <w:pPr>
        <w:pStyle w:val="Bibliography"/>
        <w:rPr>
          <w:lang w:bidi="hi-IN"/>
        </w:rPr>
      </w:pPr>
      <w:r w:rsidRPr="008A2546">
        <w:rPr>
          <w:lang w:bidi="hi-IN"/>
        </w:rPr>
        <w:lastRenderedPageBreak/>
        <w:t>(69)</w:t>
      </w:r>
      <w:r w:rsidRPr="008A2546">
        <w:rPr>
          <w:lang w:bidi="hi-IN"/>
        </w:rPr>
        <w:tab/>
        <w:t xml:space="preserve">Nagarajan, A.; Amberg-Johnson, K.; Paull, E.; Huang, K.; Ghanakota, P.; Chandrasinghe, A.; Chief Elk, J.; Sampson, J. M.; Wang, L.; Abel, R.; Albanese, S. K. Predicting Resistance to Small Molecule Kinase Inhibitors. </w:t>
      </w:r>
      <w:r w:rsidRPr="008A2546">
        <w:rPr>
          <w:i/>
          <w:iCs/>
          <w:lang w:bidi="hi-IN"/>
        </w:rPr>
        <w:t>J. Chem. Inf. Model.</w:t>
      </w:r>
      <w:r w:rsidRPr="008A2546">
        <w:rPr>
          <w:lang w:bidi="hi-IN"/>
        </w:rPr>
        <w:t xml:space="preserve"> </w:t>
      </w:r>
      <w:r w:rsidRPr="008A2546">
        <w:rPr>
          <w:b/>
          <w:bCs/>
          <w:lang w:bidi="hi-IN"/>
        </w:rPr>
        <w:t>2025</w:t>
      </w:r>
      <w:r w:rsidRPr="008A2546">
        <w:rPr>
          <w:lang w:bidi="hi-IN"/>
        </w:rPr>
        <w:t xml:space="preserve">, </w:t>
      </w:r>
      <w:r w:rsidRPr="008A2546">
        <w:rPr>
          <w:i/>
          <w:iCs/>
          <w:lang w:bidi="hi-IN"/>
        </w:rPr>
        <w:t>65</w:t>
      </w:r>
      <w:r w:rsidRPr="008A2546">
        <w:rPr>
          <w:lang w:bidi="hi-IN"/>
        </w:rPr>
        <w:t xml:space="preserve"> (5), 2543–2557. https://doi.org/10.1021/acs.jcim.4c02313</w:t>
      </w:r>
    </w:p>
    <w:p w14:paraId="4D490605" w14:textId="77777777" w:rsidR="008A2546" w:rsidRPr="008A2546" w:rsidRDefault="008A2546" w:rsidP="008A2546">
      <w:pPr>
        <w:pStyle w:val="Bibliography"/>
        <w:rPr>
          <w:lang w:bidi="hi-IN"/>
        </w:rPr>
      </w:pPr>
      <w:r w:rsidRPr="008A2546">
        <w:rPr>
          <w:lang w:bidi="hi-IN"/>
        </w:rPr>
        <w:t>(70)</w:t>
      </w:r>
      <w:r w:rsidRPr="008A2546">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8A2546">
        <w:rPr>
          <w:i/>
          <w:iCs/>
          <w:lang w:bidi="hi-IN"/>
        </w:rPr>
        <w:t>Journal American Chemical Society</w:t>
      </w:r>
      <w:r w:rsidRPr="008A2546">
        <w:rPr>
          <w:lang w:bidi="hi-IN"/>
        </w:rPr>
        <w:t xml:space="preserve"> </w:t>
      </w:r>
      <w:r w:rsidRPr="008A2546">
        <w:rPr>
          <w:b/>
          <w:bCs/>
          <w:lang w:bidi="hi-IN"/>
        </w:rPr>
        <w:t>2015</w:t>
      </w:r>
      <w:r w:rsidRPr="008A2546">
        <w:rPr>
          <w:lang w:bidi="hi-IN"/>
        </w:rPr>
        <w:t xml:space="preserve">, </w:t>
      </w:r>
      <w:r w:rsidRPr="008A2546">
        <w:rPr>
          <w:i/>
          <w:iCs/>
          <w:lang w:bidi="hi-IN"/>
        </w:rPr>
        <w:t>137</w:t>
      </w:r>
      <w:r w:rsidRPr="008A2546">
        <w:rPr>
          <w:lang w:bidi="hi-IN"/>
        </w:rPr>
        <w:t xml:space="preserve"> (7), 2695–2703. https://doi.org/10.1021/ja512751q</w:t>
      </w:r>
    </w:p>
    <w:p w14:paraId="0578C8A2" w14:textId="77777777" w:rsidR="008A2546" w:rsidRPr="008A2546" w:rsidRDefault="008A2546" w:rsidP="008A2546">
      <w:pPr>
        <w:pStyle w:val="Bibliography"/>
        <w:rPr>
          <w:lang w:bidi="hi-IN"/>
        </w:rPr>
      </w:pPr>
      <w:r w:rsidRPr="008A2546">
        <w:rPr>
          <w:lang w:bidi="hi-IN"/>
        </w:rPr>
        <w:t>(71)</w:t>
      </w:r>
      <w:r w:rsidRPr="008A2546">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8A2546">
        <w:rPr>
          <w:i/>
          <w:iCs/>
          <w:lang w:bidi="hi-IN"/>
        </w:rPr>
        <w:t>J. Chem. Inf. Model.</w:t>
      </w:r>
      <w:r w:rsidRPr="008A2546">
        <w:rPr>
          <w:lang w:bidi="hi-IN"/>
        </w:rPr>
        <w:t xml:space="preserve"> </w:t>
      </w:r>
      <w:r w:rsidRPr="008A2546">
        <w:rPr>
          <w:b/>
          <w:bCs/>
          <w:lang w:bidi="hi-IN"/>
        </w:rPr>
        <w:t>2020</w:t>
      </w:r>
      <w:r w:rsidRPr="008A2546">
        <w:rPr>
          <w:lang w:bidi="hi-IN"/>
        </w:rPr>
        <w:t xml:space="preserve">, </w:t>
      </w:r>
      <w:r w:rsidRPr="008A2546">
        <w:rPr>
          <w:i/>
          <w:iCs/>
          <w:lang w:bidi="hi-IN"/>
        </w:rPr>
        <w:t>60</w:t>
      </w:r>
      <w:r w:rsidRPr="008A2546">
        <w:rPr>
          <w:lang w:bidi="hi-IN"/>
        </w:rPr>
        <w:t xml:space="preserve"> (11), 5457–5474. https://doi.org/10.1021/acs.jcim.0c00900</w:t>
      </w:r>
    </w:p>
    <w:p w14:paraId="05B5A807" w14:textId="77777777" w:rsidR="008A2546" w:rsidRPr="008A2546" w:rsidRDefault="008A2546" w:rsidP="008A2546">
      <w:pPr>
        <w:pStyle w:val="Bibliography"/>
        <w:rPr>
          <w:lang w:bidi="hi-IN"/>
        </w:rPr>
      </w:pPr>
      <w:r w:rsidRPr="008A2546">
        <w:rPr>
          <w:lang w:bidi="hi-IN"/>
        </w:rPr>
        <w:t>(72)</w:t>
      </w:r>
      <w:r w:rsidRPr="008A2546">
        <w:rPr>
          <w:lang w:bidi="hi-IN"/>
        </w:rPr>
        <w:tab/>
        <w:t xml:space="preserve">Ren, J.; Stammers, D. K. Structural Basis for Drug Resistance Mechanisms for Non-Nucleoside Inhibitors of HIV Reverse Transcriptase. </w:t>
      </w:r>
      <w:r w:rsidRPr="008A2546">
        <w:rPr>
          <w:i/>
          <w:iCs/>
          <w:lang w:bidi="hi-IN"/>
        </w:rPr>
        <w:t>Virus Research</w:t>
      </w:r>
      <w:r w:rsidRPr="008A2546">
        <w:rPr>
          <w:lang w:bidi="hi-IN"/>
        </w:rPr>
        <w:t xml:space="preserve"> </w:t>
      </w:r>
      <w:r w:rsidRPr="008A2546">
        <w:rPr>
          <w:b/>
          <w:bCs/>
          <w:lang w:bidi="hi-IN"/>
        </w:rPr>
        <w:t>2008</w:t>
      </w:r>
      <w:r w:rsidRPr="008A2546">
        <w:rPr>
          <w:lang w:bidi="hi-IN"/>
        </w:rPr>
        <w:t xml:space="preserve">, </w:t>
      </w:r>
      <w:r w:rsidRPr="008A2546">
        <w:rPr>
          <w:i/>
          <w:iCs/>
          <w:lang w:bidi="hi-IN"/>
        </w:rPr>
        <w:t>134</w:t>
      </w:r>
      <w:r w:rsidRPr="008A2546">
        <w:rPr>
          <w:lang w:bidi="hi-IN"/>
        </w:rPr>
        <w:t xml:space="preserve"> (1), 157–170. https://doi.org/10.1016/j.virusres.2007.12.018</w:t>
      </w:r>
    </w:p>
    <w:p w14:paraId="24FBB85C" w14:textId="77777777" w:rsidR="008A2546" w:rsidRPr="008A2546" w:rsidRDefault="008A2546" w:rsidP="008A2546">
      <w:pPr>
        <w:pStyle w:val="Bibliography"/>
        <w:rPr>
          <w:lang w:bidi="hi-IN"/>
        </w:rPr>
      </w:pPr>
      <w:r w:rsidRPr="008A2546">
        <w:rPr>
          <w:lang w:bidi="hi-IN"/>
        </w:rPr>
        <w:t>(73)</w:t>
      </w:r>
      <w:r w:rsidRPr="008A2546">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8A2546">
        <w:rPr>
          <w:i/>
          <w:iCs/>
          <w:lang w:bidi="hi-IN"/>
        </w:rPr>
        <w:t>Journal of Virology</w:t>
      </w:r>
      <w:r w:rsidRPr="008A2546">
        <w:rPr>
          <w:lang w:bidi="hi-IN"/>
        </w:rPr>
        <w:t xml:space="preserve"> </w:t>
      </w:r>
      <w:r w:rsidRPr="008A2546">
        <w:rPr>
          <w:b/>
          <w:bCs/>
          <w:lang w:bidi="hi-IN"/>
        </w:rPr>
        <w:t>2003</w:t>
      </w:r>
      <w:r w:rsidRPr="008A2546">
        <w:rPr>
          <w:lang w:bidi="hi-IN"/>
        </w:rPr>
        <w:t xml:space="preserve">, </w:t>
      </w:r>
      <w:r w:rsidRPr="008A2546">
        <w:rPr>
          <w:i/>
          <w:iCs/>
          <w:lang w:bidi="hi-IN"/>
        </w:rPr>
        <w:t>77</w:t>
      </w:r>
      <w:r w:rsidRPr="008A2546">
        <w:rPr>
          <w:lang w:bidi="hi-IN"/>
        </w:rPr>
        <w:t xml:space="preserve"> (2), 1512–1523. https://doi.org/10.1128/jvi.77.2.1512-1523.2003</w:t>
      </w:r>
    </w:p>
    <w:p w14:paraId="67DC7484" w14:textId="77777777" w:rsidR="008A2546" w:rsidRPr="008A2546" w:rsidRDefault="008A2546" w:rsidP="008A2546">
      <w:pPr>
        <w:pStyle w:val="Bibliography"/>
        <w:rPr>
          <w:lang w:bidi="hi-IN"/>
        </w:rPr>
      </w:pPr>
      <w:r w:rsidRPr="008A2546">
        <w:rPr>
          <w:lang w:bidi="hi-IN"/>
        </w:rPr>
        <w:t>(74)</w:t>
      </w:r>
      <w:r w:rsidRPr="008A2546">
        <w:rPr>
          <w:lang w:bidi="hi-IN"/>
        </w:rPr>
        <w:tab/>
        <w:t xml:space="preserve">Ren, J.; Nichols, C. E.; Chamberlain, P. P.; Weaver, K. L.; Short, S. A.; Stammers, D. K. Crystal Structures of HIV-1 Reverse Transcriptases Mutated at Codons 100, 106 and 108 and Mechanisms of Resistance to Non-Nucleoside Inhibitors. </w:t>
      </w:r>
      <w:r w:rsidRPr="008A2546">
        <w:rPr>
          <w:i/>
          <w:iCs/>
          <w:lang w:bidi="hi-IN"/>
        </w:rPr>
        <w:t>Journal of Molecular Biology</w:t>
      </w:r>
      <w:r w:rsidRPr="008A2546">
        <w:rPr>
          <w:lang w:bidi="hi-IN"/>
        </w:rPr>
        <w:t xml:space="preserve"> </w:t>
      </w:r>
      <w:r w:rsidRPr="008A2546">
        <w:rPr>
          <w:b/>
          <w:bCs/>
          <w:lang w:bidi="hi-IN"/>
        </w:rPr>
        <w:t>2004</w:t>
      </w:r>
      <w:r w:rsidRPr="008A2546">
        <w:rPr>
          <w:lang w:bidi="hi-IN"/>
        </w:rPr>
        <w:t xml:space="preserve">, </w:t>
      </w:r>
      <w:r w:rsidRPr="008A2546">
        <w:rPr>
          <w:i/>
          <w:iCs/>
          <w:lang w:bidi="hi-IN"/>
        </w:rPr>
        <w:t>336</w:t>
      </w:r>
      <w:r w:rsidRPr="008A2546">
        <w:rPr>
          <w:lang w:bidi="hi-IN"/>
        </w:rPr>
        <w:t xml:space="preserve"> (3), 569–578. https://doi.org/10.1016/j.jmb.2003.12.055</w:t>
      </w:r>
    </w:p>
    <w:p w14:paraId="0F6ED6A8" w14:textId="77777777" w:rsidR="008A2546" w:rsidRPr="008A2546" w:rsidRDefault="008A2546" w:rsidP="008A2546">
      <w:pPr>
        <w:pStyle w:val="Bibliography"/>
        <w:rPr>
          <w:lang w:bidi="hi-IN"/>
        </w:rPr>
      </w:pPr>
      <w:r w:rsidRPr="008A2546">
        <w:rPr>
          <w:lang w:bidi="hi-IN"/>
        </w:rPr>
        <w:t>(75)</w:t>
      </w:r>
      <w:r w:rsidRPr="008A2546">
        <w:rPr>
          <w:lang w:bidi="hi-IN"/>
        </w:rPr>
        <w:tab/>
        <w:t xml:space="preserve">Reddy, N.; Papathanasopoulos, M.; Steegen, K.; Basson, A. E. K103N, V106M and Y188L Significantly Reduce HIV-1 Subtype C Phenotypic Susceptibility to Doravirine. </w:t>
      </w:r>
      <w:r w:rsidRPr="008A2546">
        <w:rPr>
          <w:i/>
          <w:iCs/>
          <w:lang w:bidi="hi-IN"/>
        </w:rPr>
        <w:t>Viruses</w:t>
      </w:r>
      <w:r w:rsidRPr="008A2546">
        <w:rPr>
          <w:lang w:bidi="hi-IN"/>
        </w:rPr>
        <w:t xml:space="preserve"> </w:t>
      </w:r>
      <w:r w:rsidRPr="008A2546">
        <w:rPr>
          <w:b/>
          <w:bCs/>
          <w:lang w:bidi="hi-IN"/>
        </w:rPr>
        <w:t>2024</w:t>
      </w:r>
      <w:r w:rsidRPr="008A2546">
        <w:rPr>
          <w:lang w:bidi="hi-IN"/>
        </w:rPr>
        <w:t xml:space="preserve">, </w:t>
      </w:r>
      <w:r w:rsidRPr="008A2546">
        <w:rPr>
          <w:i/>
          <w:iCs/>
          <w:lang w:bidi="hi-IN"/>
        </w:rPr>
        <w:t>16</w:t>
      </w:r>
      <w:r w:rsidRPr="008A2546">
        <w:rPr>
          <w:lang w:bidi="hi-IN"/>
        </w:rPr>
        <w:t xml:space="preserve"> (9), 1493. https://doi.org/10.3390/v16091493</w:t>
      </w:r>
    </w:p>
    <w:p w14:paraId="2A2D9152" w14:textId="77777777" w:rsidR="008A2546" w:rsidRPr="008A2546" w:rsidRDefault="008A2546" w:rsidP="008A2546">
      <w:pPr>
        <w:pStyle w:val="Bibliography"/>
        <w:rPr>
          <w:lang w:bidi="hi-IN"/>
        </w:rPr>
      </w:pPr>
      <w:r w:rsidRPr="008A2546">
        <w:rPr>
          <w:lang w:bidi="hi-IN"/>
        </w:rPr>
        <w:t>(76)</w:t>
      </w:r>
      <w:r w:rsidRPr="008A2546">
        <w:rPr>
          <w:lang w:bidi="hi-IN"/>
        </w:rPr>
        <w:tab/>
        <w:t xml:space="preserve">Ghosh, M.; Jacques, P. S.; Rodgers, D. W.; Ottman, M.; Darlix, J.-L.; Le Grice, S. F. J. Alterations to the Primer Grip of P66 HIV-1 Reverse Transcriptase and Their Consequences for Template-Primer Utilization. </w:t>
      </w:r>
      <w:r w:rsidRPr="008A2546">
        <w:rPr>
          <w:i/>
          <w:iCs/>
          <w:lang w:bidi="hi-IN"/>
        </w:rPr>
        <w:t>Biochemistry</w:t>
      </w:r>
      <w:r w:rsidRPr="008A2546">
        <w:rPr>
          <w:lang w:bidi="hi-IN"/>
        </w:rPr>
        <w:t xml:space="preserve"> </w:t>
      </w:r>
      <w:r w:rsidRPr="008A2546">
        <w:rPr>
          <w:b/>
          <w:bCs/>
          <w:lang w:bidi="hi-IN"/>
        </w:rPr>
        <w:t>1996</w:t>
      </w:r>
      <w:r w:rsidRPr="008A2546">
        <w:rPr>
          <w:lang w:bidi="hi-IN"/>
        </w:rPr>
        <w:t xml:space="preserve">, </w:t>
      </w:r>
      <w:r w:rsidRPr="008A2546">
        <w:rPr>
          <w:i/>
          <w:iCs/>
          <w:lang w:bidi="hi-IN"/>
        </w:rPr>
        <w:t>35</w:t>
      </w:r>
      <w:r w:rsidRPr="008A2546">
        <w:rPr>
          <w:lang w:bidi="hi-IN"/>
        </w:rPr>
        <w:t xml:space="preserve"> (26), 8553–8562. https://doi.org/10.1021/bi952773j</w:t>
      </w:r>
    </w:p>
    <w:p w14:paraId="312CC9A9" w14:textId="77777777" w:rsidR="008A2546" w:rsidRPr="008A2546" w:rsidRDefault="008A2546" w:rsidP="008A2546">
      <w:pPr>
        <w:pStyle w:val="Bibliography"/>
        <w:rPr>
          <w:lang w:bidi="hi-IN"/>
        </w:rPr>
      </w:pPr>
      <w:r w:rsidRPr="008A2546">
        <w:rPr>
          <w:lang w:bidi="hi-IN"/>
        </w:rPr>
        <w:t>(77)</w:t>
      </w:r>
      <w:r w:rsidRPr="008A2546">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8A2546">
        <w:rPr>
          <w:i/>
          <w:iCs/>
          <w:lang w:bidi="hi-IN"/>
        </w:rPr>
        <w:lastRenderedPageBreak/>
        <w:t>Antimicrobial Agents and Chemotherapy</w:t>
      </w:r>
      <w:r w:rsidRPr="008A2546">
        <w:rPr>
          <w:lang w:bidi="hi-IN"/>
        </w:rPr>
        <w:t xml:space="preserve"> </w:t>
      </w:r>
      <w:r w:rsidRPr="008A2546">
        <w:rPr>
          <w:b/>
          <w:bCs/>
          <w:lang w:bidi="hi-IN"/>
        </w:rPr>
        <w:t>2010</w:t>
      </w:r>
      <w:r w:rsidRPr="008A2546">
        <w:rPr>
          <w:lang w:bidi="hi-IN"/>
        </w:rPr>
        <w:t xml:space="preserve">, </w:t>
      </w:r>
      <w:r w:rsidRPr="008A2546">
        <w:rPr>
          <w:i/>
          <w:iCs/>
          <w:lang w:bidi="hi-IN"/>
        </w:rPr>
        <w:t>54</w:t>
      </w:r>
      <w:r w:rsidRPr="008A2546">
        <w:rPr>
          <w:lang w:bidi="hi-IN"/>
        </w:rPr>
        <w:t xml:space="preserve"> (6), 2401–2408. https://doi.org/10.1128/aac.01795-09</w:t>
      </w:r>
    </w:p>
    <w:p w14:paraId="1E412E31" w14:textId="77777777" w:rsidR="008A2546" w:rsidRPr="008A2546" w:rsidRDefault="008A2546" w:rsidP="008A2546">
      <w:pPr>
        <w:pStyle w:val="Bibliography"/>
        <w:rPr>
          <w:lang w:bidi="hi-IN"/>
        </w:rPr>
      </w:pPr>
      <w:r w:rsidRPr="008A2546">
        <w:rPr>
          <w:lang w:bidi="hi-IN"/>
        </w:rPr>
        <w:t>(78)</w:t>
      </w:r>
      <w:r w:rsidRPr="008A2546">
        <w:rPr>
          <w:lang w:bidi="hi-IN"/>
        </w:rPr>
        <w:tab/>
        <w:t xml:space="preserve">van der Kamp, M. W.; Mulholland, A. J. Combined Quantum Mechanics/Molecular Mechanics (QM/MM) Methods in Computational Enzymology. </w:t>
      </w:r>
      <w:r w:rsidRPr="008A2546">
        <w:rPr>
          <w:i/>
          <w:iCs/>
          <w:lang w:bidi="hi-IN"/>
        </w:rPr>
        <w:t>Biochemistry</w:t>
      </w:r>
      <w:r w:rsidRPr="008A2546">
        <w:rPr>
          <w:lang w:bidi="hi-IN"/>
        </w:rPr>
        <w:t xml:space="preserve"> </w:t>
      </w:r>
      <w:r w:rsidRPr="008A2546">
        <w:rPr>
          <w:b/>
          <w:bCs/>
          <w:lang w:bidi="hi-IN"/>
        </w:rPr>
        <w:t>2013</w:t>
      </w:r>
      <w:r w:rsidRPr="008A2546">
        <w:rPr>
          <w:lang w:bidi="hi-IN"/>
        </w:rPr>
        <w:t xml:space="preserve">, </w:t>
      </w:r>
      <w:r w:rsidRPr="008A2546">
        <w:rPr>
          <w:i/>
          <w:iCs/>
          <w:lang w:bidi="hi-IN"/>
        </w:rPr>
        <w:t>52</w:t>
      </w:r>
      <w:r w:rsidRPr="008A2546">
        <w:rPr>
          <w:lang w:bidi="hi-IN"/>
        </w:rPr>
        <w:t xml:space="preserve"> (16), 2708–2728. https://doi.org/10.1021/bi400215w</w:t>
      </w:r>
    </w:p>
    <w:p w14:paraId="4595C074" w14:textId="77777777" w:rsidR="008A2546" w:rsidRPr="008A2546" w:rsidRDefault="008A2546" w:rsidP="008A2546">
      <w:pPr>
        <w:pStyle w:val="Bibliography"/>
        <w:rPr>
          <w:lang w:bidi="hi-IN"/>
        </w:rPr>
      </w:pPr>
      <w:r w:rsidRPr="008A2546">
        <w:rPr>
          <w:lang w:bidi="hi-IN"/>
        </w:rPr>
        <w:t>(79)</w:t>
      </w:r>
      <w:r w:rsidRPr="008A2546">
        <w:rPr>
          <w:lang w:bidi="hi-IN"/>
        </w:rPr>
        <w:tab/>
        <w:t xml:space="preserve">Taguchi, M.; Oyama, R.; Kaneso, M.; Hayashi, S. Hybrid QM/MM Free-Energy Evaluation of Drug-Resistant Mutational Effect on the Binding of an Inhibitor Indinavir to HIV‑1 Protease. </w:t>
      </w:r>
      <w:r w:rsidRPr="008A2546">
        <w:rPr>
          <w:i/>
          <w:iCs/>
          <w:lang w:bidi="hi-IN"/>
        </w:rPr>
        <w:t>J. Chem. Inf. Model.</w:t>
      </w:r>
      <w:r w:rsidRPr="008A2546">
        <w:rPr>
          <w:lang w:bidi="hi-IN"/>
        </w:rPr>
        <w:t xml:space="preserve"> </w:t>
      </w:r>
      <w:r w:rsidRPr="008A2546">
        <w:rPr>
          <w:b/>
          <w:bCs/>
          <w:lang w:bidi="hi-IN"/>
        </w:rPr>
        <w:t>2022</w:t>
      </w:r>
      <w:r w:rsidRPr="008A2546">
        <w:rPr>
          <w:lang w:bidi="hi-IN"/>
        </w:rPr>
        <w:t xml:space="preserve">, </w:t>
      </w:r>
      <w:r w:rsidRPr="008A2546">
        <w:rPr>
          <w:i/>
          <w:iCs/>
          <w:lang w:bidi="hi-IN"/>
        </w:rPr>
        <w:t>62</w:t>
      </w:r>
      <w:r w:rsidRPr="008A2546">
        <w:rPr>
          <w:lang w:bidi="hi-IN"/>
        </w:rPr>
        <w:t xml:space="preserve"> (5), 1328–1344. https://doi.org/10.1021/acs.jcim.1c01193</w:t>
      </w:r>
    </w:p>
    <w:p w14:paraId="1D04F3E4" w14:textId="77777777" w:rsidR="008A2546" w:rsidRPr="008A2546" w:rsidRDefault="008A2546" w:rsidP="008A2546">
      <w:pPr>
        <w:pStyle w:val="Bibliography"/>
        <w:rPr>
          <w:lang w:bidi="hi-IN"/>
        </w:rPr>
      </w:pPr>
      <w:r w:rsidRPr="008A2546">
        <w:rPr>
          <w:lang w:bidi="hi-IN"/>
        </w:rPr>
        <w:t>(80)</w:t>
      </w:r>
      <w:r w:rsidRPr="008A2546">
        <w:rPr>
          <w:lang w:bidi="hi-IN"/>
        </w:rPr>
        <w:tab/>
        <w:t xml:space="preserve">Plattner, N.; Noé, F. Protein Conformational Plasticity and Complex Ligand-Binding Kinetics Explored by Atomistic Simulations and Markov Models. </w:t>
      </w:r>
      <w:r w:rsidRPr="008A2546">
        <w:rPr>
          <w:i/>
          <w:iCs/>
          <w:lang w:bidi="hi-IN"/>
        </w:rPr>
        <w:t>Nat Commun</w:t>
      </w:r>
      <w:r w:rsidRPr="008A2546">
        <w:rPr>
          <w:lang w:bidi="hi-IN"/>
        </w:rPr>
        <w:t xml:space="preserve"> </w:t>
      </w:r>
      <w:r w:rsidRPr="008A2546">
        <w:rPr>
          <w:b/>
          <w:bCs/>
          <w:lang w:bidi="hi-IN"/>
        </w:rPr>
        <w:t>2015</w:t>
      </w:r>
      <w:r w:rsidRPr="008A2546">
        <w:rPr>
          <w:lang w:bidi="hi-IN"/>
        </w:rPr>
        <w:t xml:space="preserve">, </w:t>
      </w:r>
      <w:r w:rsidRPr="008A2546">
        <w:rPr>
          <w:i/>
          <w:iCs/>
          <w:lang w:bidi="hi-IN"/>
        </w:rPr>
        <w:t>6</w:t>
      </w:r>
      <w:r w:rsidRPr="008A2546">
        <w:rPr>
          <w:lang w:bidi="hi-IN"/>
        </w:rPr>
        <w:t xml:space="preserve"> (1), 7653. https://doi.org/10.1038/ncomms8653</w:t>
      </w:r>
    </w:p>
    <w:p w14:paraId="620D2BD2" w14:textId="77777777" w:rsidR="008A2546" w:rsidRPr="008A2546" w:rsidRDefault="008A2546" w:rsidP="008A2546">
      <w:pPr>
        <w:pStyle w:val="Bibliography"/>
        <w:rPr>
          <w:lang w:bidi="hi-IN"/>
        </w:rPr>
      </w:pPr>
      <w:r w:rsidRPr="008A2546">
        <w:rPr>
          <w:lang w:bidi="hi-IN"/>
        </w:rPr>
        <w:t>(81)</w:t>
      </w:r>
      <w:r w:rsidRPr="008A2546">
        <w:rPr>
          <w:lang w:bidi="hi-IN"/>
        </w:rPr>
        <w:tab/>
        <w:t xml:space="preserve">Tiwary, P.; Limongelli, V.; Salvalaglio, M.; Parrinello, M. Kinetics of Protein–Ligand Unbinding: Predicting Pathways, Rates, and Rate-Limiting Steps. </w:t>
      </w:r>
      <w:r w:rsidRPr="008A2546">
        <w:rPr>
          <w:i/>
          <w:iCs/>
          <w:lang w:bidi="hi-IN"/>
        </w:rPr>
        <w:t>Proceedings of the National Academy of Sciences</w:t>
      </w:r>
      <w:r w:rsidRPr="008A2546">
        <w:rPr>
          <w:lang w:bidi="hi-IN"/>
        </w:rPr>
        <w:t xml:space="preserve"> </w:t>
      </w:r>
      <w:r w:rsidRPr="008A2546">
        <w:rPr>
          <w:b/>
          <w:bCs/>
          <w:lang w:bidi="hi-IN"/>
        </w:rPr>
        <w:t>2015</w:t>
      </w:r>
      <w:r w:rsidRPr="008A2546">
        <w:rPr>
          <w:lang w:bidi="hi-IN"/>
        </w:rPr>
        <w:t xml:space="preserve">, </w:t>
      </w:r>
      <w:r w:rsidRPr="008A2546">
        <w:rPr>
          <w:i/>
          <w:iCs/>
          <w:lang w:bidi="hi-IN"/>
        </w:rPr>
        <w:t>112</w:t>
      </w:r>
      <w:r w:rsidRPr="008A2546">
        <w:rPr>
          <w:lang w:bidi="hi-IN"/>
        </w:rPr>
        <w:t xml:space="preserve"> (5), E386–E391. https://doi.org/10.1073/pnas.1424461112</w:t>
      </w:r>
    </w:p>
    <w:p w14:paraId="2E5707C2" w14:textId="77777777" w:rsidR="008A2546" w:rsidRPr="008A2546" w:rsidRDefault="008A2546" w:rsidP="008A2546">
      <w:pPr>
        <w:pStyle w:val="Bibliography"/>
        <w:rPr>
          <w:lang w:bidi="hi-IN"/>
        </w:rPr>
      </w:pPr>
      <w:r w:rsidRPr="008A2546">
        <w:rPr>
          <w:lang w:bidi="hi-IN"/>
        </w:rPr>
        <w:t>(82)</w:t>
      </w:r>
      <w:r w:rsidRPr="008A2546">
        <w:rPr>
          <w:lang w:bidi="hi-IN"/>
        </w:rPr>
        <w:tab/>
        <w:t xml:space="preserve">Jagger, B. R.; Ojha, A. A.; Amaro, R. E. Predicting Ligand Binding Kinetics Using a Markovian Milestoning with Voronoi Tessellations Multiscale Approach. </w:t>
      </w:r>
      <w:r w:rsidRPr="008A2546">
        <w:rPr>
          <w:i/>
          <w:iCs/>
          <w:lang w:bidi="hi-IN"/>
        </w:rPr>
        <w:t>J. Chem. Theory Comput.</w:t>
      </w:r>
      <w:r w:rsidRPr="008A2546">
        <w:rPr>
          <w:lang w:bidi="hi-IN"/>
        </w:rPr>
        <w:t xml:space="preserve"> </w:t>
      </w:r>
      <w:r w:rsidRPr="008A2546">
        <w:rPr>
          <w:b/>
          <w:bCs/>
          <w:lang w:bidi="hi-IN"/>
        </w:rPr>
        <w:t>2020</w:t>
      </w:r>
      <w:r w:rsidRPr="008A2546">
        <w:rPr>
          <w:lang w:bidi="hi-IN"/>
        </w:rPr>
        <w:t xml:space="preserve">, </w:t>
      </w:r>
      <w:r w:rsidRPr="008A2546">
        <w:rPr>
          <w:i/>
          <w:iCs/>
          <w:lang w:bidi="hi-IN"/>
        </w:rPr>
        <w:t>16</w:t>
      </w:r>
      <w:r w:rsidRPr="008A2546">
        <w:rPr>
          <w:lang w:bidi="hi-IN"/>
        </w:rPr>
        <w:t xml:space="preserve"> (8), 5348–5357. https://doi.org/10.1021/acs.jctc.0c00495</w:t>
      </w:r>
    </w:p>
    <w:p w14:paraId="5BD1699A" w14:textId="77777777" w:rsidR="008A2546" w:rsidRPr="008A2546" w:rsidRDefault="008A2546" w:rsidP="008A2546">
      <w:pPr>
        <w:pStyle w:val="Bibliography"/>
        <w:rPr>
          <w:lang w:bidi="hi-IN"/>
        </w:rPr>
      </w:pPr>
      <w:r w:rsidRPr="008A2546">
        <w:rPr>
          <w:lang w:bidi="hi-IN"/>
        </w:rPr>
        <w:t>(83)</w:t>
      </w:r>
      <w:r w:rsidRPr="008A2546">
        <w:rPr>
          <w:lang w:bidi="hi-IN"/>
        </w:rPr>
        <w:tab/>
        <w:t>Corso, G.; Stärk, H.; Jing, B.; Barzilay, R.; Jaakkola, T. DiffDock: Diffusion Steps, Twists, and Turns for Molecular Docking. arXiv February 11, 2023. https://doi.org/10.48550/arXiv.2210.01776</w:t>
      </w:r>
    </w:p>
    <w:p w14:paraId="0BCD27C5" w14:textId="77777777" w:rsidR="008A2546" w:rsidRPr="008A2546" w:rsidRDefault="008A2546" w:rsidP="008A2546">
      <w:pPr>
        <w:pStyle w:val="Bibliography"/>
        <w:rPr>
          <w:lang w:bidi="hi-IN"/>
        </w:rPr>
      </w:pPr>
      <w:r w:rsidRPr="008A2546">
        <w:rPr>
          <w:lang w:bidi="hi-IN"/>
        </w:rPr>
        <w:t>(84)</w:t>
      </w:r>
      <w:r w:rsidRPr="008A2546">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587B567B" w14:textId="77777777" w:rsidR="008A2546" w:rsidRPr="008A2546" w:rsidRDefault="008A2546" w:rsidP="008A2546">
      <w:pPr>
        <w:pStyle w:val="Bibliography"/>
        <w:rPr>
          <w:lang w:bidi="hi-IN"/>
        </w:rPr>
      </w:pPr>
      <w:r w:rsidRPr="008A2546">
        <w:rPr>
          <w:lang w:bidi="hi-IN"/>
        </w:rPr>
        <w:t>(85)</w:t>
      </w:r>
      <w:r w:rsidRPr="008A2546">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60D7124" w14:textId="0EB18314"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66CE4"/>
    <w:rsid w:val="003705E0"/>
    <w:rsid w:val="00373312"/>
    <w:rsid w:val="00376843"/>
    <w:rsid w:val="003874B7"/>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39</Pages>
  <Words>57565</Words>
  <Characters>328122</Characters>
  <Application>Microsoft Office Word</Application>
  <DocSecurity>0</DocSecurity>
  <Lines>2734</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302</cp:revision>
  <dcterms:created xsi:type="dcterms:W3CDTF">2026-08-29T02:32:00Z</dcterms:created>
  <dcterms:modified xsi:type="dcterms:W3CDTF">2026-09-03T00:54:00Z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