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Section 4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Section 5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Section 3)</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rPr>
          <w:color w:val="FF0000"/>
        </w:rP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which we refer to as the blocked standard error. It rises with n and levels off once a block is longer than the correlation time of the observable, and that plateau is the standard error of the mean with correlation between frames accounted for. Writing SEM(1) = s/√N for the naive estimate that assumes independent frames, with s the sample standard deviation, the ratio [SEM(n)/SEM(1)]² gives the number of frames per independent sample and Neff = N divided by that ratio.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rPr>
          <w:color w:val="FF0000"/>
        </w:rPr>
        <w:t>erefore</w:t>
      </w:r>
      <w:r w:rsidR="00F75255">
        <w:rPr>
          <w:color w:val="FF0000"/>
        </w:rPr>
        <w:t>,</w:t>
      </w:r>
      <w:r>
        <w:rPr>
          <w:color w:val="FF0000"/>
        </w:rPr>
        <w:t xml:space="preserve"> outside </w:t>
      </w:r>
      <w:r w:rsidR="00F75255">
        <w:rPr>
          <w:color w:val="FF0000"/>
        </w:rPr>
        <w:t>the scope of our measurements</w:t>
      </w:r>
      <w:r>
        <w:rPr>
          <w:color w:val="FF0000"/>
        </w:rP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rPr>
          <w:color w:val="FF0000"/>
        </w:rPr>
        <w:lastRenderedPageBreak/>
        <w:t xml:space="preserve">between the two states was larger than in wild type for all three genotypes whose ΔΔGbind misses the phenotype (Supplementary Section 7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Section 4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rPr>
          <w:color w:val="FF0000"/>
        </w:rP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