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  <w:jc w:val="center"/>
      </w:pPr>
      <w:r>
        <w:rPr>
          <w:b/>
          <w:bCs/>
          <w:sz w:val="32"/>
          <w:szCs w:val="32"/>
        </w:rPr>
        <w:t xml:space="preserve">Supporting Information</w:t>
      </w:r>
    </w:p>
    <w:p>
      <w:pPr>
        <w:spacing w:after="220"/>
        <w:jc w:val="center"/>
      </w:pPr>
      <w:r>
        <w:rPr>
          <w:b/>
          <w:bCs/>
          <w:sz w:val="26"/>
          <w:szCs w:val="26"/>
        </w:rPr>
        <w:t xml:space="preserve">Molecular Simulation of Doravirine Resistance in HIV-1 Reverse Transcriptase</w:t>
      </w:r>
    </w:p>
    <w:p>
      <w:pPr>
        <w:spacing w:after="120"/>
        <w:jc w:val="center"/>
      </w:pPr>
      <w:r>
        <w:rPr>
          <w:sz w:val="24"/>
          <w:szCs w:val="24"/>
        </w:rPr>
        <w:t xml:space="preserve">Rohit Satija*, Kaiming Tao, Robert W. Shafer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Division of Infectious Diseases, School of Medicine, Stanford University, Stanford, CA, USA</w:t>
      </w:r>
    </w:p>
    <w:p>
      <w:pPr>
        <w:spacing w:after="400"/>
        <w:jc w:val="center"/>
      </w:pPr>
      <w:r>
        <w:rPr>
          <w:sz w:val="22"/>
          <w:szCs w:val="22"/>
        </w:rPr>
        <w:t xml:space="preserve">*Corresponding author: rsatija@stanford.edu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Contents</w:t>
      </w:r>
    </w:p>
    <w:p>
      <w:pPr>
        <w:spacing w:after="160"/>
      </w:pPr>
      <w:r>
        <w:t xml:space="preserve">Supplementary Text (PDF). Seven numbered sections with Supplementary Figures 1–4 appended to the sections that discuss them: convergence of the doravirine pose and of the doravirine–RT centre-of-mass distance across all production replicates, with autocorrelation functions and blocked standard errors; non-equilibrium switching work distributions for every alchemical transformation; per-residue RMSF and secondary structure; and apo and holo pocket volume distributions.</w:t>
      </w:r>
    </w:p>
    <w:p>
      <w:pPr>
        <w:spacing w:after="160"/>
      </w:pPr>
      <w:r>
        <w:rPr>
          <w:b/>
          <w:bCs/>
        </w:rPr>
        <w:t xml:space="preserve">Supplementary Table 1 (XLSX). </w:t>
      </w:r>
      <w:r>
        <w:t xml:space="preserve">Isolate-level doravirine susceptibility data underlying the median fold-changes in Table 1, with provenance for each measurement.</w:t>
      </w:r>
    </w:p>
    <w:p>
      <w:pPr>
        <w:spacing w:after="160"/>
      </w:pPr>
      <w:r>
        <w:rPr>
          <w:b/>
          <w:bCs/>
        </w:rPr>
        <w:t xml:space="preserve">Supplementary Table 2 (XLSX). </w:t>
      </w:r>
      <w:r>
        <w:t xml:space="preserve">RT p66 subunit sequences for the wild type and all 18 simulated genotypes.</w:t>
      </w:r>
    </w:p>
    <w:p>
      <w:pPr>
        <w:spacing w:after="160"/>
      </w:pPr>
      <w:r>
        <w:rPr>
          <w:b/>
          <w:bCs/>
        </w:rPr>
        <w:t xml:space="preserve">Supplementary Table 3 (XLSX). </w:t>
      </w:r>
      <w:r>
        <w:t xml:space="preserve">Per-replicate MM/GBSA energy components, and per-leg alchemical free energies with Bennett acceptance ratio, Crooks Gaussian intersection and Jarzynski estimates, for every genotype.</w:t>
      </w:r>
    </w:p>
    <w:p>
      <w:pPr>
        <w:spacing w:after="160"/>
      </w:pPr>
      <w:r>
        <w:rPr>
          <w:b/>
          <w:bCs/>
        </w:rPr>
        <w:t xml:space="preserve">Supplementary Table 4 (XLSX). </w:t>
      </w:r>
      <w:r>
        <w:t xml:space="preserve">Per-replicate values of the structural observables summarised in Table 3.</w:t>
      </w:r>
    </w:p>
    <w:p>
      <w:pPr>
        <w:spacing w:after="160"/>
      </w:pPr>
      <w:r>
        <w:t xml:space="preserve">Supplementary Table 5 (XLSX). Sensitivity of the MM/GBSA energies to the snapshot relaxation protocol. WT-referenced ΔΔE values and each energy component for all 19 mutant genotypes, computed under hydrogen-only relaxation with heavy atoms restrained and under the unrestrained full minimisation used in the main text, with the correlation between the two protocols and of each against phenotype.</w:t>
      </w:r>
    </w:p>
    <w:p>
      <w:pPr>
        <w:spacing w:after="160"/>
      </w:pPr>
      <w:r>
        <w:t xml:space="preserve">Supplementary Table 6 (XLSX). Sensitivity of the MM/GBSA energies to the ligand partial charge model. WT-referenced ΔΔE values and each energy component under Gasteiger and AM1-BCC charges, scored on the same trajectories and the same snapshots, with the per-atom charges under both models.</w:t>
      </w:r>
    </w:p>
    <w:p>
      <w:pPr>
        <w:spacing w:after="160"/>
      </w:pPr>
      <w:r>
        <w:t xml:space="preserve">Supplementary Table 7 (XLSX). Unliganded and bound NNIBP volume for wild type and seven genotypes, on a matched window, with the mean Tyr181 and Tyr188 χ1 angles of the apo ensemble and the same volume proxy evaluated on unliganded and DOR-bound crystal structures.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Supporting Information cover page</dc:title>
  <dc:creator>Rohit Satija</dc:creator>
  <cp:lastModifiedBy>Un-named</cp:lastModifiedBy>
  <cp:revision>1</cp:revision>
  <dcterms:created xsi:type="dcterms:W3CDTF">2026-10-21T04:44:16.483Z</dcterms:created>
  <dcterms:modified xsi:type="dcterms:W3CDTF">2026-10-21T04:44:16.485Z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