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  <w:jc w:val="center"/>
      </w:pPr>
      <w:r>
        <w:rPr>
          <w:b/>
          <w:bCs/>
          <w:sz w:val="32"/>
          <w:szCs w:val="32"/>
        </w:rPr>
        <w:t xml:space="preserve">Supporting Information</w:t>
      </w:r>
    </w:p>
    <w:p>
      <w:pPr>
        <w:spacing w:after="220"/>
        <w:jc w:val="center"/>
      </w:pPr>
      <w:r>
        <w:rPr>
          <w:b/>
          <w:bCs/>
          <w:sz w:val="26"/>
          <w:szCs w:val="26"/>
        </w:rPr>
        <w:t xml:space="preserve">Molecular Simulation of Doravirine Resistance in HIV-1 Reverse Transcriptase</w:t>
      </w:r>
    </w:p>
    <w:p>
      <w:pPr>
        <w:spacing w:after="120"/>
        <w:jc w:val="center"/>
      </w:pPr>
      <w:r>
        <w:rPr>
          <w:sz w:val="24"/>
          <w:szCs w:val="24"/>
        </w:rPr>
        <w:t xml:space="preserve">Rohit Satija*, Kaiming Tao, Robert W. Shafer</w:t>
      </w:r>
    </w:p>
    <w:p>
      <w:pPr>
        <w:spacing w:after="120"/>
        <w:jc w:val="center"/>
      </w:pPr>
      <w:r>
        <w:rPr>
          <w:i/>
          <w:iCs/>
          <w:sz w:val="22"/>
          <w:szCs w:val="22"/>
        </w:rPr>
        <w:t xml:space="preserve">Division of Infectious Diseases, School of Medicine, Stanford University, Stanford, CA, USA</w:t>
      </w:r>
    </w:p>
    <w:p>
      <w:pPr>
        <w:spacing w:after="400"/>
        <w:jc w:val="center"/>
      </w:pPr>
      <w:r>
        <w:rPr>
          <w:sz w:val="22"/>
          <w:szCs w:val="22"/>
        </w:rPr>
        <w:t xml:space="preserve">*Corresponding author: rsatija@stanford.edu</w:t>
      </w:r>
    </w:p>
    <w:p>
      <w:pPr>
        <w:spacing w:after="200"/>
      </w:pPr>
      <w:r>
        <w:rPr>
          <w:b/>
          <w:bCs/>
          <w:sz w:val="26"/>
          <w:szCs w:val="26"/>
        </w:rPr>
        <w:t xml:space="preserve">Contents</w:t>
      </w:r>
    </w:p>
    <w:p>
      <w:pPr>
        <w:spacing w:after="160"/>
      </w:pPr>
      <w:r>
        <w:t xml:space="preserve">Supplementary Text (PDF). Supplementary Figures 1–5: convergence of the DOR pose and of the DOR–RT centre-of-mass distance across all production replicates; non-equilibrium switching work distributions for every alchemical transformation; convergence diagnostics including block averages, autocorrelation times and effective sample sizes; per-residue RMSF, secondary structure and NNIBP conformational distributions; and apo and holo pocket ensembles for the genotypes where the computed binding free energy does not track the phenotype.</w:t>
      </w:r>
    </w:p>
    <w:p>
      <w:pPr>
        <w:spacing w:after="160"/>
      </w:pPr>
      <w:r>
        <w:rPr>
          <w:b/>
          <w:bCs/>
        </w:rPr>
        <w:t xml:space="preserve">Supplementary Table 1 (XLSX). </w:t>
      </w:r>
      <w:r>
        <w:t xml:space="preserve">Isolate-level doravirine susceptibility data underlying the median fold-changes in Table 1, with provenance for each measurement.</w:t>
      </w:r>
    </w:p>
    <w:p>
      <w:pPr>
        <w:spacing w:after="160"/>
      </w:pPr>
      <w:r>
        <w:rPr>
          <w:b/>
          <w:bCs/>
        </w:rPr>
        <w:t xml:space="preserve">Supplementary Table 2 (XLSX). </w:t>
      </w:r>
      <w:r>
        <w:t xml:space="preserve">RT p66 subunit sequences for the wild type and all 18 simulated genotypes.</w:t>
      </w:r>
    </w:p>
    <w:p>
      <w:pPr>
        <w:spacing w:after="160"/>
      </w:pPr>
      <w:r>
        <w:rPr>
          <w:b/>
          <w:bCs/>
        </w:rPr>
        <w:t xml:space="preserve">Supplementary Table 3 (XLSX). </w:t>
      </w:r>
      <w:r>
        <w:t xml:space="preserve">Per-replicate MM/GBSA energy components, and per-leg alchemical free energies with Bennett acceptance ratio, Crooks Gaussian intersection and Jarzynski estimates, for every genotype.</w:t>
      </w:r>
    </w:p>
    <w:p>
      <w:pPr>
        <w:spacing w:after="160"/>
      </w:pPr>
      <w:r>
        <w:rPr>
          <w:b/>
          <w:bCs/>
        </w:rPr>
        <w:t xml:space="preserve">Supplementary Table 4 (XLSX). </w:t>
      </w:r>
      <w:r>
        <w:t xml:space="preserve">Per-replicate values of the structural observables summarised in Table 3.</w:t>
      </w:r>
    </w:p>
    <w:p>
      <w:pPr>
        <w:spacing w:after="160"/>
      </w:pPr>
      <w:r>
        <w:t xml:space="preserve">Supplementary Table 5 (XLSX). Sensitivity of the MM/GBSA energies to the snapshot relaxation protocol. WT-referenced ΔΔE values and each energy component for six genotypes, computed under single-point evaluation, under hydrogen-only relaxation with heavy atoms restrained, and under the unrestrained full minimisation used in the main text.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Supporting Information cover page</dc:title>
  <dc:creator>Rohit Satija</dc:creator>
  <cp:lastModifiedBy>Un-named</cp:lastModifiedBy>
  <cp:revision>1</cp:revision>
  <dcterms:created xsi:type="dcterms:W3CDTF">2026-10-21T04:44:16.483Z</dcterms:created>
  <dcterms:modified xsi:type="dcterms:W3CDTF">2026-10-21T04:44:16.485Z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