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ddG_bind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ddG_bind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color w:val="FF0000"/>
        </w:rPr>
        <w:t xml:space="preserve">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color w:val="FF0000"/>
        </w:rPr>
        <w:t xml:space="preserve">We have now done the recomputation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polarised, with a mean absolute charge of 0.228 e against 0.138 e, an RMS difference of 0.165 e and a maximum of 0.390 e, concentrated on the carbonyl and amide atoms of the triazolinone and pyridinone that Gasteiger under-polarises. Second, that difference propagates to the absolute energies exactly as expected, moving them by 3.5 to 4.6 kcal/mol. Third, and this is the point for the manuscript, it does not propagate to the WT-referenced quantity that Table 2 reports: ddE_Total shifts by at most 0.81 kcal/mol (V106A from 1.73 to 2.54, Y188L from 2.78 to 2.46) and the sign is preserved for both genotypes. The component breakdown confirms the mechanism rather than leaving it as an assertion — the charge-dependent terms move most, ddE_elec by up to 1.20 and ddE_GB by up to 1.32 kcal/mol, while ddE_vdW, which does not depend on the charges at all, moves only 0.27 to 0.29. Much of the charge-model effect is therefore common to wild type and mutant and cancels in the difference. We note the scope honestly: this covers WT, V106A and Y188L, three replicates each except Y188L where one replicate is still computing at the time of writing, and it addresses MM/GBSA only. ddG_bind is unaffected by construction, since DOR is neutral and carries identical parameters at both end states of every alchemical leg.</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