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9AA3E7" w14:textId="45AFF227" w:rsidR="005A1526" w:rsidRPr="005A1526" w:rsidRDefault="005A1526" w:rsidP="005A1526">
      <w:pPr>
        <w:rPr>
          <w:rFonts w:ascii="Times New Roman" w:hAnsi="Times New Roman" w:cs="Times New Roman"/>
        </w:rPr>
      </w:pPr>
      <w:r>
        <w:rPr>
          <w:rFonts w:ascii="Times New Roman" w:hAnsi="Times New Roman" w:cs="Times New Roman"/>
        </w:rPr>
        <w:t xml:space="preserve">A)                                                                         B) </w:t>
      </w:r>
    </w:p>
    <w:p w14:paraId="586D29F5" w14:textId="1F3B3A40" w:rsidR="00106118" w:rsidRDefault="005A1526">
      <w:r>
        <w:rPr>
          <w:noProof/>
        </w:rPr>
        <w:drawing>
          <wp:inline distT="0" distB="0" distL="0" distR="0" wp14:anchorId="004EC088" wp14:editId="5611EF41">
            <wp:extent cx="2870212" cy="1937505"/>
            <wp:effectExtent l="0" t="0" r="0" b="5715"/>
            <wp:docPr id="7381114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11491" name="Picture 738111491"/>
                    <pic:cNvPicPr/>
                  </pic:nvPicPr>
                  <pic:blipFill rotWithShape="1">
                    <a:blip r:embed="rId5" cstate="print">
                      <a:extLst>
                        <a:ext uri="{28A0092B-C50C-407E-A947-70E740481C1C}">
                          <a14:useLocalDpi xmlns:a14="http://schemas.microsoft.com/office/drawing/2010/main" val="0"/>
                        </a:ext>
                      </a:extLst>
                    </a:blip>
                    <a:srcRect t="6077" r="3927"/>
                    <a:stretch>
                      <a:fillRect/>
                    </a:stretch>
                  </pic:blipFill>
                  <pic:spPr bwMode="auto">
                    <a:xfrm>
                      <a:off x="0" y="0"/>
                      <a:ext cx="2928076" cy="1976565"/>
                    </a:xfrm>
                    <a:prstGeom prst="rect">
                      <a:avLst/>
                    </a:prstGeom>
                    <a:ln>
                      <a:noFill/>
                    </a:ln>
                    <a:extLst>
                      <a:ext uri="{53640926-AAD7-44D8-BBD7-CCE9431645EC}">
                        <a14:shadowObscured xmlns:a14="http://schemas.microsoft.com/office/drawing/2010/main"/>
                      </a:ext>
                    </a:extLst>
                  </pic:spPr>
                </pic:pic>
              </a:graphicData>
            </a:graphic>
          </wp:inline>
        </w:drawing>
        <w:drawing>
          <wp:inline distT="0" distB="0" distL="0" distR="0" wp14:anchorId="3E366904" wp14:editId="62FB8BAB">
            <wp:extent cx="2898181" cy="1899139"/>
            <wp:effectExtent l="0" t="0" r="0" b="6350"/>
            <wp:docPr id="11748111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11184" name="Picture 1174811184"/>
                    <pic:cNvPicPr/>
                  </pic:nvPicPr>
                  <pic:blipFill rotWithShape="1">
                    <a:blip r:embed="rId6" cstate="print">
                      <a:extLst>
                        <a:ext uri="{28A0092B-C50C-407E-A947-70E740481C1C}">
                          <a14:useLocalDpi xmlns:a14="http://schemas.microsoft.com/office/drawing/2010/main" val="0"/>
                        </a:ext>
                      </a:extLst>
                    </a:blip>
                    <a:srcRect t="5580"/>
                    <a:stretch>
                      <a:fillRect/>
                    </a:stretch>
                  </pic:blipFill>
                  <pic:spPr bwMode="auto">
                    <a:xfrm>
                      <a:off x="0" y="0"/>
                      <a:ext cx="2926069" cy="1917414"/>
                    </a:xfrm>
                    <a:prstGeom prst="rect">
                      <a:avLst/>
                    </a:prstGeom>
                    <a:ln>
                      <a:noFill/>
                    </a:ln>
                    <a:extLst>
                      <a:ext uri="{53640926-AAD7-44D8-BBD7-CCE9431645EC}">
                        <a14:shadowObscured xmlns:a14="http://schemas.microsoft.com/office/drawing/2010/main"/>
                      </a:ext>
                    </a:extLst>
                  </pic:spPr>
                </pic:pic>
              </a:graphicData>
            </a:graphic>
          </wp:inline>
        </w:drawing>
      </w:r>
    </w:p>
    <w:p w14:paraId="15C4AC9D" w14:textId="52F04A2F" w:rsidR="00C02DD7" w:rsidRPr="003271CC" w:rsidRDefault="00447195">
      <w:pPr>
        <w:rPr>
          <w:rFonts w:ascii="Times New Roman" w:hAnsi="Times New Roman" w:cs="Times New Roman"/>
          <w:sz w:val="20"/>
          <w:szCs w:val="20"/>
        </w:rPr>
      </w:pPr>
      <w:r>
        <w:rPr>
          <w:rFonts w:ascii="Times New Roman" w:hAnsi="Times New Roman" w:cs="Times New Roman"/>
          <w:b/>
          <w:bCs/>
          <w:sz w:val="20"/>
          <w:szCs w:val="16"/>
        </w:rPr>
        <w:t xml:space="preserve">Supplementary Figure 1. DOR Root Mean Squared Deviation (RMSD) and distance between centers of mass (COM) of DOR and RT indicate 100ns runtime is sufficient for DOR-RT interactions to stabilize.</w:t>
      </w:r>
      <w:r>
        <w:rPr>
          <w:rFonts w:ascii="Times New Roman" w:hAnsi="Times New Roman" w:cs="Times New Roman"/>
          <w:sz w:val="20"/>
          <w:szCs w:val="16"/>
        </w:rPr>
        <w:br/>
      </w:r>
      <w:r>
        <w:rPr>
          <w:rFonts w:ascii="Times New Roman" w:hAnsi="Times New Roman" w:cs="Times New Roman"/>
          <w:sz w:val="20"/>
          <w:szCs w:val="20"/>
        </w:rPr>
        <w:t xml:space="preserve">(A) Each solid line provides the average RMSD of the DOR heavy atoms vs the minimized structure within the NNIBP (at </w:t>
      </w:r>
      <w:r>
        <w:rPr>
          <w:rFonts w:ascii="Times New Roman" w:hAnsi="Times New Roman" w:cs="Times New Roman"/>
          <w:i/>
          <w:iCs/>
          <w:sz w:val="20"/>
          <w:szCs w:val="20"/>
        </w:rPr>
        <w:t xml:space="preserve">t </w:t>
      </w:r>
      <w:r>
        <w:rPr>
          <w:rFonts w:ascii="Times New Roman" w:hAnsi="Times New Roman" w:cs="Times New Roman"/>
          <w:sz w:val="20"/>
          <w:szCs w:val="20"/>
        </w:rPr>
        <w:t xml:space="preserve">= 0) computed at each time point across triplicate simulations. Shaded regions represent the standard error this mean (SEM). The red curve represents WT and the remaining trajectories are color-coded based on the respective genotype’s fold-change in susceptibility (Table 1 in main text). Inset shows the same data highlighting the rapid changes in the first 5ns of the simulations. (B) Similar plot for the average distance between the centers of mass (COM) of DOR and RT atoms. </w:t>
      </w:r>
    </w:p>
    <w:p w14:paraId="6032F443" w14:textId="77777777" w:rsidR="00DE7C44" w:rsidRDefault="00DE7C44">
      <w:pPr>
        <w:rPr>
          <w:rFonts w:ascii="Times New Roman" w:hAnsi="Times New Roman" w:cs="Times New Roman"/>
          <w:sz w:val="20"/>
          <w:szCs w:val="20"/>
        </w:rPr>
      </w:pPr>
    </w:p>
    <w:p w14:paraId="0DAF385D" w14:textId="77777777" w:rsidR="00DE7C44" w:rsidRDefault="00DE7C44">
      <w:pPr>
        <w:rPr>
          <w:rFonts w:ascii="Times New Roman" w:hAnsi="Times New Roman" w:cs="Times New Roman"/>
          <w:sz w:val="20"/>
          <w:szCs w:val="20"/>
        </w:rPr>
      </w:pPr>
    </w:p>
    <w:p w14:paraId="4D36F01D" w14:textId="77777777" w:rsidR="00DE7C44" w:rsidRDefault="00DE7C44">
      <w:pPr>
        <w:rPr>
          <w:rFonts w:ascii="Times New Roman" w:hAnsi="Times New Roman" w:cs="Times New Roman"/>
          <w:sz w:val="20"/>
          <w:szCs w:val="20"/>
        </w:rPr>
      </w:pPr>
    </w:p>
    <w:p w14:paraId="3B0DA616" w14:textId="77777777" w:rsidR="00DE7C44" w:rsidRDefault="00DE7C44">
      <w:pPr>
        <w:rPr>
          <w:rFonts w:ascii="Times New Roman" w:hAnsi="Times New Roman" w:cs="Times New Roman"/>
          <w:sz w:val="20"/>
          <w:szCs w:val="20"/>
        </w:rPr>
      </w:pPr>
    </w:p>
    <w:p w14:paraId="1E272293" w14:textId="77777777" w:rsidR="00DE7C44" w:rsidRDefault="00DE7C44">
      <w:pPr>
        <w:rPr>
          <w:rFonts w:ascii="Times New Roman" w:hAnsi="Times New Roman" w:cs="Times New Roman"/>
          <w:sz w:val="20"/>
          <w:szCs w:val="20"/>
        </w:rPr>
      </w:pPr>
    </w:p>
    <w:p w14:paraId="0F2FF6E9" w14:textId="77777777" w:rsidR="00DE7C44" w:rsidRDefault="00DE7C44">
      <w:pPr>
        <w:rPr>
          <w:rFonts w:ascii="Times New Roman" w:hAnsi="Times New Roman" w:cs="Times New Roman"/>
          <w:sz w:val="20"/>
          <w:szCs w:val="20"/>
        </w:rPr>
      </w:pPr>
    </w:p>
    <w:p w14:paraId="6DCCEF46" w14:textId="77777777" w:rsidR="00DE7C44" w:rsidRDefault="00DE7C44">
      <w:pPr>
        <w:rPr>
          <w:rFonts w:ascii="Times New Roman" w:hAnsi="Times New Roman" w:cs="Times New Roman"/>
          <w:sz w:val="20"/>
          <w:szCs w:val="20"/>
        </w:rPr>
      </w:pPr>
    </w:p>
    <w:p w14:paraId="40A1FF1A" w14:textId="77777777" w:rsidR="00DE7C44" w:rsidRDefault="00DE7C44">
      <w:pPr>
        <w:rPr>
          <w:rFonts w:ascii="Times New Roman" w:hAnsi="Times New Roman" w:cs="Times New Roman"/>
          <w:sz w:val="20"/>
          <w:szCs w:val="20"/>
        </w:rPr>
      </w:pPr>
    </w:p>
    <w:p w14:paraId="052F4561" w14:textId="77777777" w:rsidR="00DE7C44" w:rsidRDefault="00DE7C44">
      <w:pPr>
        <w:rPr>
          <w:rFonts w:ascii="Times New Roman" w:hAnsi="Times New Roman" w:cs="Times New Roman"/>
          <w:sz w:val="20"/>
          <w:szCs w:val="20"/>
        </w:rPr>
      </w:pPr>
    </w:p>
    <w:p w14:paraId="6FCCF0A0" w14:textId="77777777" w:rsidR="00DE7C44" w:rsidRDefault="00DE7C44">
      <w:pPr>
        <w:rPr>
          <w:rFonts w:ascii="Times New Roman" w:hAnsi="Times New Roman" w:cs="Times New Roman"/>
          <w:sz w:val="20"/>
          <w:szCs w:val="20"/>
        </w:rPr>
      </w:pPr>
    </w:p>
    <w:p w14:paraId="1A9A0BC5" w14:textId="77777777" w:rsidR="00DE7C44" w:rsidRDefault="00DE7C44">
      <w:pPr>
        <w:rPr>
          <w:rFonts w:ascii="Times New Roman" w:hAnsi="Times New Roman" w:cs="Times New Roman"/>
          <w:sz w:val="20"/>
          <w:szCs w:val="20"/>
        </w:rPr>
      </w:pPr>
    </w:p>
    <w:p w14:paraId="13E38205" w14:textId="77777777" w:rsidR="00DE7C44" w:rsidRDefault="00DE7C44">
      <w:pPr>
        <w:rPr>
          <w:rFonts w:ascii="Times New Roman" w:hAnsi="Times New Roman" w:cs="Times New Roman"/>
          <w:sz w:val="20"/>
          <w:szCs w:val="20"/>
        </w:rPr>
      </w:pPr>
    </w:p>
    <w:p w14:paraId="010C8365" w14:textId="77777777" w:rsidR="00DE7C44" w:rsidRDefault="00DE7C44">
      <w:pPr>
        <w:rPr>
          <w:rFonts w:ascii="Times New Roman" w:hAnsi="Times New Roman" w:cs="Times New Roman"/>
          <w:sz w:val="20"/>
          <w:szCs w:val="20"/>
        </w:rPr>
      </w:pPr>
    </w:p>
    <w:p w14:paraId="63CE2D29" w14:textId="77777777" w:rsidR="00DE7C44" w:rsidRDefault="00DE7C44">
      <w:pPr>
        <w:rPr>
          <w:rFonts w:ascii="Times New Roman" w:hAnsi="Times New Roman" w:cs="Times New Roman"/>
          <w:sz w:val="20"/>
          <w:szCs w:val="20"/>
        </w:rPr>
      </w:pPr>
    </w:p>
    <w:p w14:paraId="6DFF6960" w14:textId="77777777" w:rsidR="00DE7C44" w:rsidRDefault="00DE7C44">
      <w:pPr>
        <w:rPr>
          <w:rFonts w:ascii="Times New Roman" w:hAnsi="Times New Roman" w:cs="Times New Roman"/>
          <w:sz w:val="20"/>
          <w:szCs w:val="20"/>
        </w:rPr>
      </w:pPr>
    </w:p>
    <w:p w14:paraId="46A41CF7" w14:textId="77777777" w:rsidR="00DE7C44" w:rsidRDefault="00DE7C44">
      <w:pPr>
        <w:rPr>
          <w:rFonts w:ascii="Times New Roman" w:hAnsi="Times New Roman" w:cs="Times New Roman"/>
          <w:sz w:val="20"/>
          <w:szCs w:val="20"/>
        </w:rPr>
      </w:pPr>
    </w:p>
    <w:p w14:paraId="66C7B562" w14:textId="77777777" w:rsidR="00DE7C44" w:rsidRDefault="00DE7C44">
      <w:pPr>
        <w:rPr>
          <w:rFonts w:ascii="Times New Roman" w:hAnsi="Times New Roman" w:cs="Times New Roman"/>
          <w:sz w:val="20"/>
          <w:szCs w:val="20"/>
        </w:rPr>
      </w:pPr>
    </w:p>
    <w:p w14:paraId="39331F1A" w14:textId="77777777" w:rsidR="00DE7C44" w:rsidRDefault="00DE7C44">
      <w:pPr>
        <w:rPr>
          <w:rFonts w:ascii="Times New Roman" w:hAnsi="Times New Roman" w:cs="Times New Roman"/>
          <w:sz w:val="20"/>
          <w:szCs w:val="20"/>
        </w:rPr>
      </w:pPr>
    </w:p>
    <w:p w14:paraId="3470BD7C" w14:textId="77777777" w:rsidR="00DE7C44" w:rsidRDefault="00DE7C44">
      <w:pPr>
        <w:rPr>
          <w:rFonts w:ascii="Times New Roman" w:hAnsi="Times New Roman" w:cs="Times New Roman"/>
          <w:sz w:val="20"/>
          <w:szCs w:val="20"/>
        </w:rPr>
      </w:pPr>
    </w:p>
    <w:p w14:paraId="0B572D00" w14:textId="77777777" w:rsidR="00DE7C44" w:rsidRDefault="00DE7C44">
      <w:pPr>
        <w:rPr>
          <w:rFonts w:ascii="Times New Roman" w:hAnsi="Times New Roman" w:cs="Times New Roman"/>
          <w:sz w:val="20"/>
          <w:szCs w:val="20"/>
        </w:rPr>
      </w:pPr>
    </w:p>
    <w:p w14:paraId="2B241186" w14:textId="77777777" w:rsidR="00DE7C44" w:rsidRDefault="00DE7C44">
      <w:pPr>
        <w:rPr>
          <w:rFonts w:ascii="Times New Roman" w:hAnsi="Times New Roman" w:cs="Times New Roman"/>
          <w:sz w:val="20"/>
          <w:szCs w:val="20"/>
        </w:rPr>
      </w:pPr>
    </w:p>
    <w:p w14:paraId="0689232B" w14:textId="77777777" w:rsidR="00DE7C44" w:rsidRDefault="00DE7C44">
      <w:pPr>
        <w:rPr>
          <w:rFonts w:ascii="Times New Roman" w:hAnsi="Times New Roman" w:cs="Times New Roman"/>
          <w:sz w:val="20"/>
          <w:szCs w:val="20"/>
        </w:rPr>
      </w:pPr>
    </w:p>
    <w:p w14:paraId="4490CD91" w14:textId="77777777" w:rsidR="00DE7C44" w:rsidRDefault="00DE7C44">
      <w:pPr>
        <w:rPr>
          <w:rFonts w:ascii="Times New Roman" w:hAnsi="Times New Roman" w:cs="Times New Roman"/>
          <w:sz w:val="20"/>
          <w:szCs w:val="20"/>
        </w:rPr>
      </w:pPr>
    </w:p>
    <w:p w14:paraId="486D55BB" w14:textId="77777777" w:rsidR="00DE7C44" w:rsidRDefault="00DE7C44">
      <w:pPr>
        <w:rPr>
          <w:rFonts w:ascii="Times New Roman" w:hAnsi="Times New Roman" w:cs="Times New Roman"/>
          <w:sz w:val="20"/>
          <w:szCs w:val="20"/>
        </w:rPr>
      </w:pPr>
    </w:p>
    <w:p w14:paraId="08383152" w14:textId="77777777" w:rsidR="00DE7C44" w:rsidRDefault="00DE7C44">
      <w:pPr>
        <w:rPr>
          <w:rFonts w:ascii="Times New Roman" w:hAnsi="Times New Roman" w:cs="Times New Roman"/>
          <w:sz w:val="20"/>
          <w:szCs w:val="20"/>
        </w:rPr>
      </w:pPr>
    </w:p>
    <w:p w14:paraId="25B71EE4" w14:textId="77777777" w:rsidR="00DE7C44" w:rsidRDefault="00DE7C44">
      <w:pPr>
        <w:rPr>
          <w:rFonts w:ascii="Times New Roman" w:hAnsi="Times New Roman" w:cs="Times New Roman"/>
          <w:sz w:val="20"/>
          <w:szCs w:val="20"/>
        </w:rPr>
      </w:pPr>
    </w:p>
    <w:p w14:paraId="2010F53C" w14:textId="77777777" w:rsidR="00DE7C44" w:rsidRDefault="00DE7C44">
      <w:pPr>
        <w:rPr>
          <w:rFonts w:ascii="Times New Roman" w:hAnsi="Times New Roman" w:cs="Times New Roman"/>
          <w:sz w:val="20"/>
          <w:szCs w:val="20"/>
        </w:rPr>
      </w:pPr>
    </w:p>
    <w:p w14:paraId="2969E258" w14:textId="77777777" w:rsidR="00DE7C44" w:rsidRDefault="00DE7C44">
      <w:pPr>
        <w:rPr>
          <w:rFonts w:ascii="Times New Roman" w:hAnsi="Times New Roman" w:cs="Times New Roman"/>
          <w:sz w:val="20"/>
          <w:szCs w:val="20"/>
        </w:rPr>
      </w:pPr>
    </w:p>
    <w:p w14:paraId="19AC8AA8" w14:textId="77777777" w:rsidR="00DE7C44" w:rsidRDefault="00DE7C44">
      <w:pPr>
        <w:rPr>
          <w:rFonts w:ascii="Times New Roman" w:hAnsi="Times New Roman" w:cs="Times New Roman"/>
          <w:sz w:val="20"/>
          <w:szCs w:val="20"/>
        </w:rPr>
      </w:pPr>
    </w:p>
    <w:p w14:paraId="1A3A6758" w14:textId="77777777" w:rsidR="00DE7C44" w:rsidRDefault="00DE7C44">
      <w:pPr>
        <w:rPr>
          <w:rFonts w:ascii="Times New Roman" w:hAnsi="Times New Roman" w:cs="Times New Roman"/>
          <w:sz w:val="20"/>
          <w:szCs w:val="20"/>
        </w:rPr>
      </w:pPr>
    </w:p>
    <w:p w14:paraId="5E95499D" w14:textId="77777777" w:rsidR="00DE7C44" w:rsidRDefault="00DE7C44">
      <w:pPr>
        <w:rPr>
          <w:rFonts w:ascii="Times New Roman" w:hAnsi="Times New Roman" w:cs="Times New Roman"/>
          <w:sz w:val="20"/>
          <w:szCs w:val="20"/>
        </w:rPr>
      </w:pPr>
    </w:p>
    <w:p w14:paraId="5241A227" w14:textId="48EF52F4" w:rsidR="00DE7C44" w:rsidRPr="00A862E5" w:rsidRDefault="00556141">
      <w:pPr>
        <w:rPr>
          <w:rFonts w:ascii="Times New Roman" w:hAnsi="Times New Roman" w:cs="Times New Roman"/>
          <w:sz w:val="22"/>
          <w:szCs w:val="22"/>
        </w:rPr>
      </w:pPr>
      <w:r>
        <w:rPr>
          <w:rFonts w:ascii="Times New Roman" w:hAnsi="Times New Roman" w:cs="Times New Roman"/>
          <w:b/>
          <w:bCs/>
          <w:noProof/>
          <w:sz w:val="20"/>
          <w:szCs w:val="16"/>
        </w:rPr>
        <w:lastRenderedPageBreak/>
        <w:drawing>
          <wp:anchor distT="0" distB="0" distL="114300" distR="114300" simplePos="0" relativeHeight="251658240" behindDoc="0" locked="0" layoutInCell="1" allowOverlap="1" wp14:anchorId="204E281E" wp14:editId="78A1126C">
            <wp:simplePos x="0" y="0"/>
            <wp:positionH relativeFrom="column">
              <wp:posOffset>0</wp:posOffset>
            </wp:positionH>
            <wp:positionV relativeFrom="paragraph">
              <wp:posOffset>0</wp:posOffset>
            </wp:positionV>
            <wp:extent cx="4916805" cy="7925435"/>
            <wp:effectExtent l="0" t="0" r="0" b="0"/>
            <wp:wrapSquare wrapText="bothSides"/>
            <wp:docPr id="1500704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04807" name="Picture 15007048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16805" cy="79254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0"/>
          <w:szCs w:val="16"/>
        </w:rPr>
        <w:t xml:space="preserve">Supplementary Figure 2. Non-equilibrium switching work distributions for all alchemical transformations.</w:t>
      </w:r>
      <w:r>
        <w:rPr>
          <w:rFonts w:ascii="Times New Roman" w:hAnsi="Times New Roman" w:cs="Times New Roman"/>
          <w:sz w:val="20"/>
          <w:szCs w:val="16"/>
        </w:rPr>
        <w:br/>
      </w:r>
      <w:r>
        <w:rPr>
          <w:rFonts w:ascii="Times New Roman" w:hAnsi="Times New Roman" w:cs="Times New Roman"/>
          <w:sz w:val="20"/>
          <w:szCs w:val="20"/>
        </w:rPr>
        <w:t xml:space="preserve">Forward (0→1, blue) and reverse (1→0, red) switching work for each of the 19 alchemical legs, shown separately for the </w:t>
      </w:r>
      <w:r>
        <w:rPr>
          <w:rFonts w:ascii="Times New Roman" w:hAnsi="Times New Roman" w:cs="Times New Roman"/>
          <w:i/>
          <w:iCs/>
          <w:sz w:val="20"/>
          <w:szCs w:val="20"/>
        </w:rPr>
        <w:t>holo</w:t>
      </w:r>
      <w:r>
        <w:rPr>
          <w:rFonts w:ascii="Times New Roman" w:hAnsi="Times New Roman" w:cs="Times New Roman"/>
          <w:sz w:val="20"/>
          <w:szCs w:val="20"/>
        </w:rPr>
        <w:t xml:space="preserve"> and </w:t>
      </w:r>
      <w:r>
        <w:rPr>
          <w:rFonts w:ascii="Times New Roman" w:hAnsi="Times New Roman" w:cs="Times New Roman"/>
          <w:i/>
          <w:iCs/>
          <w:sz w:val="20"/>
          <w:szCs w:val="20"/>
        </w:rPr>
        <w:t>apo</w:t>
      </w:r>
      <w:r>
        <w:rPr>
          <w:rFonts w:ascii="Times New Roman" w:hAnsi="Times New Roman" w:cs="Times New Roman"/>
          <w:sz w:val="20"/>
          <w:szCs w:val="20"/>
        </w:rPr>
        <w:t xml:space="preserve"> phases and pooled across three independent replicates (100 switches per direction per replicate). Dashed lines mark the BAR free energy, ∆G, of each replicate. Each panel reports the forward/reverse overlap coefficient — the shared area under the two normalized work densities, where 0 is disjoint and 1 identical — and the hysteresis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f</w:t>
      </w:r>
      <w:r>
        <w:rPr>
          <w:rFonts w:ascii="Cambria Math" w:hAnsi="Cambria Math" w:cs="Cambria Math"/>
          <w:sz w:val="20"/>
          <w:szCs w:val="20"/>
        </w:rPr>
        <w:t>⟩</w:t>
      </w:r>
      <w:r>
        <w:rPr>
          <w:rFonts w:ascii="Times New Roman" w:hAnsi="Times New Roman" w:cs="Times New Roman"/>
          <w:sz w:val="20"/>
          <w:szCs w:val="20"/>
        </w:rPr>
        <w:t xml:space="preserve"> −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r</w:t>
      </w:r>
      <w:r>
        <w:rPr>
          <w:rFonts w:ascii="Cambria Math" w:hAnsi="Cambria Math" w:cs="Cambria Math"/>
          <w:sz w:val="20"/>
          <w:szCs w:val="20"/>
        </w:rPr>
        <w:t>⟩</w:t>
      </w:r>
      <w:r>
        <w:rPr>
          <w:rFonts w:ascii="Times New Roman" w:hAnsi="Times New Roman" w:cs="Times New Roman"/>
          <w:sz w:val="20"/>
          <w:szCs w:val="20"/>
        </w:rPr>
        <w:t>, which measures the work dissipated by switching at finite speed. Annotations are colored red below an overlap of 0.3 and amber below 0.5. Compound genotypes are reached by two sequential legs, both shown.</w:t>
      </w:r>
    </w:p>
    <w:p w14:paraId="2DE5C884" w14:textId="77777777" w:rsidR="00357877" w:rsidRDefault="00357877">
      <w:pPr>
        <w:rPr>
          <w:rFonts w:ascii="Times New Roman" w:hAnsi="Times New Roman" w:cs="Times New Roman"/>
          <w:sz w:val="20"/>
          <w:szCs w:val="20"/>
        </w:rPr>
      </w:pPr>
    </w:p>
    <w:p w14:paraId="188230D3" w14:textId="77777777" w:rsidR="002C069F" w:rsidRDefault="002C069F">
      <w:pPr>
        <w:rPr>
          <w:rFonts w:ascii="Times New Roman" w:hAnsi="Times New Roman" w:cs="Times New Roman"/>
          <w:sz w:val="20"/>
          <w:szCs w:val="20"/>
        </w:rPr>
      </w:pPr>
    </w:p>
    <w:p>
      <w:pPr>
        <w:spacing w:after="200"/>
      </w:pPr>
      <w:r>
        <w:rPr>
          <w:b/>
        </w:rPr>
        <w:t xml:space="preserve">Additions for Revision 1 (placeholders)</w:t>
      </w:r>
    </w:p>
    <w:p>
      <w:pPr>
        <w:spacing w:after="200"/>
      </w:pPr>
      <w:r>
        <w:t xml:space="preserve">The sections below are referenced from the revised manuscript and are to be completed once the corresponding analyses finish. They are listed here so that every forward reference in the manuscript has a destination.</w:t>
      </w:r>
    </w:p>
    <w:p>
      <w:pPr>
        <w:spacing w:after="200"/>
      </w:pPr>
      <w:r>
        <w:t xml:space="preserve">Supplementary Table 5. Sensitivity of MM/GBSA energies to the snapshot relaxation protocol. ΔΔETotal and each component for a subset of genotypes, computed under single-point evaluation (no relaxation), hydrogen-only relaxation with heavy atoms restrained, and the unrestrained full minimization used in the main text. Addresses Reviewer 3, comment 3(b).</w:t>
      </w:r>
    </w:p>
    <w:p>
      <w:pPr>
        <w:spacing w:after="200"/>
      </w:pPr>
      <w:r>
        <w:t xml:space="preserve">Supplementary Note 1. Finite-size corrections for the charge-changing legs. The leading periodicity (net-charge self-energy) term of the Rocklin scheme is +0.0407 kcal/mol per phase and cancels to below 0.0001 kcal/mol in ΔΔGbind for both WT→K103N and WT→G190E. The higher-order terms — net-charge undersolvation, discrete-solvent and residual integrated potential — were not applied, since computing them exactly requires a Poisson-Boltzmann treatment of each environment. They are bounded instead by cancellation: each depends on the net charge, the box, the solvent density and the solute excluded volume; the charge change is identical in the holo and apo phases by construction; and the cells are matched to within 0.13% (K103N) and 0.31% (G190E) in volume, with DOR occupying 0.019% of the cell. Taking a per-phase correction of 1 kcal/mol, about 25 times the leading term, the residual on ΔΔGbind is at most 0.003 kcal/mol — two to three orders of magnitude below the 0.2–1.2 kcal/mol per-leg statistical uncertainties in Table 2.</w:t>
      </w:r>
    </w:p>
    <w:p>
      <w:pPr>
        <w:spacing w:after="200"/>
      </w:pPr>
      <w:r>
        <w:t xml:space="preserve">Supplementary Note 2. Effect of the ligand charge model. MM/GBSA energies recomputed with AM1-BCC partial charges for WT, V106A and Y188L, using the same trajectories, snapshots, sampling and relaxation protocol as the main text, so that the ligand charge set is the only difference. The two charge sets are both neutral and correlate at 0.890, but AM1-BCC is more polarised (mean |q| 0.228 e against 0.138 e; RMS difference 0.165 e, maximum 0.390 e), with the largest differences on the triazolinone and pyridinone carbonyl and amide atoms. Absolute binding energies shift by 3.5–4.6 kcal/mol. The WT-referenced ΔΔETotal reported in Table 2 shifts by at most 0.81 kcal/mol (V106A 1.73 → 2.54, Y188L 2.78 → 2.46) with the sign preserved, and the shift falls almost entirely on the charge-dependent components (ΔΔEelec up to 1.20, ΔΔEGB up to 1.32) while ΔΔEvdW moves only 0.27–0.29 kcal/mol. Much of the charge-model effect is therefore common to wild type and mutant and cancels in the WT-referenced difference. This applies to MM/GBSA only; ΔΔGbind is unaffected because DOR is neutral and identically parameterised at both end states of every alchemical leg.</w:t>
      </w:r>
    </w:p>
    <w:p>
      <w:pPr>
        <w:spacing w:after="200"/>
      </w:pPr>
      <w:r>
        <w:t xml:space="preserve">Supplementary Figure 3. Convergence diagnostics. Block averages over the production trajectories, together with integrated autocorrelation times estimated by Geyer's initial positive sequence and the resulting effective sample sizes, for six structural observables across all 60 holo replicates. Median autocorrelation times are 1.0–3.7 ns, giving a median effective sample size of 14–50 per 100 ns replicate; per-genotype median values range from 8 (V106M) to 73 (F227C). These bound the precision of the reported replicate means. They do not establish that the sampled basin is the only relevant one: an autocorrelation time measures motion within the basin a replicate occupies, so a trajectory that never leaves its starting basin can show a short correlation time and a healthy effective sample size regardless.</w:t>
      </w:r>
    </w:p>
    <w:p>
      <w:pPr>
        <w:spacing w:after="200"/>
      </w:pPr>
      <w:r>
        <w:t xml:space="preserve">Supplementary Figure 4. Protein-level conformational analysis. Per-residue Cα RMSF after superposition on the NNIBP-lining residues, and three-state secondary structure by DSSP, both referenced to wild type across the panel. Regional RMSF changes reach at most 0.25 Å, in the primer grip (225–235) and the β9–β10 sheet for Y181C and G190S, and secondary structure is essentially unchanged throughout, the largest shift being G190E losing 0.08 of strand character at the NNIBP lining. No genotype remodels the fold in the bound state, which indicates that the differences in Table 3 are local to the DOR interface rather than consequences of broader conformational change.</w:t>
      </w:r>
    </w:p>
    <w:p>
      <w:pPr>
        <w:spacing w:after="200"/>
      </w:pPr>
      <w:r>
        <w:t xml:space="preserve">Supplementary Figure 5. Apo and holo NNIBP volume distributions. Per-frame pocket volume for the bound state over full production, and for the unliganded state over a matched 10 ns window, since the wild-type apo trajectories are 10 ns and serve as the reference. The unliganded pocket is substantially collapsed relative to the bound state, and the difference between the two medians — the conformational change DOR must pay for — is larger than wild type (129 Å³) for all three genotypes whose ΔΔGbind misses the phenotype: G190E (253 Å³), V106I+F227C and A98G+F227C (172 Å³ each) and K103N+M230L (163 Å³). In one G190E apo replicate the measured volume expands after roughly 20 ns. This is an artifact of reconstructing periodic images for a chain-broken topology rather than a conformational event: RT's disordered loops leave each chain as several bonded fragments, which image independently and scatter across the box, while the simulation's potential energy stays flat to within 0.5% for the whole run. Those frames are excluded from interpretation; the matched 10 ns window precedes them and is unaffected.</w:t>
      </w:r>
    </w:p>
    <w:sectPr w:rsidR="002C06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13281"/>
    <w:multiLevelType w:val="hybridMultilevel"/>
    <w:tmpl w:val="7C347ABE"/>
    <w:lvl w:ilvl="0" w:tplc="395E4F1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6E469A"/>
    <w:multiLevelType w:val="hybridMultilevel"/>
    <w:tmpl w:val="0F1887E0"/>
    <w:lvl w:ilvl="0" w:tplc="D8EC578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39557916">
    <w:abstractNumId w:val="1"/>
  </w:num>
  <w:num w:numId="2" w16cid:durableId="13524951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207"/>
    <w:rsid w:val="000265A6"/>
    <w:rsid w:val="00106118"/>
    <w:rsid w:val="00154207"/>
    <w:rsid w:val="00166E86"/>
    <w:rsid w:val="00201571"/>
    <w:rsid w:val="002812FE"/>
    <w:rsid w:val="002C069F"/>
    <w:rsid w:val="003271CC"/>
    <w:rsid w:val="00344758"/>
    <w:rsid w:val="00357877"/>
    <w:rsid w:val="003E3F5B"/>
    <w:rsid w:val="00447195"/>
    <w:rsid w:val="004B4122"/>
    <w:rsid w:val="004F1873"/>
    <w:rsid w:val="004F5449"/>
    <w:rsid w:val="00556141"/>
    <w:rsid w:val="005A1526"/>
    <w:rsid w:val="005A57D3"/>
    <w:rsid w:val="00624DE4"/>
    <w:rsid w:val="006C78C4"/>
    <w:rsid w:val="00732041"/>
    <w:rsid w:val="008C3960"/>
    <w:rsid w:val="00A00505"/>
    <w:rsid w:val="00A862E5"/>
    <w:rsid w:val="00C02DD7"/>
    <w:rsid w:val="00C13FA8"/>
    <w:rsid w:val="00DE7C44"/>
    <w:rsid w:val="00E20E6F"/>
    <w:rsid w:val="00E2101F"/>
    <w:rsid w:val="00E366D3"/>
    <w:rsid w:val="00E939C6"/>
    <w:rsid w:val="00FC06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33241"/>
  <w15:chartTrackingRefBased/>
  <w15:docId w15:val="{D771366F-133A-5341-8653-8CC7DD789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20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5420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5420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542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2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2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2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2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2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20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5420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5420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54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207"/>
    <w:rPr>
      <w:rFonts w:eastAsiaTheme="majorEastAsia" w:cstheme="majorBidi"/>
      <w:color w:val="272727" w:themeColor="text1" w:themeTint="D8"/>
    </w:rPr>
  </w:style>
  <w:style w:type="paragraph" w:styleId="Title">
    <w:name w:val="Title"/>
    <w:basedOn w:val="Normal"/>
    <w:next w:val="Normal"/>
    <w:link w:val="TitleChar"/>
    <w:uiPriority w:val="10"/>
    <w:qFormat/>
    <w:rsid w:val="00154207"/>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5420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54207"/>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5420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542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4207"/>
    <w:rPr>
      <w:i/>
      <w:iCs/>
      <w:color w:val="404040" w:themeColor="text1" w:themeTint="BF"/>
    </w:rPr>
  </w:style>
  <w:style w:type="paragraph" w:styleId="ListParagraph">
    <w:name w:val="List Paragraph"/>
    <w:basedOn w:val="Normal"/>
    <w:uiPriority w:val="34"/>
    <w:qFormat/>
    <w:rsid w:val="00154207"/>
    <w:pPr>
      <w:ind w:left="720"/>
      <w:contextualSpacing/>
    </w:pPr>
  </w:style>
  <w:style w:type="character" w:styleId="IntenseEmphasis">
    <w:name w:val="Intense Emphasis"/>
    <w:basedOn w:val="DefaultParagraphFont"/>
    <w:uiPriority w:val="21"/>
    <w:qFormat/>
    <w:rsid w:val="00154207"/>
    <w:rPr>
      <w:i/>
      <w:iCs/>
      <w:color w:val="0F4761" w:themeColor="accent1" w:themeShade="BF"/>
    </w:rPr>
  </w:style>
  <w:style w:type="paragraph" w:styleId="IntenseQuote">
    <w:name w:val="Intense Quote"/>
    <w:basedOn w:val="Normal"/>
    <w:next w:val="Normal"/>
    <w:link w:val="IntenseQuoteChar"/>
    <w:uiPriority w:val="30"/>
    <w:qFormat/>
    <w:rsid w:val="0015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207"/>
    <w:rPr>
      <w:i/>
      <w:iCs/>
      <w:color w:val="0F4761" w:themeColor="accent1" w:themeShade="BF"/>
    </w:rPr>
  </w:style>
  <w:style w:type="character" w:styleId="IntenseReference">
    <w:name w:val="Intense Reference"/>
    <w:basedOn w:val="DefaultParagraphFont"/>
    <w:uiPriority w:val="32"/>
    <w:qFormat/>
    <w:rsid w:val="0015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2</Pages>
  <Words>253</Words>
  <Characters>1448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19</cp:revision>
  <dcterms:created xsi:type="dcterms:W3CDTF">2026-05-20T18:21:00Z</dcterms:created>
  <dcterms:modified xsi:type="dcterms:W3CDTF">2026-09-02T03:41:00Z</dcterms:modified>
</cp:coreProperties>
</file>