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mc:Ignorable="w14 w15 w16se w16cid w16 w16cex w16sdtdh w16sdtfl w16du wp14">
  <w:body>
    <w:p w14:paraId="63FFEF86" w14:textId="77777777" w:rsidR="003D726F" w:rsidRPr="00E536AD" w:rsidRDefault="003D726F">
      <w:pPr>
        <w:pStyle w:val="BATitle"/>
        <w:rPr>
          <w:b/>
          <w:bCs/>
          <w:sz w:val="36"/>
          <w:szCs w:val="28"/>
        </w:rPr>
      </w:pPr>
      <w:r>
        <w:rPr>
          <w:b/>
          <w:bCs/>
        </w:rPr>
        <w:t>Molecular Simulation of Doravirine Resistance in HIV-1 Reverse Transcriptase</w:t>
      </w:r>
    </w:p>
    <w:p w14:paraId="6C94D9DE" w14:textId="77777777" w:rsidR="003D726F" w:rsidRPr="00E536AD" w:rsidRDefault="003D726F">
      <w:pPr>
        <w:rPr>
          <w:rFonts w:ascii="Times New Roman" w:hAnsi="Times New Roman"/>
          <w:b/>
          <w:bCs/>
          <w:sz w:val="28"/>
          <w:szCs w:val="22"/>
        </w:rPr>
      </w:pPr>
    </w:p>
    <w:p w14:paraId="257712F6" w14:textId="77777777" w:rsidR="003D726F" w:rsidRPr="00E536AD" w:rsidRDefault="003D726F" w:rsidP="003D726F">
      <w:pPr>
        <w:pStyle w:val="BBAuthorName"/>
        <w:rPr>
          <w:rFonts w:ascii="Times New Roman" w:hAnsi="Times New Roman"/>
          <w:szCs w:val="24"/>
        </w:rPr>
      </w:pPr>
      <w:r>
        <w:t>Rohit Satija</w:t>
      </w:r>
      <w:r>
        <w:rPr>
          <w:vertAlign w:val="superscript"/>
        </w:rPr>
        <w:t>*</w:t>
      </w:r>
      <w:r>
        <w:t>, Kaiming Tao, Robert W. Shafer</w:t>
      </w:r>
    </w:p>
    <w:p w14:paraId="641F1DD7" w14:textId="77777777" w:rsidR="003D726F" w:rsidRPr="00E536AD" w:rsidRDefault="003D726F" w:rsidP="003D726F">
      <w:pPr>
        <w:pStyle w:val="BBAuthorName"/>
        <w:rPr>
          <w:rFonts w:ascii="Times New Roman" w:hAnsi="Times New Roman"/>
          <w:szCs w:val="24"/>
        </w:rPr>
      </w:pPr>
      <w:r>
        <w:t>Division of Infectious Diseases, School of Medicine, Stanford University, Stanford, CA, USA</w:t>
      </w:r>
    </w:p>
    <w:p w14:paraId="18C89CF8" w14:textId="77777777" w:rsidR="003D726F" w:rsidRPr="00E536AD" w:rsidRDefault="003D726F" w:rsidP="003D726F">
      <w:pPr>
        <w:pStyle w:val="BIEmailAddress"/>
        <w:rPr>
          <w:rFonts w:ascii="Times New Roman" w:hAnsi="Times New Roman"/>
          <w:szCs w:val="24"/>
        </w:rPr>
      </w:pPr>
      <w:r>
        <w:t>*Corresponding author (</w:t>
      </w:r>
      <w:hyperlink r:id="rId8" w:history="1">
        <w:r>
          <w:rPr>
            <w:rStyle w:val="Hyperlink"/>
            <w:rFonts w:ascii="Times New Roman" w:hAnsi="Times New Roman"/>
            <w:szCs w:val="24"/>
          </w:rPr>
          <w:t>rsatija@stanford.edu</w:t>
        </w:r>
      </w:hyperlink>
      <w:r>
        <w:t xml:space="preserve">) </w:t>
      </w:r>
    </w:p>
    <w:p w14:paraId="633AA418" w14:textId="77777777" w:rsidR="003D726F" w:rsidRPr="00E536AD" w:rsidRDefault="003D726F">
      <w:pPr>
        <w:rPr>
          <w:rFonts w:ascii="Times New Roman" w:hAnsi="Times New Roman"/>
          <w:b/>
          <w:bCs/>
          <w:sz w:val="28"/>
          <w:szCs w:val="22"/>
        </w:rPr>
      </w:pPr>
    </w:p>
    <w:p w14:paraId="5BB609EE" w14:textId="77777777" w:rsidR="00106118" w:rsidRPr="008E233C" w:rsidRDefault="00831C83" w:rsidP="00E4582F">
      <w:pPr>
        <w:pStyle w:val="TAMainText"/>
        <w:spacing w:after="240"/>
        <w:rPr>
          <w:rFonts w:ascii="Times New Roman" w:hAnsi="Times New Roman"/>
          <w:b/>
          <w:bCs/>
          <w:sz w:val="36"/>
          <w:szCs w:val="28"/>
        </w:rPr>
      </w:pPr>
      <w:r>
        <w:rPr>
          <w:b/>
          <w:bCs/>
          <w:sz w:val="28"/>
          <w:szCs w:val="22"/>
        </w:rPr>
        <w:t>Abstract</w:t>
      </w:r>
    </w:p>
    <w:p w14:paraId="71A7C7CC" w14:textId="77777777" w:rsidR="003D726F" w:rsidRPr="0048662B" w:rsidRDefault="003D726F" w:rsidP="0048662B">
      <w:pPr>
        <w:pStyle w:val="BDAbstract"/>
        <w:rPr>
          <w:rFonts w:ascii="Times New Roman" w:hAnsi="Times New Roman"/>
          <w:b/>
          <w:bCs/>
          <w:u w:val="single"/>
        </w:rPr>
      </w:pPr>
      <w:r>
        <w:rPr>
          <w:b/>
          <w:bCs/>
          <w:u w:val="single"/>
        </w:rPr>
        <w:t>Background</w:t>
      </w:r>
      <w:r>
        <w:rPr>
          <w:rFonts w:ascii="Times New Roman" w:hAnsi="Times New Roman"/>
          <w:b/>
          <w:bCs/>
          <w:u w:val="single"/>
        </w:rPr>
        <w:t>:</w:t>
      </w:r>
      <w:r>
        <w:rPr>
          <w:rFonts w:ascii="Times New Roman" w:hAnsi="Times New Roman"/>
          <w:b/>
          <w:bCs/>
        </w:rPr>
        <w:t xml:space="preserve"> </w:t>
      </w:r>
      <w:r>
        <w:t xml:space="preserve">Doravirine (DOR) is a second-generation non-nucleoside reverse transcriptase inhibitor (NNRTI) that retains activity against several common NNRTI resistance mutations, but phenotypic susceptibility data remain limited for many DOR-associated genotypes. </w:t>
      </w:r>
    </w:p>
    <w:p w14:paraId="4CA8E33B" w14:textId="77777777" w:rsidR="003D726F" w:rsidRPr="00E536AD" w:rsidRDefault="003D726F" w:rsidP="0048662B">
      <w:pPr>
        <w:pStyle w:val="BDAbstract"/>
        <w:rPr>
          <w:rFonts w:ascii="Times New Roman" w:hAnsi="Times New Roman"/>
        </w:rPr>
      </w:pPr>
      <w:r>
        <w:rPr>
          <w:b/>
          <w:bCs/>
          <w:u w:val="single"/>
        </w:rPr>
        <w:t>Methods:</w:t>
      </w:r>
      <w:r>
        <w:rPr>
          <w:b/>
          <w:bCs/>
        </w:rPr>
        <w:t xml:space="preserve"> </w:t>
      </w:r>
      <w:r>
        <w:t xml:space="preserve">We investigated whether physics-based molecular simulations of HIV-1 reverse transcriptase (RT) could provide an </w:t>
      </w:r>
      <w:r>
        <w:rPr>
          <w:i/>
          <w:iCs/>
        </w:rPr>
        <w:t>in silico</w:t>
      </w:r>
      <w:r>
        <w:t xml:space="preserve"> framework for retrospectively predicting DOR resistance. We assembled a curated panel of 18 DOR-associated genotypes spanning susceptible, resistant, and uncertain phenotypes and performed all-atom, explicit-solvent molecular dynamics simulations of wild-type and mutant RT–DOR complexes. Mutation-induced changes in DOR binding were estimated using nonequilibrium alchemical free-energy perturbation (FEP; ΔΔG</w:t>
      </w:r>
      <w:r>
        <w:rPr>
          <w:vertAlign w:val="subscript"/>
        </w:rPr>
        <w:t>bind</w:t>
      </w:r>
      <w:r>
        <w:t xml:space="preserve">) </w:t>
      </w:r>
      <w:r>
        <w:lastRenderedPageBreak/>
        <w:t>and wild-type-referenced MM/GBSA interaction energies (</w:t>
      </w:r>
      <w:proofErr w:type="spellStart"/>
      <w:r>
        <w:t>ΔΔE</w:t>
      </w:r>
      <w:r>
        <w:rPr>
          <w:vertAlign w:val="subscript"/>
        </w:rPr>
        <w:t>Total</w:t>
      </w:r>
      <w:proofErr w:type="spellEnd"/>
      <w:r>
        <w:t>), and compared with experimentally measured fold-changes in DOR susceptibility. Furthermore, several key features on the DOR-RT interface were computed from the MD simulations data.</w:t>
      </w:r>
    </w:p>
    <w:p w14:paraId="06222D85" w14:textId="002D6D4B" w:rsidR="003D726F" w:rsidRPr="00E536AD" w:rsidRDefault="003D726F" w:rsidP="0048662B">
      <w:pPr>
        <w:pStyle w:val="BDAbstract"/>
        <w:rPr>
          <w:rFonts w:ascii="Times New Roman" w:hAnsi="Times New Roman"/>
        </w:rPr>
      </w:pPr>
      <w:r>
        <w:rPr>
          <w:b/>
          <w:bCs/>
          <w:u w:val="single"/>
        </w:rPr>
        <w:t>Results:</w:t>
      </w:r>
      <w:r>
        <w:rPr>
          <w:b/>
          <w:bCs/>
        </w:rPr>
        <w:t xml:space="preserve"> </w:t>
      </w:r>
      <w:r w:rsidR="00CC484F">
        <w:t>Using</w:t>
      </w:r>
      <w:r w:rsidR="002E0084">
        <w:t xml:space="preserve"> a cutoff of ΔΔG</w:t>
      </w:r>
      <w:r w:rsidR="002E0084" w:rsidRPr="002E0084">
        <w:rPr>
          <w:vertAlign w:val="subscript"/>
        </w:rPr>
        <w:t>bind</w:t>
      </w:r>
      <w:r w:rsidR="002E0084">
        <w:t xml:space="preserve"> = +0.5 kcal/mol, approximately the thermal energy (</w:t>
      </w:r>
      <w:proofErr w:type="spellStart"/>
      <w:r w:rsidR="002E0084">
        <w:t>k</w:t>
      </w:r>
      <w:r w:rsidR="002E0084" w:rsidRPr="002E0084">
        <w:rPr>
          <w:vertAlign w:val="subscript"/>
        </w:rPr>
        <w:t>B</w:t>
      </w:r>
      <w:r w:rsidR="002E0084">
        <w:t>T</w:t>
      </w:r>
      <w:proofErr w:type="spellEnd"/>
      <w:r w:rsidR="002E0084">
        <w:t>) at 300 K,</w:t>
      </w:r>
      <w:r w:rsidR="002E0084">
        <w:t xml:space="preserve"> </w:t>
      </w:r>
      <w:r>
        <w:t>FEP correctly predicted little effect on DOR binding for 3 of 4 susceptible mutations and reduced binding for 7 of 9 resistant genotypes. Across these 13 genotypes with established susceptible or resistant phenotypes, a weak correlation between relative change in binding free energy, ΔΔG</w:t>
      </w:r>
      <w:r>
        <w:rPr>
          <w:vertAlign w:val="subscript"/>
        </w:rPr>
        <w:t>bind</w:t>
      </w:r>
      <w:r>
        <w:t>, and with log</w:t>
      </w:r>
      <w:r>
        <w:rPr>
          <w:vertAlign w:val="subscript"/>
        </w:rPr>
        <w:t>10</w:t>
      </w:r>
      <w:r>
        <w:t xml:space="preserve">-transformed susceptibility fold-change was observed (R² = 0.26, </w:t>
      </w:r>
      <w:r>
        <w:rPr>
          <w:i/>
          <w:iCs/>
        </w:rPr>
        <w:t>p</w:t>
      </w:r>
      <w:r>
        <w:t xml:space="preserve"> = 0.07). Including the 5 genotypes with uncertain phenotype, however, this correlation was weaker (R² = 0.08, </w:t>
      </w:r>
      <w:r>
        <w:rPr>
          <w:i/>
          <w:iCs/>
        </w:rPr>
        <w:t>p</w:t>
      </w:r>
      <w:r>
        <w:t xml:space="preserve"> = 0.26). In contrast, while MM/GBSA also correctly identified unfavorable energetic changes for 7 of 9 resistant genotypes, only 1 out of 4 susceptible mutations was identified as low-impact. Across the whole panel, ΔΔG</w:t>
      </w:r>
      <w:r>
        <w:rPr>
          <w:vertAlign w:val="subscript"/>
        </w:rPr>
        <w:t>bind</w:t>
      </w:r>
      <w:r>
        <w:t xml:space="preserve"> and </w:t>
      </w:r>
      <w:proofErr w:type="spellStart"/>
      <w:r>
        <w:t>ΔΔE</w:t>
      </w:r>
      <w:r>
        <w:rPr>
          <w:vertAlign w:val="subscript"/>
        </w:rPr>
        <w:t>Total</w:t>
      </w:r>
      <w:proofErr w:type="spellEnd"/>
      <w:r>
        <w:t xml:space="preserve"> were themselves modestly correlated (R² = 0.18, </w:t>
      </w:r>
      <w:r>
        <w:rPr>
          <w:i/>
          <w:iCs/>
        </w:rPr>
        <w:t>p</w:t>
      </w:r>
      <w:r>
        <w:t xml:space="preserve"> = 0.08), with the van der Waals component frequently dominating MM/GBSA energetic shifts. By analyzing DOR poses and contacts with neighboring binding pocket RT residues observed in our simulations, we rationalize some of these results using detailed molecular mechanisms at the DOR-RT interface.</w:t>
      </w:r>
    </w:p>
    <w:p w14:paraId="68390E0C" w14:textId="77777777" w:rsidR="004770A2" w:rsidRPr="00E536AD" w:rsidRDefault="003D726F" w:rsidP="004770A2">
      <w:pPr>
        <w:pStyle w:val="BDAbstract"/>
        <w:rPr>
          <w:rFonts w:ascii="Times New Roman" w:hAnsi="Times New Roman"/>
        </w:rPr>
      </w:pPr>
      <w:r>
        <w:rPr>
          <w:b/>
          <w:bCs/>
          <w:u w:val="single"/>
        </w:rPr>
        <w:t>Conclusion:</w:t>
      </w:r>
      <w:r>
        <w:rPr>
          <w:b/>
          <w:bCs/>
        </w:rPr>
        <w:t xml:space="preserve"> </w:t>
      </w:r>
      <w:r>
        <w:t xml:space="preserve">Our findings suggest that </w:t>
      </w:r>
      <w:r>
        <w:rPr>
          <w:i/>
          <w:iCs/>
        </w:rPr>
        <w:t xml:space="preserve">in silico </w:t>
      </w:r>
      <w:r>
        <w:t xml:space="preserve">relative binding free-energy calculations partially track experimentally observed phenotypic data for canonical DOR susceptible and resistant genotypes, but do not yet constitute a robust proxy for </w:t>
      </w:r>
      <w:r>
        <w:rPr>
          <w:i/>
          <w:iCs/>
        </w:rPr>
        <w:t>in vitro</w:t>
      </w:r>
      <w:r>
        <w:t xml:space="preserve"> susceptibility testing. This retrospective comparison with MD simulations provides a dynamic view of DOR resistance that is typically lacking in static structural models. </w:t>
      </w:r>
    </w:p>
    <w:p w14:paraId="6FDCCE2E" w14:textId="77777777" w:rsidR="006F1E06" w:rsidRPr="00E536AD" w:rsidRDefault="006F1E06" w:rsidP="004770A2">
      <w:pPr>
        <w:rPr>
          <w:rFonts w:ascii="Times New Roman" w:hAnsi="Times New Roman"/>
        </w:rPr>
      </w:pPr>
    </w:p>
    <w:p w14:paraId="04DEA32A" w14:textId="77777777" w:rsidR="006F1E06" w:rsidRDefault="006F1E06" w:rsidP="004770A2">
      <w:pPr>
        <w:rPr>
          <w:rFonts w:ascii="Times New Roman" w:hAnsi="Times New Roman"/>
        </w:rPr>
      </w:pPr>
    </w:p>
    <w:p w14:paraId="6C263DAC" w14:textId="77777777" w:rsidR="00831C83" w:rsidRPr="008E233C" w:rsidRDefault="00831C83">
      <w:pPr>
        <w:pStyle w:val="TAMainText"/>
        <w:rPr>
          <w:rFonts w:ascii="Times New Roman" w:hAnsi="Times New Roman"/>
          <w:b/>
          <w:bCs/>
          <w:sz w:val="36"/>
          <w:szCs w:val="28"/>
        </w:rPr>
      </w:pPr>
      <w:r>
        <w:rPr>
          <w:b/>
          <w:bCs/>
          <w:sz w:val="28"/>
          <w:szCs w:val="22"/>
        </w:rPr>
        <w:t>Introduction</w:t>
      </w:r>
    </w:p>
    <w:p w14:paraId="1218F143" w14:textId="77777777" w:rsidR="00C96A03" w:rsidRPr="00E536AD" w:rsidRDefault="005E6E95" w:rsidP="00C96A03">
      <w:pPr>
        <w:pStyle w:val="TAMainText"/>
        <w:spacing w:after="240"/>
        <w:rPr>
          <w:rFonts w:ascii="Times New Roman" w:hAnsi="Times New Roman"/>
          <w:szCs w:val="24"/>
        </w:rPr>
      </w:pPr>
      <w:r>
        <w:t>Non-Nucleoside Reverse Transcriptase Inhibitors (NNRTIs) noncompetitively inhibit the HIV-1 Reverse Transcriptase (RT) enzyme by binding to the allosteric NNRTI binding pocket (NNIBP).</w:t>
      </w:r>
      <w:r>
        <w:fldChar w:fldCharType="begin"/>
      </w:r>
      <w:r>
        <w:instrText xml:space="preserve"> ADDIN ZOTERO_ITEM CSL_CITATION {"citationID":"UvQEUgqP","properties":{"unsorted":false,"formattedCitation":"\\super 1,2\\nosupersub{}","plainCitation":"1,2","noteIndex":0},"citationItems":[{"id":184,"uris":["http://zotero.org/users/19404620/items/HVXGWQFU"],"itemData":{"id":184,"type":"article-journal","abstract":"A 3.5 angstrom resolution electron density map of the HIV-1 reverse transcriptase heterodimer complexed with nevirapine, a drug with potential for treatment of AIDS, reveals an asymmetric dimer. The polymerase (pol) domain of the 66-kilodalton subunit has a large cleft analogous to that of the Klenow fragment of Escherichia coli DNA polymerase I. However, the 51-kilodalton subunit of identical sequence has no such cleft because the four subdomains of the pol domain occupy completely different relative positions. Two of the four pol subdomains appear to be structurally related to subdomains of the Klenow fragment, including one containing the catalytic site. The subdomain that appears likely to bind the template strand at the pol active site has a different structure in the two polymerases. Duplex A-form RNA-DNA hybrid can be model-built into the cleft that runs between the ribonuclease H and pol active sites. Nevirapine is almost completely buried in a pocket near but not overlapping with the pol active site. Residues whose mutation results in drug resistance have been approximately located.","container-title":"Science","DOI":"10.1126/science.1377403","issue":"5065","page":"1783-1790","publisher":"American Association for the Advancement of Science","source":"science.org (Atypon)","title":"Crystal Structure at 3.5 Å Resolution of HIV-1 Reverse Transcriptase Complexed with an Inhibitor","volume":"256","author":[{"family":"Kohlstaedt","given":"L. A."},{"family":"Wang","given":"J."},{"family":"Friedman","given":"J. M."},{"family":"Rice","given":"P. A."},{"family":"Steitz","given":"T. A."}],"issued":{"date-parts":[["1992",6,26]]}}},{"id":186,"uris":["http://zotero.org/users/19404620/items/XCL8X2E6"],"itemData":{"id":186,"type":"article-journal","abstract":"The mechanism of inhibition of HIV-1 reverse transcriptase by three nonnucleoside inhibitors is described. Nevirapine, O-TIBO, and CI-TIBO each bind to a hydrophobic pocket in the enzyme-DNA complex close to the active site catalytic residues. Pre-steady-state kinetic analysis was used to establish the mechanism of inhibition by these noncompetitive inhibitors. Analysis of the pre-steady-state burst of DNA polymerization indicated that inhibitors blocked the chemical reaction, but did not interfere with nucleotide binding or the nucleotide-induced conformational change. Rather, in the presence of saturating concentrations of the inhibitors, the nucleoside triphosphate bound tightly (Kd, 100 nM), but nonproductively. The data suggest that an inhibitor combining the functionalities of a nonnucleoside inhibitor and a nucleotide analog could bind very tightly and specifically to reverse transcriptase and could be effective in the treatment of AIDS.","container-title":"Science","DOI":"10.1126/science.7532321","issue":"5200","page":"988-993","publisher":"American Association for the Advancement of Science","source":"science.org (Atypon)","title":"Mechanism of Inhibition of HIV-1 Reverse Transcriptase by Nonnucleoside Inhibitors","volume":"267","author":[{"family":"Spence","given":"Rebecca A."},{"family":"Kati","given":"Warren M."},{"family":"Anderson","given":"Karen S."},{"family":"Johnson","given":"Kenneth A."}],"issued":{"date-parts":[["1995",2,17]]}}}],"schema":"https://github.com/citation-style-language/schema/raw/master/csl-citation.json"} </w:instrText>
      </w:r>
      <w:r>
        <w:fldChar w:fldCharType="separate"/>
      </w:r>
      <w:r>
        <w:rPr>
          <w:vertAlign w:val="superscript"/>
        </w:rPr>
        <w:t>1,2</w:t>
      </w:r>
      <w:r>
        <w:fldChar w:fldCharType="end"/>
      </w:r>
      <w:r>
        <w:t xml:space="preserve"> The NNIBP is ~10Å from the RT DNA polymerase active site and forms only upon NNRTI binding, via an induced conformational change in the RT p66 subunit (Figure 1A).</w:t>
      </w:r>
      <w:r>
        <w:fldChar w:fldCharType="begin"/>
      </w:r>
      <w:r>
        <w:instrText xml:space="preserve"> ADDIN ZOTERO_ITEM CSL_CITATION {"citationID":"vB520owO","properties":{"unsorted":false,"formattedCitation":"\\super 3,4\\nosupersub{}","plainCitation":"3,4","noteIndex":0},"citationItems":[{"id":188,"uris":["http://zotero.org/users/19404620/items/ZWDCU5HD"],"itemData":{"id":188,"type":"article-journal","abstract":"The crystal structure of the reverse transcriptase (RT) from the type 1 human immunodeficiency virus has been determined at 3.2-A resolution. Comparison with complexes between RT and the polymerase inhibitor Nevirapine [Kohlstaedt, L.A., Wang, J., Friedman, J.M., Rice, P.A. &amp; Steitz, T.A. (1992) Science 256, 1783-1790] and between RT and an oligonucleotide [Jacobo-Molina, A., Ding, J., Nanni, R., Clark, A. D., Lu, X., Tantillo, C., Williams, R. L., Kamer, G., Ferris, A. L., Clark, P., Hizi, A., Hughes, S. H. &amp; Arnold, E. (1993) Proc. Natl. Acad. Sci. USA 90, 6320-6324] reveals changes associated with ligand binding. The enzyme is a heterodimer (p66/p51), with domains labeled \"fingers,\" \"thumb,\" \"palm,\" and \"connection\" in both subunits, and a ribonuclease H domain in the larger subunit only. The most striking difference between RT and both complex structures is the change in orientation of the p66 thumb (approximately 33 degrees rotation). Smaller shifts relative to the core of the molecule were also found in other domains, including the p66 fingers and palm, which contain the polymerase active site. Within the polymerase catalytic region itself, there are no rearrangements between RT and the RT/DNA complex. In RT/Nevirapine, the drug binds in the p66 palm near the polymerase active site, a region that is well-packed hydrophobic core in the unliganded enzyme. Room for the drug is provided by movement of a small beta-sheet within the palm domain of the Nevirapine complex. The rearrangement within the palm and thumb, as well as domain shifts relative to the enzyme core, may prevent correct placement of the oligonucleotide substrate when the drug is bound.","container-title":"Proceedings of the National Academy of Sciences","DOI":"10.1073/pnas.92.4.1222","issue":"4","page":"1222-1226","publisher":"Proceedings of the National Academy of Sciences","source":"www-pnas-org.stanford.idm.oclc.org (Atypon)","title":"The structure of unliganded reverse transcriptase from the human immunodeficiency virus type 1.","volume":"92","author":[{"family":"Rodgers","given":"D W"},{"family":"Gamblin","given":"S J"},{"family":"Harris","given":"B A"},{"family":"Ray","given":"S"},{"family":"Culp","given":"J S"},{"family":"Hellmig","given":"B"},{"family":"Woolf","given":"D J"},{"family":"Debouck","given":"C"},{"family":"Harrison","given":"S C"}],"issued":{"date-parts":[["1995",2,14]]}}},{"id":78,"uris":["http://zotero.org/users/19404620/items/5GLYYNZX"],"itemData":{"id":78,"type":"article-journal","container-title":"Structure","DOI":"10.1016/S0969-2126(96)00091-3","ISSN":"0969-2126","issue":"7","journalAbbreviation":"Structure","language":"English","page":"853-860","PMID":"8805568","publisher":"Elsevier","source":"www.cell.com","title":"Structure of unliganded HIV-1 reverse transcriptase at 2.7 å resolution: implications of conformational changes for polymerization and inhibition mechanisms","title-short":"Structure of unliganded HIV-1 reverse transcriptase at 2.7 å resolution","volume":"4","author":[{"family":"Hsiou","given":"Y."},{"family":"Ding","given":"J."},{"family":"Das","given":"K."},{"family":"AD Clark","given":"Jr"},{"family":"Hughes","given":"S. H."},{"family":"Arnold","given":"E."}],"issued":{"date-parts":[["1996",7,1]]}}}],"schema":"https://github.com/citation-style-language/schema/raw/master/csl-citation.json"} </w:instrText>
      </w:r>
      <w:r>
        <w:fldChar w:fldCharType="separate"/>
      </w:r>
      <w:r>
        <w:rPr>
          <w:vertAlign w:val="superscript"/>
        </w:rPr>
        <w:t>3,4</w:t>
      </w:r>
      <w:r>
        <w:fldChar w:fldCharType="end"/>
      </w:r>
      <w:r>
        <w:t xml:space="preserve"> Since the NNIBP can more readily accommodate mutations than the polymerase active site without a significant cost to enzyme fitness, emergence of NNRTI resistance occurs commonly if virological suppression is not complete in patients receiving an NNRTI.</w:t>
      </w:r>
      <w:r>
        <w:fldChar w:fldCharType="begin"/>
      </w:r>
      <w:r>
        <w:instrText xml:space="preserve"> ADDIN ZOTERO_ITEM CSL_CITATION {"citationID":"2bS341eW","properties":{"unsorted":false,"formattedCitation":"\\super 5,6\\nosupersub{}","plainCitation":"5,6","noteIndex":0},"citationItems":[{"id":190,"uris":["http://zotero.org/users/19404620/items/8WXHTANG"],"itemData":{"id":190,"type":"article-journal","abstract":"The most significant advance in the medical management of HIV-1 infection has been the treatment of patients with antiviral drugs, which can suppress HIV-1 replication to undetectable levels. The discovery of HIV-1 as the causative agent of AIDS together with an ever-increasing understanding of the virus replication cycle have been instrumental in this effort by providing researchers with the knowledge and tools required to prosecute drug discovery efforts focused on targeted inhibition with specific pharmacological agents. To date, an arsenal of 24 Food and Drug Administration (FDA)-approved drugs are available for treatment of HIV-1 infections. These drugs are distributed into six distinct classes based on their molecular mechanism and resistance profiles: (1) nucleoside-analog reverse transcriptase inhibitors (NNRTIs), (2) non–nucleoside reverse transcriptase inhibitors (NNRTIs), (3) integrase inhibitors, (4) protease inhibitors (PIs), (5) fusion inhibitors, and (6) coreceptor antagonists. In this article, we will review the basic principles of antiretroviral drug therapy, the mode of drug action, and the factors leading to treatment failure (i.e., drug resistance).","container-title":"Cold Spring Harbor Perspectives in Medicine","DOI":"10.1101/cshperspect.a007161","ISSN":", 2157-1422","issue":"4","journalAbbreviation":"Cold Spring Harb Perspect Med","language":"en","page":"a007161","PMID":"22474613","publisher":"Cold Spring Harbor Laboratory Press","source":"perspectivesinmedicine.cshlp.org","title":"HIV-1 Antiretroviral Drug Therapy","volume":"2","author":[{"family":"Arts","given":"Eric J."},{"family":"Hazuda","given":"Daria J."}],"issued":{"date-parts":[["2012",4,1]]}}},{"id":62,"uris":["http://zotero.org/users/19404620/items/AEMYHYHK"],"itemData":{"id":62,"type":"article-journal","abstract":"HIV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fldChar w:fldCharType="separate"/>
      </w:r>
      <w:r>
        <w:rPr>
          <w:vertAlign w:val="superscript"/>
        </w:rPr>
        <w:t>5,6</w:t>
      </w:r>
      <w:r>
        <w:fldChar w:fldCharType="end"/>
      </w:r>
    </w:p>
    <w:p w14:paraId="61EC61E4" w14:textId="77777777" w:rsidR="00C96A03" w:rsidRPr="00E536AD" w:rsidRDefault="00C96A03" w:rsidP="00C96A03">
      <w:pPr>
        <w:pStyle w:val="TAMainText"/>
        <w:spacing w:after="240"/>
        <w:rPr>
          <w:rFonts w:ascii="Times New Roman" w:hAnsi="Times New Roman"/>
          <w:szCs w:val="24"/>
        </w:rPr>
      </w:pPr>
      <w:r>
        <w:t>NNRTI resistance mutations can decrease HIV-1 susceptibility by affecting interactions between the inhibitor and the NNIBP.</w:t>
      </w:r>
      <w:r>
        <w:fldChar w:fldCharType="begin"/>
      </w:r>
      <w:r>
        <w:instrText xml:space="preserve"> ADDIN ZOTERO_ITEM CSL_CITATION {"citationID":"l7qHgsYU","properties":{"unsorted":false,"formattedCitation":"\\super 7\\nosupersub{}","plainCitation":"7","noteIndex":0},"citationItems":[{"id":193,"uris":["http://zotero.org/users/19404620/items/HGGZVZL2"],"itemData":{"id":193,"type":"article-journal","abstract":"The locations of HIV-1 RT nucleoside and non-nucleoside inhibitor-binding sites and inhibitor-resistance mutations are analyzed in the context of the three-dimensional structure of the enzyme and implications for mechanisms of drug inhibition and resistance are discussed. In order to help identify residues that may play a role in inhibitor binding, solvent accessibilities of amino acids that comprise the inhibitor-binding sites in the structure of HIV-1 RT complexed with a dsDNA template-primer are analyzed. While some mutations that cause resistance to nucleoside analogs, such as AZT, ddI, and ddC, are located near enough to the dNTP-binding site to direct interfere with binding of nucleoside analogs many are located away from the DNTP-binding site and more likely confer resistance by other mechanisms. Many of the latter mutations are located on the surface of the DNA-binding cleft and may lead to altered template-primer positioning or conformation, causing a distortion of the geometry of the polymerase active site and consequent discrimination between normal and altered DNTP substrates. Other nucleoside analog-resistance mutations located on the periphery of the DNTP-binding site may exert their effects via altered interactions with DNTP-binding site residues. The structure of the hydrophobic region in HIV-1 RT that binds non-nucleoside inhibitors, for example, nevirapine and TIBO, has been analyzed in the absence of bound ligand. The pocket that is present when non-nucleoside inhibitors are bond is not observed in the inhibitor-free structure of HIV-1 RT with dsdna. In particular it is filled by Tyr181 and Tyr188, suggesting that the pocket is formed primarily by rotation of these large aromatic side-chains. Existing biochemical data, taken together with the three-dimensional structure of HIV-1 RT, makes it possible to propose potential mechanisms of inhibition by non-nucleoside inhibitors. One such mechanism is local distortion of HIV-1 RT structural elements thought to participate in catalysis: the β9-β10 hairpin (which contains polymerase active site residues) and the β12-β13 hairpin (\"primer grip\"). An alternative possibility is restricted mobility of the p66 thumb subdomain, which is supported by the observation that structural elements of the non-nucleoside inhibitor-binding pocket may act as a \"hinge\" for the thumb. Mutations that have been shown to confer resistance to non-nucleoside inhibitors are observed to cluster around the pocket, suggesting that most of these resistance mutations lead to direct alteration of inhibitor binding. A comparison of residues in the non-nucleoside inhibitor-binding pocket of HIV-1 RT and the corresponding residues in HIV-2 RT can explain the low activity of non-nucleoside compounds against HIV-2 RT.","container-title":"Journal of Molecular Biology","DOI":"10.1006/jmbi.1994.1665","ISSN":"0022-2836","issue":"3","journalAbbreviation":"Journal of Molecular Biology","page":"369-387","source":"ScienceDirect","title":"Locations of Anti-AIDS Drug Binding Sites and Resistance Mutations in the Three-dimensional Structure of HIV-1 Reverse Transcriptase: Implications for Mechanisms of Drug Inhibition and Resistance","title-short":"Locations of Anti-AIDS Drug Binding Sites and Resistance Mutations in the Three-dimensional Structure of HIV-1 Reverse Transcriptase","volume":"243","author":[{"family":"Tantillo","given":"Chris"},{"family":"Ding","given":"Jianping"},{"family":"Jacobo-Molina","given":"Alfredo"},{"family":"Nanni","given":"Raymond G."},{"family":"Boyer","given":"Paul L."},{"family":"Hughes","given":"Stephen H."},{"family":"Pauwels","given":"Rudi"},{"family":"Andries","given":"Koen"},{"family":"Janssen","given":"Paul A. J."},{"family":"Arnold","given":"Edward"}],"issued":{"date-parts":[["1994",10,27]]}}}],"schema":"https://github.com/citation-style-language/schema/raw/master/csl-citation.json"} </w:instrText>
      </w:r>
      <w:r>
        <w:fldChar w:fldCharType="separate"/>
      </w:r>
      <w:r>
        <w:rPr>
          <w:vertAlign w:val="superscript"/>
        </w:rPr>
        <w:t>7</w:t>
      </w:r>
      <w:r>
        <w:fldChar w:fldCharType="end"/>
      </w:r>
      <w:r>
        <w:t xml:space="preserve"> K103N alters allosteric RT dynamics and permits a productive RT-template/primer-dNTP complex even while Efavirenz (EFV) remains bound</w:t>
      </w:r>
      <w:r>
        <w:fldChar w:fldCharType="begin"/>
      </w:r>
      <w:r>
        <w:instrText xml:space="preserve"> ADDIN ZOTERO_ITEM CSL_CITATION {"citationID":"PYosE16Q","properties":{"unsorted":false,"formattedCitation":"\\super 8\\nosupersub{}","plainCitation":"8","noteIndex":0},"citationItems":[{"id":127,"uris":["http://zotero.org/users/19404620/items/88BXE5MA"],"itemData":{"id":127,"type":"article-journal","abstract":"Non-nucleoside reverse transcriptase (RT) inhibitors (NNRTIs) are routinely used to treat HIV-1 infection, yet their mechanism of action remains unclear despite intensive investigation. In this study, we developed complementary single-molecule fluorescence and ensemble fluorescence anisotropy approaches to discover how NNRTIs modulate the intra-molecular conformational changes and inter-molecular dynamics of RT-template/primer (T/P) and RT–T/P–dNTP complexes. We found that NNRTI binding to RT induces opening of the fingers and thumb subdomains, which increases the dynamic sliding motion of the enzyme on the T/P and reduces dNTP binding affinity. Further, efavirenz promotes formation of the E138-K101 salt bridge between the p51 and p66 subunits of RT, which contributes to opening of the thumb/fingers subdomains. Engineering a more polar salt bridge between p51 and p66 resulted in even greater increases in the thumb/fingers opening, RT sliding, dNTP binding disruption and in vitro and in vivo RT inhibition than were observed with wild-type RT. We also observed that K103N, a clinically relevant NNRTI resistance mutation, does not prevent binding between efavirenz and RT-T/P but instead allows formation of a stable and productive RT–T/P–dNTP complex, possibly through disruption of the E138-K101 salt bridge. Collectively, these data describe unique structure–activity–resistance relationships that could be exploited for drug development.","container-title":"Nucleic Acids Research","DOI":"10.1093/nar/gku819","ISSN":"0305-1048","issue":"18","journalAbbreviation":"Nucleic Acids Res","page":"11687-11696","source":"Silverchair","title":"Mechanism of allosteric inhibition of HIV-1 reverse transcriptase revealed by single-molecule and ensemble fluorescence","volume":"42","author":[{"family":"Schauer","given":"Grant D."},{"family":"Huber","given":"Kelly D."},{"family":"Leuba","given":"Sanford H."},{"family":"Sluis-Cremer","given":"Nicolas"}],"issued":{"date-parts":[["2014",10,13]]}}}],"schema":"https://github.com/citation-style-language/schema/raw/master/csl-citation.json"} </w:instrText>
      </w:r>
      <w:r>
        <w:fldChar w:fldCharType="separate"/>
      </w:r>
      <w:r>
        <w:rPr>
          <w:vertAlign w:val="superscript"/>
        </w:rPr>
        <w:t>8</w:t>
      </w:r>
      <w:r>
        <w:fldChar w:fldCharType="end"/>
      </w:r>
      <w:r>
        <w:t xml:space="preserve"> and stabilizes the unliganded closed pocket form of RT, thus slowing Loviride/HBY097 entry.</w:t>
      </w:r>
      <w:r>
        <w:fldChar w:fldCharType="begin"/>
      </w:r>
      <w:r>
        <w:instrText xml:space="preserve"> ADDIN ZOTERO_ITEM CSL_CITATION {"citationID":"JTzsE6Jl","properties":{"unsorted":false,"formattedCitation":"\\super 9\\nosupersub{}","plainCitation":"9","noteIndex":0},"citationItems":[{"id":92,"uris":["http://zotero.org/users/19404620/items/W528QLF7"],"itemData":{"id":92,"type":"article-journal","abstract":"Inhibitors of human immunodeficiency virus (HIV) reverse transcriptase (RT) are widely used in the treatment of HIV infection. Loviride (an α-APA derivative) and HBY 097 (a quinoxaline derivative) are two potent non-nucleoside RT inhibitors (NNRTIs) that have been used in human clinical trials. A major problem for existing anti-retroviral therapy is the emergence of drug-resistant mutants with reduced susceptibility to the inhibitors. Amino acid residue 103 in the p66 subunit of HIV-1 RT is located near a putative entrance to a hydrophobic pocket that binds NNRTIs. Substitution of asparagine for lysine at position 103 of HIV-1 RT is associated with the development of resistance to NNRTIs; this mutation contributes to clinical failure of treatments employing NNRTIs. We have determined the structures of the unliganded form of the Lys103Asn mutant HIV-1 RT and in complexes with loviride and HBY 097. The structures of wild-type and Lys103Asn mutant HIV-1 RT in complexes with NNRTIs are quite similar overall as well as in the vicinity of the bound NNRTIs. Comparison of unliganded wild-type and Lys103Asn mutant HIV-1 RT structures reveals a network of hydrogen bonds in the Lys103Asn mutant that is not present in the wild-type enzyme. Hydrogen bonds in the unliganded Lys103Asn mutant but not in wild-type HIV-1 RT are observed between (1) the side-chains of Asn103 and Tyr188 and (2) well-ordered water molecules in the pocket and nearby pocket residues. The structural differences between unliganded wild-type and Lys103Asn mutant HIV-1 RT may correspond to stabilization of the closed-pocket form of the enzyme, which could interfere with the ability of inhibitors to bind to the enzyme. These results are consistent with kinetic data indicating that NNRTIs bind more slowly to Lys103Asn mutant than to wild-type HIV-1 RT. This novel drug-resistance mechanism explains the broad cross-resistance of Lys103Asn mutant HIV-1 RT to different classes of NNRTIs. Design of NNRTIs that make favorable interactions with the Asn103 side-chain should be relatively effective against the Lys103Asn drug-resistant mutant.","container-title":"Journal of Molecular Biology","DOI":"10.1006/jmbi.2001.4648","ISSN":"0022-2836","issue":"2","journalAbbreviation":"Journal of Molecular Biology","page":"437-445","source":"ScienceDirect","title":"The Lys103Asn mutation of HIV-1 RT: a novel mechanism of drug resistance","title-short":"The Lys103Asn mutation of HIV-1 RT","volume":"309","author":[{"family":"Hsiou","given":"Yu"},{"family":"Ding","given":"Jianping"},{"family":"Das","given":"Kalyan"},{"family":"Clark","given":"Arthur D"},{"family":"Boyer","given":"Paul L"},{"family":"Lewi","given":"Paul"},{"family":"Janssen","given":"Paul A. J"},{"family":"Kleim","given":"Jörg-Peter"},{"family":"Rösner","given":"Manfred"},{"family":"Hughes","given":"Stephen H"},{"family":"Arnold","given":"Edward"}],"issued":{"date-parts":[["2001",6,1]]}}}],"schema":"https://github.com/citation-style-language/schema/raw/master/csl-citation.json"} </w:instrText>
      </w:r>
      <w:r>
        <w:fldChar w:fldCharType="separate"/>
      </w:r>
      <w:r>
        <w:rPr>
          <w:vertAlign w:val="superscript"/>
        </w:rPr>
        <w:t>9</w:t>
      </w:r>
      <w:r>
        <w:fldChar w:fldCharType="end"/>
      </w:r>
      <w:r>
        <w:t xml:space="preserve"> Y181C removes critical aromatic ring stacking interactions between Nevirapine (NVP)/Delavirdine (DLV) and the NNIBP.</w:t>
      </w:r>
      <w:r>
        <w:fldChar w:fldCharType="begin"/>
      </w:r>
      <w:r>
        <w:instrText xml:space="preserve"> ADDIN ZOTERO_ITEM CSL_CITATION {"citationID":"GcfR1wOu","properties":{"unsorted":false,"formattedCitation":"\\super 10,11\\nosupersub{}","plainCitation":"10,11","noteIndex":0},"citationItems":[{"id":69,"uris":["http://zotero.org/users/19404620/items/TX3QRYY7"],"itemData":{"id":69,"type":"article-journal","abstract":"Non-nucleoside reverse transcriptase inhibitors (NNRTIs) are a mainstay of therapy for human immunodeficiency type 1 virus (HIV-1) infections. However, their effectiveness can be hampered by the emergence of resistant mutations. To aid in designing effective NNRTIs against the resistant mutants, it is important to understand the resistance mechanism of the mutations. Here, we investigate the mechanism of the two most prevalent NNRTI-associated mutations with K103N or Y181C substitution. Virus and reverse transcriptase (RT) with K103N/Y188F, K103A, or K103E substitutions and with Y181F, Y188F, or Y181F/Y188F substitutions were employed to study the resistance mechanism of the K103N and Y181C mutants, respectively. Results showed that the virus and RT with K103N/Y188F substitutions displayed similar resistance levels to the virus and RT with K103N substitution versus NNRTIs. Virus and RT containing Y181F, Y188F, or Y181F/Y188F substitution exhibited either enhanced or similar susceptibility to NNRTIs compared with the wild type (WT) virus. These results suggest that the hydrogen bond between N103 and Y188 may not play an important role in the resistance of the K103N variant to NNRTIs. Furthermore, the results from the studies with the Y181 or Y188 variant provide the direct evidence that aromatic π–π stacking plays a crucial role in the binding of NNRTIs to RT.","container-title":"Viruses","DOI":"10.3390/v8100263","ISSN":"1999-4915","issue":"10","language":"en","license":"http://creativecommons.org/licenses/by/3.0/","page":"263","publisher":"Multidisciplinary Digital Publishing Institute","source":"www.mdpi.com","title":"Mechanistic Study of Common Non-Nucleoside Reverse Transcriptase Inhibitor-Resistant Mutations with K103N and Y181C Substitutions","volume":"8","author":[{"family":"Lai","given":"Ming-Tain"},{"family":"Munshi","given":"Vandna"},{"family":"Lu","given":"Meiqing"},{"family":"Feng","given":"MeiZhen"},{"family":"Hrin-Solt","given":"Renee"},{"family":"McKenna","given":"Philip M."},{"family":"Hazuda","given":"Daria J."},{"family":"Miller","given":"Michael D."}],"issued":{"date-parts":[["2016",10]]}}},{"id":71,"uris":["http://zotero.org/users/19404620/items/G2IGZ3Y4"],"itemData":{"id":71,"type":"article-journal","abstract":"Mutations at either Tyr181 or Tyr188 within HIV-1 reverse transcriptase (RT) give high level resistance to many first generation non-nucleoside inhibitors (NNRTIs) such as the anti-AIDS drug nevirapine. By comparison second generation inhibitors, for instance the drug efavirenz, show much greater resilience to these mutations. In order to understand the structural basis for these differences we have determined a series of seven crystal structures of mutant RTs in complexes with first and second generation NNRTIs as well as one example of an unliganded mutant RT. These are Tyr181Cys RT (TNK-651) to 2.4 Å, Tyr181Cys RT (efavirenz) to 2.6 Å, Tyr181Cys RT (nevirapine) to 3.0 Å, Tyr181Cys RT (PETT-2) to 3.0 Å, Tyr188Cys RT (nevirapine) to 2.6 Å, Tyr188Cys RT (UC-781) to 2.6 Å and Tyr188Cys RT (unliganded) to 2.8 Å resolution. In the two previously published structures of HIV-1 reverse transcriptase with mutations at 181 or 188 no side-chain electron density was observed within the p66 subunit (which contains the inhibitor binding pocket) for the mutated residues. In contrast the mutated side-chains can be seen in the NNRTI pocket for all seven structures reported here, eliminating the possibility that disordering contributes to the mechanism of resistance. In the case of the second generation compounds efavirenz with Tyr181Cys RT and UC-781 with Tyr188Cys RT there are only small rearrangements of either inhibitor within the binding site compared to wild-type RT and also for the first generation compounds TNK-651, PETT-2 and nevirapine with Tyr181Cys RT. For nevirapine with the Tyr188Cys RT there is however a more substantial movement of the drug molecule. We conclude that protein conformational changes and rearrangements of drug molecules within the mutated sites are not general features of these particular inhibitor/mutant combinations. The main contribution to drug resistance for Tyr181Cys and Tyr188Cys RT mutations is the loss of aromatic ring stacking interactions for first generation compounds, providing a simple explanation for the resilience of second generation NNRTIs, as such interactions make much less significant contribution to their binding.","container-title":"Journal of Molecular Biology","DOI":"10.1006/jmbi.2001.4988","ISSN":"0022-2836","issue":"4","journalAbbreviation":"Journal of Molecular Biology","page":"795-805","source":"ScienceDirect","title":"Structural mechanisms of drug resistance for mutations at codons 181 and 188 in HIV-1 reverse transcriptase and the improved resilience of second generation non-nucleoside inhibitors1","volume":"312","author":[{"family":"Ren","given":"J"},{"family":"Nichols","given":"C"},{"family":"Bird","given":"L"},{"family":"Chamberlain","given":"P"},{"family":"Weaver","given":"K"},{"family":"Short","given":"S"},{"family":"Stuart","given":"D. I"},{"family":"Stammers","given":"D. K"}],"issued":{"date-parts":[["2001",9,28]]}}}],"schema":"https://github.com/citation-style-language/schema/raw/master/csl-citation.json"} </w:instrText>
      </w:r>
      <w:r>
        <w:fldChar w:fldCharType="separate"/>
      </w:r>
      <w:r>
        <w:rPr>
          <w:vertAlign w:val="superscript"/>
        </w:rPr>
        <w:t>10,11</w:t>
      </w:r>
      <w:r>
        <w:fldChar w:fldCharType="end"/>
      </w:r>
      <w:r>
        <w:t xml:space="preserve"> G190A adds a bulge in a compact binding region, causing steric conflict with HBY097.</w:t>
      </w:r>
      <w:r>
        <w:fldChar w:fldCharType="begin"/>
      </w:r>
      <w:r>
        <w:instrText xml:space="preserve"> ADDIN ZOTERO_ITEM CSL_CITATION {"citationID":"TNU6oekF","properties":{"unsorted":false,"formattedCitation":"\\super 6\\nosupersub{}","plainCitation":"6","noteIndex":0},"citationItems":[{"id":62,"uris":["http://zotero.org/users/19404620/items/AEMYHYHK"],"itemData":{"id":62,"type":"article-journal","abstract":"HIV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fldChar w:fldCharType="separate"/>
      </w:r>
      <w:r>
        <w:rPr>
          <w:vertAlign w:val="superscript"/>
        </w:rPr>
        <w:t>6</w:t>
      </w:r>
      <w:r>
        <w:fldChar w:fldCharType="end"/>
      </w:r>
      <w:r>
        <w:t xml:space="preserve"> The second generation NNRTIs, Etravirine (ETR) and Rilpivirine (RPV), counteract such common NNRTI resistance mutations by introducing positional and conformational flexibility.</w:t>
      </w:r>
      <w:r>
        <w:fldChar w:fldCharType="begin"/>
      </w:r>
      <w:r>
        <w:instrText xml:space="preserve"> ADDIN ZOTERO_ITEM CSL_CITATION {"citationID":"xp7Ub5B9","properties":{"unsorted":false,"formattedCitation":"\\super 12,13\\nosupersub{}","plainCitation":"12,13","noteIndex":0},"citationItems":[{"id":51,"uris":["http://zotero.org/users/19404620/items/KKL35H8K"],"itemData":{"id":51,"type":"article-journal","abstract":"Anti-AIDS drug candidate and non-nucleoside reverse transcriptase inhibitor (NNRTI) TMC125-R165335 (etravirine) caused an initial drop in viral load similar to that observed with a five-drug combination in naïve patients and retains potency in patients infected with NNRTI-resistant HIV-1 variants. TMC125-R165335 and related anti-AIDS drug candidates can bind the enzyme RT in multiple conformations and thereby escape the effects of drug-resistance mutations. Structural studies showed that this inhibitor and other diarylpyrimidine (DAPY) analogues can adapt to changes in the NNRTI-binding pocket in several ways:  (1) DAPY analogues can bind in at least two conformationally distinct modes; (2) within a given binding mode, torsional flexibility (“wiggling”) of DAPY analogues permits access to numerous conformational variants; and (3) the compact design of the DAPY analogues permits significant repositioning and reorientation (translation and rotation) within the pocket (“jiggling”). Such adaptations appear to be critical for potency against wild-type and a wide range of drug-resistant mutant HIV-1 RTs. Exploitation of favorable components of inhibitor conformational flexibility (such as torsional flexibility about strategically located chemical bonds) can be a powerful drug design concept, especially for designing drugs that will be effective against rapidly mutating targets.","container-title":"Journal of Medicinal Chemistry","DOI":"10.1021/jm030558s","ISSN":"0022-2623","issue":"10","journalAbbreviation":"J. Med. Chem.","page":"2550-2560","publisher":"American Chemical Society","source":"ACS Publications","title":"Roles of Conformational and Positional Adaptability in Structure-Based Design of TMC125-R165335 (Etravirine) and Related Non-nucleoside Reverse Transcriptase Inhibitors That Are Highly Potent and Effective against Wild-Type and Drug-Resistant HIV-1 Variants","volume":"47","author":[{"family":"Das","given":"Kalyan"},{"family":"Clark","given":"","suffix":"Arthur D."},{"family":"Lewi","given":"Paul J."},{"family":"Heeres","given":"Jan"},{"family":"Jonge","given":"Marc R.","non-dropping-particle":"de"},{"family":"Koymans","given":"Lucien M. H."},{"family":"Vinkers","given":"H. Maarten"},{"family":"Daeyaert","given":"Frederik"},{"family":"Ludovici","given":"Donald W."},{"family":"Kukla","given":"Michael J."},{"family":"De Corte","given":"Bart"},{"family":"Kavash","given":"Robert W."},{"family":"Ho","given":"Chih Y."},{"family":"Ye","given":"Hong"},{"family":"Lichtenstein","given":"Mark. A."},{"family":"Andries","given":"Koen"},{"family":"Pauwels","given":"Rudi"},{"family":"Béthune","given":"Marie-Pierre","non-dropping-particle":"de"},{"family":"Boyer","given":"Paul L."},{"family":"Clark","given":"Patrick"},{"family":"Hughes","given":"Stephen H."},{"family":"Janssen","given":"Paul A. J."},{"family":"Arnold","given":"Eddy"}],"issued":{"date-parts":[["2004",5,1]]}}},{"id":129,"uris":["http://zotero.org/users/19404620/items/SLGF6I4Z"],"itemData":{"id":129,"type":"article-journal","abstract":"TMC278 is a diarylpyrimidine (DAPY) nonnucleoside reverse transcriptase inhibitor (NNRTI) that is highly effective in treating wild-type and drug-resistant HIV-1 infections in clinical trials at relatively low doses (∼25–75 mg/day). We have determined the structure of wild-type HIV-1 RT complexed with TMC278 at 1.8 Å resolution, using an RT crystal form engineered by systematic RT mutagenesis. This high-resolution structure reveals that the cyanovinyl group of TMC278 is positioned in a hydrophobic tunnel connecting the NNRTI-binding pocket to the nucleic acid-binding cleft. The crystal structures of TMC278 in complexes with the double mutant K103N/Y181C (2.1 Å) and L100I/K103N HIV-1 RTs (2.9 Å) demonstrated that TMC278 adapts to bind mutant RTs. In the K103N/Y181C RT/TMC278 structure, loss of the aromatic ring interaction caused by the Y181C mutation is counterbalanced by interactions between the cyanovinyl group of TMC278 and the aromatic side chain of Y183, which is facilitated by an ∼1.5 Å shift of the conserved Y183MDD motif. In the L100I/K103N RT/TMC278 structure, the binding mode of TMC278 is significantly altered so that the drug conforms to changes in the binding pocket primarily caused by the L100I mutation. The flexible binding pocket acts as a molecular “shrink wrap” that makes a shape complementary to the optimized TMC278 in wild-type and drug-resistant forms of HIV-1 RT. The crystal structures provide a better understanding of how the flexibility of an inhibitor can compensate for drug-resistance mutations.","container-title":"Proceedings of the National Academy of Sciences","DOI":"10.1073/pnas.0711209105","issue":"5","page":"1466-1471","publisher":"Proceedings of the National Academy of Sciences","source":"www-pnas-org.stanford.idm.oclc.org (Atypon)","title":"High-resolution structures of HIV-1 reverse transcriptase/TMC278 complexes: Strategic flexibility explains potency against resistance mutations","title-short":"High-resolution structures of HIV-1 reverse transcriptase/TMC278 complexes","volume":"105","author":[{"family":"Das","given":"Kalyan"},{"family":"Bauman","given":"Joseph D."},{"family":"Clark","given":"Arthur D."},{"family":"Frenkel","given":"Yulia V."},{"family":"Lewi","given":"Paul J."},{"family":"Shatkin","given":"Aaron J."},{"family":"Hughes","given":"Stephen H."},{"family":"Arnold","given":"Eddy"}],"issued":{"date-parts":[["2008",2,5]]}}}],"schema":"https://github.com/citation-style-language/schema/raw/master/csl-citation.json"} </w:instrText>
      </w:r>
      <w:r>
        <w:fldChar w:fldCharType="separate"/>
      </w:r>
      <w:r>
        <w:rPr>
          <w:vertAlign w:val="superscript"/>
        </w:rPr>
        <w:t>12,13</w:t>
      </w:r>
      <w:r>
        <w:fldChar w:fldCharType="end"/>
      </w:r>
      <w:r>
        <w:t xml:space="preserve"> The flexible structures of ETR and RPV allow them to rotate within the NNIBP, permitting multiple interactions with NNIBP residues even in the presence of NNRTI mutations and thereby allowing them to retain activity against certain mutant viruses.</w:t>
      </w:r>
      <w:r>
        <w:fldChar w:fldCharType="begin"/>
      </w:r>
      <w:r>
        <w:instrText xml:space="preserve"> ADDIN ZOTERO_ITEM CSL_CITATION {"citationID":"7lH4tafa","properties":{"unsorted":false,"formattedCitation":"\\super 6\\nosupersub{}","plainCitation":"6","noteIndex":0},"citationItems":[{"id":62,"uris":["http://zotero.org/users/19404620/items/AEMYHYHK"],"itemData":{"id":62,"type":"article-journal","abstract":"HIV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fldChar w:fldCharType="separate"/>
      </w:r>
      <w:r>
        <w:rPr>
          <w:vertAlign w:val="superscript"/>
        </w:rPr>
        <w:t>6</w:t>
      </w:r>
      <w:r>
        <w:fldChar w:fldCharType="end"/>
      </w:r>
      <w:r>
        <w:t xml:space="preserve"> </w:t>
      </w:r>
    </w:p>
    <w:p w14:paraId="44745DC4" w14:textId="77777777" w:rsidR="00C96A03" w:rsidRPr="00E536AD" w:rsidRDefault="00F6395D" w:rsidP="00C96A03">
      <w:pPr>
        <w:pStyle w:val="TAMainText"/>
        <w:spacing w:after="240"/>
        <w:rPr>
          <w:rFonts w:ascii="Times New Roman" w:hAnsi="Times New Roman"/>
          <w:szCs w:val="24"/>
        </w:rPr>
      </w:pPr>
      <w:r>
        <w:t xml:space="preserve">Doravirine (DOR) was designed by introducing cyclic constraints in a novel class of </w:t>
      </w:r>
      <w:proofErr w:type="spellStart"/>
      <w:r>
        <w:t>diaryl</w:t>
      </w:r>
      <w:proofErr w:type="spellEnd"/>
      <w:r>
        <w:t xml:space="preserve"> ether NNRTIs.</w:t>
      </w:r>
      <w:r>
        <w:fldChar w:fldCharType="begin"/>
      </w:r>
      <w:r>
        <w:instrText xml:space="preserve"> ADDIN ZOTERO_ITEM CSL_CITATION {"citationID":"69f3xLDY","properties":{"unsorted":false,"formattedCitation":"\\super 14\\nosupersub{}","plainCitation":"14","noteIndex":0},"citationItems":[{"id":137,"uris":["http://zotero.org/users/19404620/items/RH8X5FM6"],"itemData":{"id":137,"type":"article-journal","abstract":"The optimization of a novel series of non-nucleoside reverse transcriptase inhibitors (NNRTI) led to the identification of pyridone 36. In cell cultures, this new NNRTI shows a superior potency profile against a range of wild type and clinically relevant, resistant mutant HIV viruses. The overall favorable preclinical pharmacokinetic profile of 36 led to the prediction of a once daily low dose regimen in human. NNRTI 36, now known as MK-1439, is currently in clinical development for the treatment of HIV infection.","container-title":"Bioorganic &amp; Medicinal Chemistry Letters","DOI":"10.1016/j.bmcl.2013.12.070","ISSN":"0960-894X","issue":"3","journalAbbreviation":"Bioorganic &amp; Medicinal Chemistry Letters","page":"917-922","source":"ScienceDirect","title":"Discovery of MK-1439, an orally bioavailable non-nucleoside reverse transcriptase inhibitor potent against a wide range of resistant mutant HIV viruses","volume":"24","author":[{"family":"Côté","given":"Bernard"},{"family":"Burch","given":"Jason D."},{"family":"Asante-Appiah","given":"Ernest"},{"family":"Bayly","given":"Chris"},{"family":"Bédard","given":"Leanne"},{"family":"Blouin","given":"Marc"},{"family":"Campeau","given":"Louis-Charles"},{"family":"Cauchon","given":"Elizabeth"},{"family":"Chan","given":"Manuel"},{"family":"Chefson","given":"Amandine"},{"family":"Coulombe","given":"Nathalie"},{"family":"Cromlish","given":"Wanda"},{"family":"Debnath","given":"Smita"},{"family":"Deschênes","given":"Denis"},{"family":"Dupont-Gaudet","given":"Kristina"},{"family":"Falgueyret","given":"Jean-Pierre"},{"family":"Forget","given":"Robert"},{"family":"Gagné","given":"Sébastien"},{"family":"Gauvreau","given":"Danny"},{"family":"Girardin","given":"Melina"},{"family":"Guiral","given":"Sébastien"},{"family":"Langlois","given":"Eric"},{"family":"Li","given":"Chun Sing"},{"family":"Nguyen","given":"Natalie"},{"family":"Papp","given":"Rob"},{"family":"Plamondon","given":"Serge"},{"family":"Roy","given":"Amélie"},{"family":"Roy","given":"Stéphanie"},{"family":"Seliniotakis","given":"Ria"},{"family":"St-Onge","given":"Miguel"},{"family":"Ouellet","given":"Stéphane"},{"family":"Tawa","given":"Paul"},{"family":"Truchon","given":"Jean-François"},{"family":"Vacca","given":"Joe"},{"family":"Wrona","given":"Marc"},{"family":"Yan","given":"Youwei"},{"family":"Ducharme","given":"Yves"}],"issued":{"date-parts":[["2014",2,1]]}}}],"schema":"https://github.com/citation-style-language/schema/raw/master/csl-citation.json"} </w:instrText>
      </w:r>
      <w:r>
        <w:fldChar w:fldCharType="separate"/>
      </w:r>
      <w:r>
        <w:rPr>
          <w:vertAlign w:val="superscript"/>
        </w:rPr>
        <w:t>14</w:t>
      </w:r>
      <w:r>
        <w:fldChar w:fldCharType="end"/>
      </w:r>
      <w:r>
        <w:t xml:space="preserve"> DOR makes a unique H-bond with the backbone of Lys103, so that the precise identity of residue 103 is immaterial to successful binding (Figure 1B). Similarly, the Tyr181 side chain is </w:t>
      </w:r>
      <w:r>
        <w:lastRenderedPageBreak/>
        <w:t>rotated by 90° away from Tyr188 when compared to EFV, ETR, and RPV X-ray structures,</w:t>
      </w:r>
      <w:r>
        <w:fldChar w:fldCharType="begin"/>
      </w:r>
      <w:r>
        <w:instrText xml:space="preserve"> ADDIN ZOTERO_ITEM CSL_CITATION {"citationID":"7rUOIutJ","properties":{"unsorted":false,"formattedCitation":"\\super 15\\nosupersub{}","plainCitation":"15","noteIndex":0},"citationItems":[{"id":109,"uris":["http://zotero.org/users/19404620/items/NZIBLVPF"],"itemData":{"id":109,"type":"article-journal","abstract":"Since the approval of nevirapine, the first HIV-1 non-nucleoside reverse transcriptase inhibitor (NNRTI) in 1996, NNRTIs have helped play a critical role in maintaining viral suppression in people living with HIV. The many positive attributes of the class, including potency and long plasma half-life, make them attractive drug discovery targets. Given the availability of multiple once-daily integrase-based treatments for HIV-1 infection, the challenge to develop a new antiretroviral agent that addresses the needs of today’s patients is formidable. However, with the increased availability of antiretrovirals for treatment and new pre-exposure prophylaxis guidelines, which should globally expand the use of antiretrovirals in prevention, it will be increasingly important to have access to multiple regimens with options from different classes that are well tolerated and convenient to ensure a sustained impact on the global epidemic. Many attempts to improve upon the NNRTI class have failed to deliver a desirable clinical profile consistent with the current landscape of treatment options. Doravirine is the only NNRTI to successfully advance through phase 3 clinical development and approval in recent years. Learning from the liabilities of approved NNRTIs, as well as past development failures, facilitated a rational approach to the discovery of doravirine by focusing on addressing the known safety/tolerability issues of commonly prescribed NNRTIs, such as central nervous system toxicity with efavirenz and potential cardiotoxicity due to off-target effects on cardiac ion channels with rilpivirine, using structural biology and characterization of resistance in vitro to address resistance liabilities and concentrating on the metabolic profile to limit the potential for drug–drug interactions. These preclinical efforts were critical to the design and selection of doravirine as a novel NNRTI that possessed the desired next-generation profile with the ultimate proof that these attributes translate to patients derived from clinical trials.","container-title":"ACS Infectious Diseases","DOI":"10.1021/acsinfecdis.9b00178","issue":"1","journalAbbreviation":"ACS Infect. Dis.","page":"64-73","publisher":"American Chemical Society","source":"ACS Publications","title":"Rational Design of Doravirine: From Bench to Patients","title-short":"Rational Design of Doravirine","volume":"6","author":[{"family":"Hwang","given":"Carey"},{"family":"Lai","given":"Ming-Tain"},{"family":"Hazuda","given":"Daria"}],"issued":{"date-parts":[["2020",1,10]]}}}],"schema":"https://github.com/citation-style-language/schema/raw/master/csl-citation.json"} </w:instrText>
      </w:r>
      <w:r>
        <w:fldChar w:fldCharType="separate"/>
      </w:r>
      <w:r>
        <w:rPr>
          <w:vertAlign w:val="superscript"/>
        </w:rPr>
        <w:t>15</w:t>
      </w:r>
      <w:r>
        <w:fldChar w:fldCharType="end"/>
      </w:r>
      <w:r>
        <w:t xml:space="preserve"> so that Tyr188 alone stacks with the chlorocyanophenyl ring of DOR while the Tyr181 ring is turned away from the drug.</w:t>
      </w:r>
      <w:r>
        <w:fldChar w:fldCharType="begin"/>
      </w:r>
      <w:r>
        <w:instrText xml:space="preserve"> ADDIN ZOTERO_ITEM CSL_CITATION {"citationID":"vpA8WoIz","properties":{"unsorted":false,"formattedCitation":"\\super 14,16\\nosupersub{}","plainCitation":"14,16","noteIndex":0},"citationItems":[{"id":137,"uris":["http://zotero.org/users/19404620/items/RH8X5FM6"],"itemData":{"id":137,"type":"article-journal","abstract":"The optimization of a novel series of non-nucleoside reverse transcriptase inhibitors (NNRTI) led to the identification of pyridone 36. In cell cultures, this new NNRTI shows a superior potency profile against a range of wild type and clinically relevant, resistant mutant HIV viruses. The overall favorable preclinical pharmacokinetic profile of 36 led to the prediction of a once daily low dose regimen in human. NNRTI 36, now known as MK-1439, is currently in clinical development for the treatment of HIV infection.","container-title":"Bioorganic &amp; Medicinal Chemistry Letters","DOI":"10.1016/j.bmcl.2013.12.070","ISSN":"0960-894X","issue":"3","journalAbbreviation":"Bioorganic &amp; Medicinal Chemistry Letters","page":"917-922","source":"ScienceDirect","title":"Discovery of MK-1439, an orally bioavailable non-nucleoside reverse transcriptase inhibitor potent against a wide range of resistant mutant HIV viruses","volume":"24","author":[{"family":"C</w:instrText>
      </w:r>
      <w:r>
        <w:rPr>
          <w:rFonts w:hint="eastAsia"/>
        </w:rPr>
        <w:instrText>ô</w:instrText>
      </w:r>
      <w:r>
        <w:instrText>t</w:instrText>
      </w:r>
      <w:r>
        <w:rPr>
          <w:rFonts w:hint="eastAsia"/>
        </w:rPr>
        <w:instrText>é</w:instrText>
      </w:r>
      <w:r>
        <w:instrText>","given":"Bernard"},{"family":"Burch","given":"Jason D."},{"family":"Asante-Appiah","given":"Ernest"},{"family":"Bayly","given":"Chris"},{"family":"B</w:instrText>
      </w:r>
      <w:r>
        <w:rPr>
          <w:rFonts w:hint="eastAsia"/>
        </w:rPr>
        <w:instrText>é</w:instrText>
      </w:r>
      <w:r>
        <w:instrText>dard","given":"Leanne"},{"family":"Blouin","given":"Marc"},{"family":"Campeau","given":"Louis-Charles"},{"family":"Cauchon","given":"Elizabeth"},{"family":"Chan","given":"Manuel"},{"family":"Chefson","given":"Amandine"},{"family":"Coulombe","given":"Nathalie"},{"family":"Cromlish","given":"Wanda"},{"family":"Debnath","given":"Smita"},{"family":"Desch</w:instrText>
      </w:r>
      <w:r>
        <w:rPr>
          <w:rFonts w:hint="eastAsia"/>
        </w:rPr>
        <w:instrText>ê</w:instrText>
      </w:r>
      <w:r>
        <w:instrText>nes","given":"Denis"},{"family":"Dupont-Gaudet","given":"Kristina"},{"family":"Falgueyret","given":"Jean-Pierre"},{"family":"Forget","given":"Robert"},{"family":"Gagn</w:instrText>
      </w:r>
      <w:r>
        <w:rPr>
          <w:rFonts w:hint="eastAsia"/>
        </w:rPr>
        <w:instrText>é</w:instrText>
      </w:r>
      <w:r>
        <w:instrText>","given":"S</w:instrText>
      </w:r>
      <w:r>
        <w:rPr>
          <w:rFonts w:hint="eastAsia"/>
        </w:rPr>
        <w:instrText>é</w:instrText>
      </w:r>
      <w:r>
        <w:instrText>bastien"},{"family":"Gauvreau","given":"Danny"},{"family":"Girardin","given":"Melina"},{"family":"Guiral","given":"S</w:instrText>
      </w:r>
      <w:r>
        <w:rPr>
          <w:rFonts w:hint="eastAsia"/>
        </w:rPr>
        <w:instrText>é</w:instrText>
      </w:r>
      <w:r>
        <w:instrText>bastien"},{"family":"Langlois","given":"Eric"},{"family":"Li","given":"Chun Sing"},{"family":"Nguyen","given":"Natalie"},{"family":"Papp","given":"Rob"},{"family":"Plamondon","given":"Serge"},{"family":"Roy","given":"Am</w:instrText>
      </w:r>
      <w:r>
        <w:rPr>
          <w:rFonts w:hint="eastAsia"/>
        </w:rPr>
        <w:instrText>é</w:instrText>
      </w:r>
      <w:r>
        <w:instrText>lie"},{"family":"Roy","given":"St</w:instrText>
      </w:r>
      <w:r>
        <w:rPr>
          <w:rFonts w:hint="eastAsia"/>
        </w:rPr>
        <w:instrText>é</w:instrText>
      </w:r>
      <w:r>
        <w:instrText>phanie"},{"family":"Seliniotakis","given":"Ria"},{"family":"St-Onge","given":"Miguel"},{"family":"Ouellet","given":"St</w:instrText>
      </w:r>
      <w:r>
        <w:rPr>
          <w:rFonts w:hint="eastAsia"/>
        </w:rPr>
        <w:instrText>é</w:instrText>
      </w:r>
      <w:r>
        <w:instrText>phane"},{"family":"Tawa","given":"Paul"},{"family":"Truchon","given":"Jean-Fran</w:instrText>
      </w:r>
      <w:r>
        <w:rPr>
          <w:rFonts w:hint="eastAsia"/>
        </w:rPr>
        <w:instrText>ç</w:instrText>
      </w:r>
      <w:r>
        <w:instrText>ois"},{"family":"Vacca","given":"Joe"},{"family":"Wrona","given":"Marc"},{"family":"Yan","given":"Youwei"},{"family":"Ducharme","given":"Yves"}],"issued":{"date-parts":[["2014",2,1]]}}},{"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w:instrText>
      </w:r>
      <w:r>
        <w:rPr>
          <w:rFonts w:hint="eastAsia"/>
        </w:rPr>
        <w:instrText>×</w:instrText>
      </w:r>
      <w:r>
        <w:instrText xml:space="preserve"> EC95) to 1,000</w:instrText>
      </w:r>
      <w:r>
        <w:rPr>
          <w:rFonts w:hint="eastAsia"/>
        </w:rPr>
        <w:instrText>×</w:instrText>
      </w:r>
      <w:r>
        <w:instrText xml:space="preserve">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D."},{"family":"Lai","given":"Ming-Tain"}],"issued":{"date-parts":[["2015",1]]}}}],"schema":"https://github.com/citation-style-language/schema/raw/master/csl-citation.json"} </w:instrText>
      </w:r>
      <w:r>
        <w:fldChar w:fldCharType="separate"/>
      </w:r>
      <w:r>
        <w:rPr>
          <w:vertAlign w:val="superscript"/>
        </w:rPr>
        <w:t>14,16</w:t>
      </w:r>
      <w:r>
        <w:fldChar w:fldCharType="end"/>
      </w:r>
      <w:r>
        <w:t xml:space="preserve"> In complexes with other NNRTIs, both </w:t>
      </w:r>
      <w:proofErr w:type="spellStart"/>
      <w:r>
        <w:t>tyrosines</w:t>
      </w:r>
      <w:proofErr w:type="spellEnd"/>
      <w:r>
        <w:t xml:space="preserve"> stack with the inhibitor, and Y181C and Y188L are thought to confer resistance by removing that stacking.</w:t>
      </w:r>
      <w:r>
        <w:fldChar w:fldCharType="begin"/>
      </w:r>
      <w:r>
        <w:instrText xml:space="preserve"> ADDIN ZOTERO_ITEM CSL_CITATION {"citationID":"ehZtI3rq","properties":{"unsorted":false,"formattedCitation":"\\super 10,11\\nosupersub{}","plainCitation":"10,11","noteIndex":0},"citationItems":[{"id":69,"uris":["http://zotero.org/users/19404620/items/TX3QRYY7"],"itemData":{"id":69,"type":"article-journal","abstract":"Non-nucleoside reverse transcriptase inhibitors (NNRTIs) are a mainstay of therapy for human immunodeficiency type 1 virus (HIV-1) infections. However, their effectiveness can be hampered by the emergence of resistant mutations. To aid in designing effective NNRTIs against the resistant mutants, it is important to understand the resistance mechanism of the mutations. Here, we investigate the mechanism of the two most prevalent NNRTI-associated mutations with K103N or Y181C substitution. Virus and reverse transcriptase (RT) with K103N/Y188F, K103A, or K103E substitutions and with Y181F, Y188F, or Y181F/Y188F substitutions were employed to study the resistance mechanism of the K103N and Y181C mutants, respectively. Results showed that the virus and RT with K103N/Y188F substitutions displayed similar resistance levels to the virus and RT with K103N substitution versus NNRTIs. Virus and RT containing Y181F, Y188F, or Y181F/Y188F substitution exhibited either enhanced or similar susceptibility to NNRTIs compared with the wild type (WT) virus. These results suggest that the hydrogen bond between N103 and Y188 may not play an important role in the resistance of the K103N variant to NNRTIs. Furthermore, the results from the studies with the Y181 or Y188 variant provide the direct evidence that aromatic π–π stacking plays a crucial role in the binding of NNRTIs to RT.","container-title":"Viruses","DOI":"10.3390/v8100263","ISSN":"1999-4915","issue":"10","language":"en","license":"http://creativecommons.org/licenses/by/3.0/","page":"263","publisher":"Multidisciplinary Digital Publishing Institute","source":"www.mdpi.com","title":"Mechanistic Study of Common Non-Nucleoside Reverse Transcriptase Inhibitor-Resistant Mutations with K103N and Y181C Substitutions","volume":"8","author":[{"family":"Lai","given":"Ming-Tain"},{"family":"Munshi","given":"Vandna"},{"family":"Lu","given":"Meiqing"},{"family":"Feng","given":"MeiZhen"},{"family":"Hrin-Solt","given":"Renee"},{"family":"McKenna","given":"Philip M."},{"family":"Hazuda","given":"Daria J."},{"family":"Miller","given":"Michael D."}],"issued":{"date-parts":[["2016",10]]}}},{"id":71,"uris":["http://zotero.org/users/19404620/items/G2IGZ3Y4"],"itemData":{"id":71,"type":"article-journal","abstract":"Mutations at either Tyr181 or Tyr188 within HIV-1 reverse transcriptase (RT) give high level resistance to many first generation non-nucleoside inhibitors (NNRTIs) such as the anti-AIDS drug nevirapine. By comparison second generation inhibitors, for instance the drug efavirenz, show much greater resilience to these mutations. In order to understand the structural basis for these differences we have determined a series of seven crystal structures of mutant RTs in complexes with first and second generation NNRTIs as well as one example of an unliganded mutant RT. These are Tyr181Cys RT (TNK-651) to 2.4 Å, Tyr181Cys RT (efavirenz) to 2.6 Å, Tyr181Cys RT (nevirapine) to 3.0 Å, Tyr181Cys RT (PETT-2) to 3.0 Å, Tyr188Cys RT (nevirapine) to 2.6 Å, Tyr188Cys RT (UC-781) to 2.6 Å and Tyr188Cys RT (unliganded) to 2.8 Å resolution. In the two previously published structures of HIV-1 reverse transcriptase with mutations at 181 or 188 no side-chain electron density was observed within the p66 subunit (which contains the inhibitor binding pocket) for the mutated residues. In contrast the mutated side-chains can be seen in the NNRTI pocket for all seven structures reported here, eliminating the possibility that disordering contributes to the mechanism of resistance. In the case of the second generation compounds efavirenz with Tyr181Cys RT and UC-781 with Tyr188Cys RT there are only small rearrangements of either inhibitor within the binding site compared to wild-type RT and also for the first generation compounds TNK-651, PETT-2 and nevirapine with Tyr181Cys RT. For nevirapine with the Tyr188Cys RT there is however a more substantial movement of the drug molecule. We conclude that protein conformational changes and rearrangements of drug molecules within the mutated sites are not general features of these particular inhibitor/mutant combinations. The main contribution to drug resistance for Tyr181Cys and Tyr188Cys RT mutations is the loss of aromatic ring stacking interactions for first generation compounds, providing a simple explanation for the resilience of second generation NNRTIs, as such interactions make much less significant contribution to their binding.","container-title":"Journal of Molecular Biology","DOI":"10.1006/jmbi.2001.4988","ISSN":"0022-2836","issue":"4","journalAbbreviation":"Journal of Molecular Biology","page":"795-805","source":"ScienceDirect","title":"Structural mechanisms of drug resistance for mutations at codons 181 and 188 in HIV-1 reverse transcriptase and the improved resilience of second generation non-nucleoside inhibitors1","volume":"312","author":[{"family":"Ren","given":"J"},{"family":"Nichols","given":"C"},{"family":"Bird","given":"L"},{"family":"Chamberlain","given":"P"},{"family":"Weaver","given":"K"},{"family":"Short","given":"S"},{"family":"Stuart","given":"D. I"},{"family":"Stammers","given":"D. K"}],"issued":{"date-parts":[["2001",9,28]]}}}],"schema":"https://github.com/citation-style-language/schema/raw/master/csl-citation.json"} </w:instrText>
      </w:r>
      <w:r>
        <w:fldChar w:fldCharType="separate"/>
      </w:r>
      <w:r>
        <w:rPr>
          <w:vertAlign w:val="superscript"/>
        </w:rPr>
        <w:t>10,11</w:t>
      </w:r>
      <w:r>
        <w:fldChar w:fldCharType="end"/>
      </w:r>
      <w:r>
        <w:t xml:space="preserve"> As a result, binding of DOR is likely less dependent on Lys103 and Tyr181 and consequently has a superior profile against common resistance mutations at these sites. On the other hand, the central pyridinone moiety in DOR makes a hydrophobic bond with Val106, which is often mutated to alanine in viruses from patients with virological failure receiving DOR and which results in reduced DOR susceptibility.</w:t>
      </w:r>
      <w:r>
        <w:fldChar w:fldCharType="begin"/>
      </w:r>
      <w:r>
        <w:instrText xml:space="preserve"> ADDIN ZOTERO_ITEM CSL_CITATION {"citationID":"ibMX5gJQ","properties":{"unsorted":false,"formattedCitation":"\\super 16,17\\nosupersub{}","plainCitation":"16,17","noteIndex":0},"citationItems":[{"id":202,"uris":["http://zotero.org/users/19404620/items/4IJXPB4P"],"itemData":{"id":202,"type":"article-journal","abstract":"Nonnucleoside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w:instrText>
      </w:r>
      <w:r>
        <w:rPr>
          <w:rFonts w:hint="eastAsia"/>
        </w:rPr>
        <w:instrText>ô</w:instrText>
      </w:r>
      <w:r>
        <w:instrText>t</w:instrText>
      </w:r>
      <w:r>
        <w:rPr>
          <w:rFonts w:hint="eastAsia"/>
        </w:rPr>
        <w:instrText>é</w:instrText>
      </w:r>
      <w:r>
        <w:instrText>","given":"Bernard"},{"family":"Asante-Appiah","given":"Ernest"},{"family":"Hazuda","given":"Daria J."},{"family":"Miller","given":"Michael D."}],"issued":{"date-parts":[["2014",12]]}}},{"id":200,"uris":["http://zotero.org/users/19404620/items/3N7LAJL2"],"itemData":{"id":200,"type":"article-journal","abstract":"Doravirine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w:instrText>
      </w:r>
      <w:r>
        <w:rPr>
          <w:rFonts w:hint="eastAsia"/>
        </w:rPr>
        <w:instrText>×</w:instrText>
      </w:r>
      <w:r>
        <w:instrText xml:space="preserve"> EC95) to 1,000</w:instrText>
      </w:r>
      <w:r>
        <w:rPr>
          <w:rFonts w:hint="eastAsia"/>
        </w:rPr>
        <w:instrText>×</w:instrText>
      </w:r>
      <w:r>
        <w:instrText xml:space="preserve">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D."},{"family":"Lai","given":"Ming-Tain"}],"issued":{"date-parts":[["2015",1]]}}}],"schema":"https://github.com/citation-style-language/schema/raw/master/csl-citation.json"} </w:instrText>
      </w:r>
      <w:r>
        <w:fldChar w:fldCharType="separate"/>
      </w:r>
      <w:r>
        <w:rPr>
          <w:vertAlign w:val="superscript"/>
        </w:rPr>
        <w:t>16,17</w:t>
      </w:r>
      <w:r>
        <w:fldChar w:fldCharType="end"/>
      </w:r>
      <w:r>
        <w:t xml:space="preserve"> Similarly, combinations of V106A/I with F227C/L, L234I, and P225H cause &gt;100-fold reductions in susceptibility to DOR.</w:t>
      </w:r>
      <w:r>
        <w:fldChar w:fldCharType="begin"/>
      </w:r>
      <w:r>
        <w:instrText xml:space="preserve"> ADDIN ZOTERO_ITEM CSL_CITATION {"citationID":"BnzBg6iq","properties":{"unsorted":false,"formattedCitation":"\\super 18\\nosupersub{}","plainCitation":"18","noteIndex":0},"citationItems":[{"id":107,"uris":["http://zotero.org/users/19404620/items/MU4N386R"],"itemData":{"id":107,"type":"article-journal","abstract":"Doravirine has a unique resistance profile but how this profile might increase its usefulness beyond first-line therapy in persons with susceptible viruses has not been well studied. We sought to determine scenarios in which doravirine would retain activity against isolates from ART-naïve persons with transmitted drug resistance (TDR) and to identify gaps in available doravirine susceptibility data.","container-title":"AIDS Research and Therapy","DOI":"10.1186/s12981-023-00503-5","ISSN":"1742-6405","issue":"1","journalAbbreviation":"AIDS Res Ther","language":"en","page":"8","source":"Springer Link","title":"Potential role of doravirine for the treatment of HIV-1-infected persons with transmitted drug resistance","volume":"20","author":[{"family":"Rhee","given":"Soo-Yon"},{"family":"Schapiro","given":"Jonathan M."},{"family":"Saladini","given":"Francesco"},{"family":"Zazzi","given":"Maurizio"},{"family":"Khoo","given":"Saye"},{"family":"Shafer","given":"Robert W."}],"issued":{"date-parts":[["2023",2,7]]}}}],"schema":"https://github.com/citation-style-language/schema/raw/master/csl-citation.json"} </w:instrText>
      </w:r>
      <w:r>
        <w:fldChar w:fldCharType="separate"/>
      </w:r>
      <w:r>
        <w:rPr>
          <w:vertAlign w:val="superscript"/>
        </w:rPr>
        <w:t>18</w:t>
      </w:r>
      <w:r>
        <w:fldChar w:fldCharType="end"/>
      </w:r>
      <w:r>
        <w:t xml:space="preserve"> </w:t>
      </w:r>
    </w:p>
    <w:p w14:paraId="3F3DFE4C" w14:textId="1AD1216A" w:rsidR="00A3640F" w:rsidRPr="00E536AD" w:rsidRDefault="00C96A03" w:rsidP="004947E0">
      <w:pPr>
        <w:pStyle w:val="TAMainText"/>
        <w:rPr>
          <w:sz w:val="22"/>
          <w:szCs w:val="22"/>
        </w:rPr>
      </w:pPr>
      <w:r>
        <w:t>This unique resistance profile has allowed DOR to become an integral component of the standard of care in antiretroviral therapy (ART).</w:t>
      </w:r>
      <w:r>
        <w:fldChar w:fldCharType="begin"/>
      </w:r>
      <w:r>
        <w:instrText xml:space="preserve"> ADDIN ZOTERO_ITEM CSL_CITATION {"citationID":"u34mWdrt","properties":{"unsorted":false,"formattedCitation":"\\super 19\\uc0\\u8211{}22\\nosupersub{}","plainCitation":"19</w:instrText>
      </w:r>
      <w:r>
        <w:rPr>
          <w:rFonts w:hint="eastAsia"/>
        </w:rPr>
        <w:instrText>–</w:instrText>
      </w:r>
      <w:r>
        <w:instrText>22","noteIndex":0},"citationItems":[{"id":169,"uris":["http://zotero.org/users/19404620/items/S7WWFBWH"],"itemData":{"id":169,"type":"article-journal","abstract":"BackgroundDoravirine is a non-nucleoside reverse transcriptase inhibitor (NNRTI) showing high efficacy and tolerability in both na</w:instrText>
      </w:r>
      <w:r>
        <w:rPr>
          <w:rFonts w:hint="eastAsia"/>
        </w:rPr>
        <w:instrText>ï</w:instrText>
      </w:r>
      <w:r>
        <w:instrText>ve and experienced people living with HIV (PLWHIV) in randomized trials, but scarce data are available to date from the real-life experience.MethodsWe performed an observational, retrospective study of PLWHIV on suppressive antiretroviral therapy who switched to a daily single-tablet regimen containing doravirine 100</w:instrText>
      </w:r>
      <w:r>
        <w:rPr>
          <w:rFonts w:hint="eastAsia"/>
        </w:rPr>
        <w:instrText> </w:instrText>
      </w:r>
      <w:r>
        <w:instrText>mg, lamivudine 300</w:instrText>
      </w:r>
      <w:r>
        <w:rPr>
          <w:rFonts w:hint="eastAsia"/>
        </w:rPr>
        <w:instrText> </w:instrText>
      </w:r>
      <w:r>
        <w:instrText>mg, and tenofovir disoproxil fumarate 300</w:instrText>
      </w:r>
      <w:r>
        <w:rPr>
          <w:rFonts w:hint="eastAsia"/>
        </w:rPr>
        <w:instrText> </w:instrText>
      </w:r>
      <w:r>
        <w:instrText>mg.ResultsAs a whole, 62 suppressed patients (51 men, median age, 51.7</w:instrText>
      </w:r>
      <w:r>
        <w:rPr>
          <w:rFonts w:hint="eastAsia"/>
        </w:rPr>
        <w:instrText> </w:instrText>
      </w:r>
      <w:r>
        <w:instrText>years; median CD4 T+ lymphocyte count, 577</w:instrText>
      </w:r>
      <w:r>
        <w:rPr>
          <w:rFonts w:hint="eastAsia"/>
        </w:rPr>
        <w:instrText> </w:instrText>
      </w:r>
      <w:r>
        <w:instrText>cells/mm3) were enrolled. After 12</w:instrText>
      </w:r>
      <w:r>
        <w:rPr>
          <w:rFonts w:hint="eastAsia"/>
        </w:rPr>
        <w:instrText> </w:instrText>
      </w:r>
      <w:r>
        <w:instrText>months, 58 (93.5%) patients showed HIV RNA &lt;20</w:instrText>
      </w:r>
      <w:r>
        <w:rPr>
          <w:rFonts w:hint="eastAsia"/>
        </w:rPr>
        <w:instrText> </w:instrText>
      </w:r>
      <w:r>
        <w:instrText>copies/mL and reasons for treatment failure were virological failure in one case, missing data in one case, and adverse events in two cases. At month 12, a significant decrease in median serum level of triglycerides (median change −61.2</w:instrText>
      </w:r>
      <w:r>
        <w:rPr>
          <w:rFonts w:hint="eastAsia"/>
        </w:rPr>
        <w:instrText> </w:instrText>
      </w:r>
      <w:r>
        <w:instrText>mg/dL; p = .009) and total cholesterol (median change −38.4</w:instrText>
      </w:r>
      <w:r>
        <w:rPr>
          <w:rFonts w:hint="eastAsia"/>
        </w:rPr>
        <w:instrText> </w:instrText>
      </w:r>
      <w:r>
        <w:instrText>mg/dL; p = .021) was reported, while a not significant median weight increase was registered (+0.55</w:instrText>
      </w:r>
      <w:r>
        <w:rPr>
          <w:rFonts w:hint="eastAsia"/>
        </w:rPr>
        <w:instrText> </w:instrText>
      </w:r>
      <w:r>
        <w:instrText>kg).ConclusionsIn our study, simplification to a single-tablet regimen of doravirine/lamivudine/tenofovir disoproxil fumarate in virologically suppressed PLWHIV was effective and showed a good tolerability profile, in association with a significant improvement in serum lipid levels.","container-title":"International Journal of STD &amp; AIDS","DOI":"10.1177/09564624231195084","ISSN":"0956-4624","issue":"14","journalAbbreviation":"Int J STD AIDS","language":"EN","page":"1018-1023","publisher":"SAGE Publications","source":"SAGE Journals","title":"Doravirine/lamivudine/tenofovir disoproxil fumarate in virologically suppressed people living with HIV: A real-life experience","title-short":"Doravirine/lamivudine/tenofovir disoproxil fumarate in virologically suppressed people living with HIV","volume":"34","author":[{"family":"Calza","given":"Leonardo"},{"family":"Colangeli","given":"Vincenzo"},{"family":"Pensalfine","given":"Giulia"},{"family":"Appolloni","given":"Lucia"},{"family":"Vitale","given":"Salvatore"},{"family":"Bon","given":"Isabella"},{"family":"Viale","given":"Pierluigi"}],"issued":{"date-parts":[["2023",12,1]]}}},{"id":152,"uris":["http://zotero.org/users/19404620/items/HAG665NM"],"itemData":{"id":152,"type":"article-journal","container-title":"Microbiology Spectrum","DOI":"10.1128/spectrum.00654-24","issue":"8","page":"e00654-24","publisher":"American Society for Microbiology","source":"journals-asm-org.stanford.idm.oclc.org (Atypon)","title":"Long-term effectiveness, safety, and tolerability of doravirine in antiretroviral-experienced people with HIV in real life","volume":"12","author":[{"family":"Mej</w:instrText>
      </w:r>
      <w:r>
        <w:rPr>
          <w:rFonts w:hint="eastAsia"/>
        </w:rPr>
        <w:instrText>í</w:instrText>
      </w:r>
      <w:r>
        <w:instrText>as-Trueba","given":"Marta"},{"family":"Gutierrez-Valencia","given":"Alicia"},{"family":"Llaves-Flores","given":"Silvia"},{"family":"Roca-Oporto","given":"Cristina"},{"family":"Herrero","given":"Marta"},{"family":"Sotomayor de la Piedra","given":"C</w:instrText>
      </w:r>
      <w:r>
        <w:rPr>
          <w:rFonts w:hint="eastAsia"/>
        </w:rPr>
        <w:instrText>é</w:instrText>
      </w:r>
      <w:r>
        <w:instrText>sar"},{"family":"Lopez-Cortes","given":"Luis F."},{"family":"Espinosa","given":"Nuria"}],"issued":{"date-parts":[["2024",6,25]]}}},{"id":167,"uris":["http://zotero.org/users/19404620/items/TW4MGEKZ"],"itemData":{"id":167,"type":"article-journal","abstract":"Doravirine (DOR) has demonstrated good efficacy for the treatment of people with HIV (PWH); however, there is limited real-world research in developing countries. We retrospectively assessed the efficacy and safety of DOR/lamivudine (3TC)/tenofovir disoproxil fumarate (TDF) at 24 and 48 weeks in treatment-na</w:instrText>
      </w:r>
      <w:r>
        <w:rPr>
          <w:rFonts w:hint="eastAsia"/>
        </w:rPr>
        <w:instrText>ï</w:instrText>
      </w:r>
      <w:r>
        <w:instrText>ve and treatment-experienced PWH. A total of 83 PWH were included from January 1, 2022, to December 31, 2023. The median age was 40 years (32</w:instrText>
      </w:r>
      <w:r>
        <w:rPr>
          <w:rFonts w:hint="eastAsia"/>
        </w:rPr>
        <w:instrText>–</w:instrText>
      </w:r>
      <w:r>
        <w:instrText>54). Twenty-seven patients (32.5%) were treatment-na</w:instrText>
      </w:r>
      <w:r>
        <w:rPr>
          <w:rFonts w:hint="eastAsia"/>
        </w:rPr>
        <w:instrText>ï</w:instrText>
      </w:r>
      <w:r>
        <w:instrText>ve PWH, and 56 patients (67.5%) were treatment-experienced PWH, the most common switch was from integrase inhibitors (37/56) to DOR, followed by efavirenz (18/56) and nevirapine (1/56). In treatment-na</w:instrText>
      </w:r>
      <w:r>
        <w:rPr>
          <w:rFonts w:hint="eastAsia"/>
        </w:rPr>
        <w:instrText>ï</w:instrText>
      </w:r>
      <w:r>
        <w:instrText xml:space="preserve">ve PWH, the median CD4+ T-cell count was 222.9 </w:instrText>
      </w:r>
      <w:r>
        <w:rPr>
          <w:rFonts w:hint="eastAsia"/>
        </w:rPr>
        <w:instrText>±</w:instrText>
      </w:r>
      <w:r>
        <w:instrText xml:space="preserve"> 144.2 cells/mL at baseline, which increased to 337.8 </w:instrText>
      </w:r>
      <w:r>
        <w:rPr>
          <w:rFonts w:hint="eastAsia"/>
        </w:rPr>
        <w:instrText>±</w:instrText>
      </w:r>
      <w:r>
        <w:instrText xml:space="preserve"> 189.6 cells/</w:instrText>
      </w:r>
      <w:r>
        <w:rPr>
          <w:rFonts w:hint="eastAsia"/>
        </w:rPr>
        <w:instrText>μ</w:instrText>
      </w:r>
      <w:r>
        <w:instrText xml:space="preserve">L at week 24 (p &lt; 0.001) and to 431.6 </w:instrText>
      </w:r>
      <w:r>
        <w:rPr>
          <w:rFonts w:hint="eastAsia"/>
        </w:rPr>
        <w:instrText>±</w:instrText>
      </w:r>
      <w:r>
        <w:instrText xml:space="preserve"> 259.9 cells/</w:instrText>
      </w:r>
      <w:r>
        <w:rPr>
          <w:rFonts w:hint="eastAsia"/>
        </w:rPr>
        <w:instrText>μ</w:instrText>
      </w:r>
      <w:r>
        <w:instrText>L at week 48 (p &lt; 0.001). The overall VS rate was 76.9% (20/26) at week 24 and 93.3% (14/15) at week 48. Creatinine (Cr) significantly increased from baseline to week 48 (p = 0.013) but remained normal. There were no significant differences observed in BMI, glucose, estimated glomerular filtration rate (eGFR), liver enzymes, or plasma lipid levels between the baseline and follow-up data. In treatment-experienced PWH, there were no significant changes in the VS rate, CD4+ T-cell count, Cr, eGFR or liver enzymes between the baseline and follow-up data. However, compared to baseline, statistically significant reductions in plasma lipids were observed at week 24 and at week 48. There was also a significant decrease observed in BMI at week 48 compared with baseline. In addition, anxiety, depression and sleep disorders improved in those patients who switched regimens from efavirenz to DOR. We provide a short-term observational report of the efficacy and safety of DOR/3TC/TDF in routine clinical practice, further supporting its use in PWH.","container-title":"Annals of Medicine","DOI":"10.1080/07853890.2025.2564286","ISSN":"0785-3890","issue":"1","note":"_eprint: https://doi.org/10.1080/07853890.2025.2564286","page":"2564286","PMID":"41074542","publisher":"Taylor &amp; Francis","source":"Taylor and Francis+NEJM","title":"The efficacy and safety of doravirine/lamivudine/tenofovir disoproxil fumarate in treatment-na</w:instrText>
      </w:r>
      <w:r>
        <w:rPr>
          <w:rFonts w:hint="eastAsia"/>
        </w:rPr>
        <w:instrText>ï</w:instrText>
      </w:r>
      <w:r>
        <w:instrText>ve and treatment-experienced patients with HIV","volume":"57","author":[{"family":"Yang","given":"Honghong"},{"family":"Li","given":"Mei"},{"family":"Liu","given":"Qian"},{"family":"Zeng","given":"Qin"},{"family":"Yuan","given":"Jing"}],"issued":{"date-parts":[["2025",10,11]]}}},{"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w:instrText>
      </w:r>
      <w:r>
        <w:rPr>
          <w:rFonts w:hint="eastAsia"/>
        </w:rPr>
        <w:instrText>·</w:instrText>
      </w:r>
      <w:r>
        <w:instrText>25 mg) once daily in virologically suppressed adults with HIV-1 on oral antiretroviral therapy: 48-week results of a phase 3, multicentre, randomised, open-label, non-inferiority trial","title-short":"Switch to fixed-dose doravirine (100 mg) and islatravir (0</w:instrText>
      </w:r>
      <w:r>
        <w:rPr>
          <w:rFonts w:hint="eastAsia"/>
        </w:rPr>
        <w:instrText>·</w:instrText>
      </w:r>
      <w:r>
        <w:instrText xml:space="preserve">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fldChar w:fldCharType="separate"/>
      </w:r>
      <w:r>
        <w:rPr>
          <w:rFonts w:cs="Mangal"/>
          <w:szCs w:val="24"/>
          <w:vertAlign w:val="superscript"/>
          <w:lang w:bidi="hi-IN"/>
        </w:rPr>
        <w:t>19–22</w:t>
      </w:r>
      <w:r>
        <w:fldChar w:fldCharType="end"/>
      </w:r>
      <w:r>
        <w:t xml:space="preserve"> Yet limited availability of DOR-resistance data has complicated its use in persons with pre-existing NNRTI resistance. To investigate a computational approach to fill this gap in DOR susceptibility data, we performed all-atom explicit solvent molecular dynamics (MD) simulations on 19 RT-DOR complexes, corresponding to wild-type (WT) RT and 18 DOR-associated genotypes. Prior molecular simulation studies, typically examining up to four mutations for each NNRTI and rarely in combination, have successfully reproduced mutation-dependent changes in NNRTI activity and elucidated the associated structural and conformational mechanisms of resistance.</w:t>
      </w:r>
      <w:r>
        <w:fldChar w:fldCharType="begin"/>
      </w:r>
      <w:r w:rsidR="00CC484F">
        <w:instrText xml:space="preserve"> ADDIN ZOTERO_ITEM CSL_CITATION {"citationID":"tnQIzrR7","properties":{"unsorted":true,"formattedCitation":"\\super 23\\uc0\\u8211{}29\\nosupersub{}","plainCitation":"23</w:instrText>
      </w:r>
      <w:r w:rsidR="00CC484F">
        <w:rPr>
          <w:rFonts w:hint="eastAsia"/>
        </w:rPr>
        <w:instrText>–</w:instrText>
      </w:r>
      <w:r w:rsidR="00CC484F">
        <w:instrText>29","noteIndex":0},"citationItems":[{"id":"MIorSneO/LZJ53GDP","uris":["http://zotero.org/users/19404620/items/PZTYH8TA"],"itemData":{"id":"ypfACyAa/AopWnFJ7","type":"article-journal","container-title":"Journal of the American Chemical Society","DOI":"10.1021/ja003113r","ISSN":"0002-7863","issue":"51","journalAbbreviation":"Journal American Chemical Society","page":"12898-12900","source":"Silverchair","title":"Validation of a Model for the Complex of HIV-1 Reverse Transcriptase with Sustiva through Computation of Resistance Profiles","volume":"122","author":[{"family":"Rizzo","given":"Robert C."},{"family":"Wang","given":"De-Ping"},{"family":"Tirado-Rives","given":"Julian"},{"family":"Jorgensen","given":"William L."}],"issued":{"date-parts":[["2000",12,6]]}}},{"id":310,"uris":["http://zotero.org/users/19404620/items/6E68YQEL"],"itemData":{"id":310,"type":"article-journal","abstract":"Monte Carlo/free energy perturbation (MC/FEP) calculations were used to evaluate the binding free energy change for HIV-RT/inhibitor complexes upon L100I mutation. Inhibitor size and flexibility adjacent to hydrogen-bonding sites are evident as important considerations for antiviral drug design.","container-title":"Bioorganic &amp; Medicinal Chemistry Letters","DOI":"10.1016/S0960-894X(01)00510-8","ISSN":"0960-894X","issue":"21","journalAbbreviation":"Bioorganic &amp; Medicinal Chemistry Letters","page":"2799-2802","source":"ScienceDirect","title":"Antiviral drug design: computational analyses of the effects of the L100I mutation for HIV-RT on the binding of NNRTIs","title-short":"Antiviral drug design","volume":"11","author":[{"family":"Wang","given":"De-Ping"},{"family":"Rizzo","given":"Robert C"},{"family":"Tirado-Rives","given":"Julian"},{"family":"Jorgensen","given":"William L"}],"issued":{"date-parts":[["2001",11,5]]}}},{"id":316,"uris":["http://zotero.org/users/19404620/items/6Z9GW8D7"],"itemData":{"id":316,"type":"article-journal","abstract":"The structure for the complex of nonnucleoside inhibitor TMC125 and HIV-1 reverse transcriptase has been determined and validated through computation of resistance profiles using Monte Carlo/free-energy perturbation calculations. The good quantitative agreement between the computed and experimental anti-HIV activities for TMC125, nevirapine, and efavirenz with wild-type RT and four common mutants (L100I, K103N, Y181C, and Y188L) confirms the correctness of the predicted structure and provides insights into the improved potency of this novel NNRTI. The blue shading in the figure indicates basic residues.","container-title":"Journal of the American Chemical Society","DOI":"10.1021/ja034308c","ISSN":"0002-7863","issue":"20","journalAbbreviation":"Journal American Chemical Society","page":"6016-6017","source":"Silverchair","title":"Validation of a Model for the Complex of HIV-1 Reverse Transcriptase with Nonnucleoside Inhibitor TMC125","volume":"125","author":[{"family":"Udier-Blagovi</w:instrText>
      </w:r>
      <w:r w:rsidR="00CC484F">
        <w:rPr>
          <w:rFonts w:hint="eastAsia"/>
        </w:rPr>
        <w:instrText>ć</w:instrText>
      </w:r>
      <w:r w:rsidR="00CC484F">
        <w:instrText>","given":"Marina"},{"family":"Tirado-Rives","given":"Julian"},{"family":"Jorgensen","given":"William L."}],"issued":{"date-parts":[["2003",4,25]]}}},{"id":318,"uris":["http://zotero.org/users/19404620/items/Z3JHCUEJ"],"itemData":{"id":318,"type":"article-journal","abstract":"The effect of the K103N mutation of HIV-1 reverse transcriptase (RT) on the activity of efavirenz\nanalogues was studied via Monte Carlo/free energy perturbation calculations. The relative fold\nresistance energies indicate that efavirenz binds to K103N RT in a manner similar to the wild-type enzyme. The improved performance of the quinazolinones against the mutant enzyme is\nattributed to formation of a more optimal hydrogen-bonding network with bridging water\nmolecules between the ligands and Glu138.","container-title":"Journal of Medicinal Chemistry","DOI":"10.1021/jm0303507","ISSN":"0022-2623","issue":"9","journalAbbreviation":"J. Med. Chem.","page":"2389-2392","source":"Silverchair","title":"Structural and Energetic Analyses of the Effects of the K103N Mutation of HIV-1 Reverse Transcriptase on Efavirenz Analogues","volume":"47","author":[{"family":"Udier-Blagovi</w:instrText>
      </w:r>
      <w:r w:rsidR="00CC484F">
        <w:rPr>
          <w:rFonts w:hint="eastAsia"/>
        </w:rPr>
        <w:instrText>ć</w:instrText>
      </w:r>
      <w:r w:rsidR="00CC484F">
        <w:instrText xml:space="preserve">","given":"Marina"},{"family":"Tirado-Rives","given":"Julian"},{"family":"Jorgensen","given":"William L."}],"issued":{"date-parts":[["2004",3,20]]}}},{"id":296,"uris":["http://zotero.org/users/19404620/items/9NVH78TB"],"itemData":{"id":296,"type":"article-journal","abstract":"A series of targeted molecular dynamics simulations have been carried out in an attempt to\nassess the effect that the common Lys103Asn mutation in HIV-1 reverse transcriptase (RT) has on the\nbinding of three representative non-nucleoside RT inhibitors (NNRTI), nevirapine, efavirenz, and etravirine.\nWe have shown previously that, in the absence of an incoming inhibitor, creation of the NNRTI binding\npocket is hampered due to the existence of a hydrogen bond between the side chains of Asn103 and\nTyr188 for which no equivalent exists in the wild-type enzyme. As an extension of this work, we now apply\nthe same methodology to drive the enzyme's conformation from the unbound state to the drug-bound state\nin the presence of the NNRTI. The location of each drug outside the binding pocket was determined by an\nautomated docking program, and steering into the binding pocket followed a route that is likely to represent\nthe actual entrance pathway. The additional hurdle to inhibitor entry imposed by the extra Asn103−Tyr188\nhydrogen bond is seen to affect each NNRTI differently, with the ability to disrupt this interaction increasing\nin the order etravirine </w:instrText>
      </w:r>
      <w:r w:rsidR="00CC484F">
        <w:rPr>
          <w:rFonts w:ascii="Cambria Math" w:hAnsi="Cambria Math" w:cs="Cambria Math"/>
        </w:rPr>
        <w:instrText>≫</w:instrText>
      </w:r>
      <w:r w:rsidR="00CC484F">
        <w:instrText xml:space="preserve"> efavirenz ≥ nevirapine, in good accord with the experimental findings. This coherent\npicture strongly suggests that attempts to overcome resistance through structure-based drug design may\nbe considerably more successful if dynamic structural aspects of the type studied here are considered,\nparticularly in cases where binding energy-based structure−activity relationship methods are unable to\nprovide the required information.","container-title":"Journal of the American Chemical Society","DOI":"10.1021/ja042289g","ISSN":"0002-7863","issue":"20","journalAbbreviation":"Journal American Chemical Society","page":"7570-7578","source":"Silverchair","title":"The Molecular Basis of Resilience to the Effect of the Lys103Asn Mutation in Non-Nucleoside HIV-1 Reverse Transcriptase Inhibitors Studied by Targeted Molecular Dynamics Simulations","volume":"127","author":[{"family":"Rodr</w:instrText>
      </w:r>
      <w:r w:rsidR="00CC484F">
        <w:rPr>
          <w:rFonts w:hint="eastAsia"/>
        </w:rPr>
        <w:instrText>í</w:instrText>
      </w:r>
      <w:r w:rsidR="00CC484F">
        <w:instrText>guez-Barrios","given":"F</w:instrText>
      </w:r>
      <w:r w:rsidR="00CC484F">
        <w:rPr>
          <w:rFonts w:hint="eastAsia"/>
        </w:rPr>
        <w:instrText>á</w:instrText>
      </w:r>
      <w:r w:rsidR="00CC484F">
        <w:instrText>tima"},{"family":"Balzarini","given":"Jan"},{"family":"Gago","given":"Federico"}],"issued":{"date-parts":[["2005",4,30]]}}},{"id":"MIorSneO/euUj9Mlm","uris":["http://zotero.org/users/19404620/items/8EEHV937"],"itemData":{"id":"ypfACyAa/7Mr3XBAW","type":"article-journal","abstract":"HIV-1 reverse transcriptase (RT) is an important target for drugs used in the treatment of AIDS. Drugs known as non-nucleoside RT inhibitors (NNRTI) appear to alter the structural and dynamical properties of RT which in turn inhibit RT's ability to transcribe. Molecular dynamics (MD), principal component analysis (PCA), and binding free energy simulations are employed to explore the dynamics of RT and its interaction with the bound NNRTI nevirapine, for both wild-type and mutant (V106A, Y181C, Y188C) RT. These three mutations commonly arise in the presence of nevirapine and result in resistance to the drug. We show that a bound NNRTI hinders the motion of almost all RT amino acids. The mutations, located in the non-nucleoside RT inhibitor binding pocket, partially restore RT flexibility. The binding affinities calculated by molecular mechanics/Poisson−Boltzmann surface accessibility (MM-PBSA) show that nevirapine interacts stronger with wild-type RT than with mutant RT. The mutations cause a loss of van der Waals interactions between the drug and the binding pocket. The results from this study suggest that a good inhibitor should efficiently enter and maximally occupy the binding pocket, thereby interacting effectively with the amino acids around the binding pocket.","container-title":"Journal of the American Chemical Society","DOI":"10.1021/ja053973d","ISSN":"0002-7863","issue":"49","journalAbbreviation":"J. Am. Chem. Soc.","page":"17253-17260","publisher":"American Chemical Society","source":"ACS Publications","title":"Effect of a Bound Non-Nucleoside RT Inhibitor on the Dynamics of Wild-Type and Mutant HIV-1 Reverse Transcriptase","volume":"127","author":[{"family":"Zhou","given":"Zhigang"},{"family":"Madrid","given":"Marcela"},{"family":"Evanseck","given":"Jeffrey D."},{"family":"Madura","given":"Jeffry D."}],"issued":{"date-parts":[["2005",12,1]]}}},{"id":111,"uris":["http://zotero.org/users/19404620/items/9HN6LNRB"],"itemData":{"id":111,"type":"article-journal","abstract":"HIV-1 reverse transcriptase (RT) is a multifunctional enzyme that is targeted by nucleoside analogs (NRTIs) and non-nucleoside RT inhibitors (NNRTIs). NNRTIs are allosteric inhibitors of RT, and constitute an integral part of several highly active antiretroviral therapy regimens. Under selective pressure, HIV-1 acquires resistance against NNRTIs primarily by selecting mutations around the NNRTI pocket. Complete RT sequencing of clinical isolates revealed that spatially distal mutations arising in connection and the RNase H domain also confer NNRTI resistance and contribute to NRTI resistance. However, the precise structural mechanism by which the connection domain mutations confer NNRTI resistance is poorly understood. We performed 50-ns molecular dynamics (MD) simulations, followed by essential dynamics, free-energy landscape analyses, and network analyses of RT-DNA, RT-DNA-nevirapine (NVP), and N348I/T369I mutant RT-DNA-NVP complexes. MD simulation studies revealed altered global motions and restricted conformational landscape of RT upon NVP binding. Analysis of protein structure network parameters demonstrated a dissortative hub pattern in the RT-DNA complex and an assortative hub pattern in the RT-DNA-NVP complex suggesting enhanced rigidity of RT upon NVP binding. The connection subdomain mutations N348I/T369I did not induce any significant structural change; rather, these mutations modulate the conformational dynamics and alter the long-range allosteric communication network between the connection subdomain and NNRTI pocket. Insights from the present study provide a structural basis for the biochemical and clinical findings on drug resistance caused by the connection and RNase H mutations. Proteins 2014; 82:815</w:instrText>
      </w:r>
      <w:r w:rsidR="00CC484F">
        <w:rPr>
          <w:rFonts w:hint="eastAsia"/>
        </w:rPr>
        <w:instrText>–</w:instrText>
      </w:r>
      <w:r w:rsidR="00CC484F">
        <w:instrText xml:space="preserve">829. </w:instrText>
      </w:r>
      <w:r w:rsidR="00CC484F">
        <w:rPr>
          <w:rFonts w:hint="eastAsia"/>
        </w:rPr>
        <w:instrText>©</w:instrText>
      </w:r>
      <w:r w:rsidR="00CC484F">
        <w:instrText xml:space="preserve"> 2013 Wiley Periodicals, Inc.","container-title":"Proteins: Structure, Function, and Bioinformatics","DOI":"10.1002/prot.24460","ISSN":"1097-0134","issue":"5","language":"en","note":"_eprint: https://onlinelibrary.wiley.com/doi/pdf/10.1002/prot.24460","page":"815-829","source":"Wiley Online Library","title":"Molecular dynamics study of HIV-1 RT-DNA-nevirapine complexes explains NNRTI inhibition and resistance by connection mutations","volume":"82","author":[{"family":"Vijayan","given":"R. S. K."},{"family":"Arnold","given":"Eddy"},{"family":"Das","given":"Kalyan"}],"issued":{"date-parts":[["2014"]]}}}],"schema":"https://github.com/citation-style-language/schema/raw/master/csl-citation.json"} </w:instrText>
      </w:r>
      <w:r>
        <w:fldChar w:fldCharType="separate"/>
      </w:r>
      <w:r>
        <w:rPr>
          <w:vertAlign w:val="superscript"/>
        </w:rPr>
        <w:t>23–29</w:t>
      </w:r>
      <w:r>
        <w:fldChar w:fldCharType="end"/>
      </w:r>
      <w:r>
        <w:t xml:space="preserve"> However, the affinity of an inhibitor for RT and its ability to suppress viral replication are not equivalent, and direct correspondence between them has not been quantified over a matched dataset.</w:t>
      </w:r>
      <w:r>
        <w:fldChar w:fldCharType="begin"/>
      </w:r>
      <w:r>
        <w:instrText xml:space="preserve"> ADDIN ZOTERO_ITEM CSL_CITATION {"citationID":"we7Sxwk6","properties":{"unsorted":false,"formattedCitation":"\\super 30\\nosupersub{}","plainCitation":"30","noteIndex":0},"citationItems":[{"id":97,"uris":["http://zotero.org/users/19404620/items/7GZDABAE"],"itemData":{"id":97,"type":"article-journal","abstract":"To decipher the mechanism for non-nucleoside inhibitor resistance of HIV-1 reverse transcriptase, the kinetics of the interaction between wild type and drug-resistant variants of the enzyme and structurally diverse inhibitors were determined. Substitution of amino acid residues in the inhibitor binding site resulted in altered rate constants for the pre-equilibrium between two unliganded forms of the enzyme, and for the association and dissociation of the inhibitor−enzyme interaction. The Y181C, V108I, and P225H substitutions affected primarily the association and dissociation rate constants, while the K103N and the L100I substitutions also influenced the equilibrium between the two forms of the free enzyme. The K103N and the L100I substitutions were found to facilitate both the entry of the inhibitor into the binding pocket as well as its exit, in contrast to what has been reported elsewhere. Interaction kinetic-based resistance profiles showed that phenethylthiazolylthiourea compounds were relatively insensitive to the studied substitutions.","container-title":"Journal of Medicinal Chemistry","DOI":"10.1021/jm0504050","ISSN":"0022-2623","issue":"8","journalAbbreviation":"J. Med. Chem.","page":"2375-2387","publisher":"American Chemical Society","source":"ACS Publications","title":"Interaction Kinetic Characterization of HIV-1 Reverse Transcriptase Non-nucleoside Inhibitor Resistance","volume":"49","author":[{"family":"Geitmann","given":"Matthis"},{"family":"Unge","given":"Torsten"},{"family":"Danielson","given":"U. Helena"}],"issued":{"date-parts":[["2006",4,1]]}}}],"schema":"https://github.com/citation-style-language/schema/raw/master/csl-citation.json"} </w:instrText>
      </w:r>
      <w:r>
        <w:fldChar w:fldCharType="separate"/>
      </w:r>
      <w:r>
        <w:rPr>
          <w:vertAlign w:val="superscript"/>
        </w:rPr>
        <w:t>30</w:t>
      </w:r>
      <w:r>
        <w:fldChar w:fldCharType="end"/>
      </w:r>
      <w:r>
        <w:t xml:space="preserve"> Whether computed binding free energies track phenotypic susceptibility across a panel of clinically observed genotypes, including the multi-mutation patterns that dominate DOR resistance, therefore remains an open question.</w:t>
      </w:r>
      <w:r>
        <w:rPr>
          <w:noProof/>
        </w:rPr>
        <w:t xml:space="preserve"> </w:t>
      </w:r>
    </w:p>
    <w:p w14:paraId="48517822" w14:textId="77777777" w:rsidR="00F431E8" w:rsidRDefault="00E23674" w:rsidP="004947E0">
      <w:pPr>
        <w:pStyle w:val="TAMainText"/>
        <w:rPr>
          <w:noProof/>
        </w:rPr>
      </w:pPr>
      <w:r>
        <w:lastRenderedPageBreak/>
        <w:t>To address this question, we quantified the effect of each genotype on DOR binding using two complementary calculations. Alchemical free energy perturbation estimates ΔΔG</w:t>
      </w:r>
      <w:r>
        <w:rPr>
          <w:vertAlign w:val="subscript"/>
        </w:rPr>
        <w:t>bind</w:t>
      </w:r>
      <w:r>
        <w:t>, the change in the free energy of DOR binding caused by a mutation.</w:t>
      </w:r>
      <w:r>
        <w:fldChar w:fldCharType="begin"/>
      </w:r>
      <w:r>
        <w:instrText xml:space="preserve"> ADDIN ZOTERO_ITEM CSL_CITATION {"citationID":"ukrdpEHQ","properties":{"unsorted":false,"formattedCitation":"\\super 31,32\\nosupersub{}","plainCitation":"31,32","noteIndex":0},"citationItems":[{"id":257,"uris":["http://zotero.org/users/19404620/items/3AGKTMV5"],"itemData":{"id":257,"type":"article-journal","abstract":"This Account discusses recent\nprogress and challenges in binding\nfree energy computations, focusing on two classes of enhanced sampling techniques: alchemical transformations and path-based methods. Binding free energy is a crucial metric in drug discovery, as it measures the affinity of a ligand for its target receptor. Free energy and affinity guide the ranking and selection of potential drug candidates. The theoretical foundations of free energy calculations were established several decades ago, but their efficient application to drug-target binding remains a grand challenge in computational drug design. The main obstacles stem from sampling issues (as binding is a rare event), force field accuracy limitations, and simulation convergence. Alchemical transformations are now the most used methods for computing binding free energies in the pharmaceutical industry. However, while they efficiently calculate energy differences, the application of these methods is often limited to relative binding free energy calculations. Absolute and accurate (error &amp;lt; 1 kcal/mol) binding free energy predictions remain one of the great challenges for computational chemists and physicists. Another limitation of alchemical methods is that they lack the ability to provide mechanistic or kinetic insights into the binding process, crucial for optimizing lead compounds and designing novel therapies. Path-based methods offer, in principle, the possibility to accurately estimate absolute binding free energy while also providing insights into binding pathways and interactions.This Account\nexplores recent advances in binding free energy methods\nfor drug-target recognition and binding. In particular, we discuss the similarities and differences between alchemical and path-based approaches, highlighting recent innovations in both families of methods and providing perspectives from our group’s contributions.\nWe examine the foundational role of alchemical methods, which have been employed since the inception of free energy calculations, in both equilibrium and nonequilibrium contexts. We also emphasize the growing importance of path-based methods in drug discovery and their ability to predict binding and unbinding pathways, free energy profiles, and binding free energy estimates. In particular, the combination of path methods with machine learning has proven to be a powerful means for accurate path generation and free energy estimations. Building on our recent research, we discuss several path-based applications for drug discovery. Moreover, we focus on two semiautomatic protocols representing our group’s state-of-the-art in free energy calculations. The first protocol is based on MetaDynamics simulation. From this, a recent innovation is instead based on nonequilibrium simulations combined with nonequilibrium estimators. We discuss in depth the advantages and drawbacks of equilibrium and nonequilibrium approaches to drug-target binding free energy predictions.","container-title":"Accounts of Chemical Research","DOI":"10.1021/acs.accounts.5c00465","ISSN":"0001-4842","issue":"20","journalAbbreviation":"Acc. Chem. Res.","page":"3137-3145","source":"Silverchair","title":"On Free Energy Calculations in Drug Discovery","volume":"58","author":[{"family":"Ghidini","given":"Alessia"},{"family":"Serra","given":"Eleonora"},{"family":"Cavalli","given":"Andrea"}],"issued":{"date-parts":[["2025",10,10]]}}},{"id":251,"uris":["http://zotero.org/users/19404620/items/ERMW24MN"],"itemData":{"id":251,"type":"article-journal","abstract":"Ligand binding affinity calculations based on molecular dynamics (MD) simulations and non-physical (alchemical) thermodynamic cycles have shown great promise for structure-based drug design. However, their broad uptake and impact is held back by the notoriously complex setup of the calculations. Only a few tools other than the free energy perturbation approach by Schrödinger Inc. (referred to as FEP+) currently enable end-to-end application. Here, we present for the first time an approach based on the open-source software pmx that allows to easily set up and run alchemical calculations for diverse sets of small molecules using the GROMACS MD engine. The method relies on theoretically rigorous non-equilibrium thermodynamic integration (TI) foundations, and its flexibility allows calculations with multiple force fields. In this study, results from the Amber and Charmm force fields were combined to yield a consensus outcome performing on par with the commercial FEP+ approach. A large dataset of 482 perturbations from 13 different protein–ligand datasets led to an average unsigned error (AUE) of 3.64 ± 0.14 kJ mol−1, equivalent to Schrödinger's FEP+ AUE of 3.66 ± 0.14 kJ mol−1. For the first time, a setup is presented for overall high precision and high accuracy relative protein–ligand alchemical free energy calculations based on open-source software.","container-title":"Chemical Science","DOI":"10.1039/c9sc03754c","ISSN":"2041-6520","issue":"4","journalAbbreviation":"Chem. Sci.","page":"1140-1152","source":"Silverchair","title":"Large scale relative protein ligand binding affinities using non-equilibrium alchemy","volume":"11","author":[{"family":"Gapsys","given":"Vytautas"},{"family":"Pérez-Benito","given":"Laura"},{"family":"Aldeghi","given":"Matteo"},{"family":"Seeliger","given":"Daniel"},{"family":"Vlijmen","given":"Herman","non-dropping-particle":"van"},{"family":"Tresadern","given":"Gary"},{"family":"Groot","given":"Bert L.","non-dropping-particle":"de"}],"issued":{"date-parts":[["2020",1,28]]}}}],"schema":"https://github.com/citation-style-language/schema/raw/master/csl-citation.json"} </w:instrText>
      </w:r>
      <w:r>
        <w:fldChar w:fldCharType="separate"/>
      </w:r>
      <w:r>
        <w:rPr>
          <w:vertAlign w:val="superscript"/>
        </w:rPr>
        <w:t>31,32</w:t>
      </w:r>
      <w:r>
        <w:fldChar w:fldCharType="end"/>
      </w:r>
      <w:r>
        <w:t xml:space="preserve"> In contrast, MM/GBSA evaluates the interaction energy between DOR and RT directly from snapshots of the equilibrium MD simulations of the bound complexes, and expresses each mutant relative to the wild type as ΔΔE</w:t>
      </w:r>
      <w:r>
        <w:rPr>
          <w:vertAlign w:val="subscript"/>
        </w:rPr>
        <w:t>Total</w:t>
      </w:r>
      <w:r>
        <w:t>.</w:t>
      </w:r>
      <w:r>
        <w:fldChar w:fldCharType="begin"/>
      </w:r>
      <w:r>
        <w:instrText xml:space="preserve"> ADDIN ZOTERO_ITEM CSL_CITATION {"citationID":"W7ykKuOy","properties":{"unsorted":false,"formattedCitation":"\\super 33,34\\nosupersub{}","plainCitation":"33,34","noteIndex":0},"citationItems":[{"id":363,"uris":["http://zotero.org/users/19404620/items/NYN9PW34"],"itemData":{"id":363,"type":"article-journal","abstract":"A historical perspective on the application of molecular dynamics\n(MD) to biological macromolecules is presented. Recent developments combining state-of-the-art force fields with continuum\nsolvation calculations have allowed us to reach the fourth era of\nMD applications in which one can often derive both accurate structure and accurate relative free energies from molecular dynamics trajectories. We illustrate such applications on nucleic acid\nduplexes, RNA hairpins, protein folding trajectories, and protein−ligand, protein−protein, and protein−nucleic acid interactions.","container-title":"Accounts of Chemical Research","DOI":"10.1021/ar000033j","ISSN":"0001-4842","issue":"12","journalAbbreviation":"Acc. Chem. Res.","page":"889-897","source":"Silverchair","title":"Calculating Structures and Free Energies of Complex Molecules: Combining Molecular Mechanics and Continuum Models","title-short":"Calculating Structures and Free Energies of Complex Molecules","volume":"33","author":[{"family":"Kollman","given":"Peter A."},{"family":"Massova","given":"Irina"},{"family":"Reyes","given":"Carolina"},{"family":"Kuhn","given":"Bernd"},{"family":"Huo","given":"Shuanghong"},{"family":"Chong","given":"Lillian"},{"family":"Lee","given":"Matthew"},{"family":"Lee","given":"Taisung"},{"family":"Duan","given":"Yong"},{"family":"Wang","given":"Wei"},{"family":"Donini","given":"Oreola"},{"family":"Cieplak","given":"Piotr"},{"family":"Srinivasan","given":"Jaysharee"},{"family":"Case","given":"David A."},{"family":"Cheatham","given":"Thomas E."}],"issued":{"date-parts":[["2000",10,4]]}}},{"id":361,"uris":["http://zotero.org/users/19404620/items/A8NFQWYD"],"itemData":{"id":361,"type":"article-journal","abstract":"Introduction: The molecular mechanics energies combined with the Poisson–Boltzmann or generalized Born and surface area continuum solvation (MM/PBSA and MM/GBSA) methods are popular approaches to estimate the free energy of the binding of small ligands to biological macromolecules. They are typically based on molecular dynamics simulations of the receptor–ligand complex and are therefore intermediate in both accuracy and computational effort between empirical scoring and strict alchemical perturbation methods. They have been applied to a large number of systems with varying success. Areas covered: The authors review the use of MM/PBSA and MM/GBSA methods to calculate ligand-binding affinities, with an emphasis on calibration, testing and validation, as well as attempts to improve the methods, rather than on specific applications. Expert opinion: MM/PBSA and MM/GBSA are attractive approaches owing to their modular nature and that they do not require calculations on a training set. They have been used successfully to reproduce and rationalize experimental findings and to improve the results of virtual screening and docking. However, they contain several crude and questionable approximations, for example, the lack of conformational entropy and information about the number and free energy of water molecules in the binding site. Moreover, there are many variants of the method and their performance varies strongly with the tested system. Likewise, most attempts to ameliorate the methods with more accurate approaches, for example, quantum-mechanical calculations, polarizable force fields or improved solvation have deteriorated the results.","container-title":"Expert Opinion on Drug Discovery","DOI":"10.1517/17460441.2015.1032936","ISSN":"1746-0441","issue":"5","page":"449-461","PMID":"25835573","publisher":"Taylor &amp; Francis","source":"Taylor and Francis+NEJM","title":"The MM/PBSA and MM/GBSA methods to estimate ligand-binding affinities","volume":"10","author":[{"family":"Genheden","given":"Samuel"},{"family":"Ryde","given":"Ulf"}],"issued":{"date-parts":[["2015",5,4]]}}}],"schema":"https://github.com/citation-style-language/schema/raw/master/csl-citation.json"} </w:instrText>
      </w:r>
      <w:r>
        <w:fldChar w:fldCharType="separate"/>
      </w:r>
      <w:r>
        <w:rPr>
          <w:vertAlign w:val="superscript"/>
        </w:rPr>
        <w:t>33,34</w:t>
      </w:r>
      <w:r>
        <w:fldChar w:fldCharType="end"/>
      </w:r>
      <w:r>
        <w:t xml:space="preserve"> Our results demonstrate that even with a limited sample set, relative RT-DOR binding free energy calculated from MD simulations can weakly correlate with experimentally observed fold-changes in DOR susceptibility to clinically relevant mutant HIV strains. This correlation allows us to generate hypotheses for molecular mechanisms of DOR resistance. However, neither alchemical FEP nor MM/GBSA calculations demonstrate their utility yet as a robust proxy for </w:t>
      </w:r>
      <w:r>
        <w:rPr>
          <w:i/>
          <w:iCs/>
        </w:rPr>
        <w:t xml:space="preserve">in vitro </w:t>
      </w:r>
      <w:r>
        <w:t>drug susceptibility experiments.</w:t>
      </w:r>
      <w:r>
        <w:rPr>
          <w:noProof/>
        </w:rPr>
        <w:t xml:space="preserve"> </w:t>
      </w:r>
    </w:p>
    <w:p w14:paraId="787A97F9" w14:textId="77777777" w:rsidR="004947E0" w:rsidRPr="00E536AD" w:rsidRDefault="004947E0" w:rsidP="004947E0">
      <w:pPr>
        <w:pStyle w:val="TAMainText"/>
      </w:pPr>
      <w:r>
        <w:rPr>
          <w:noProof/>
        </w:rPr>
        <w:drawing>
          <wp:inline distT="0" distB="0" distL="0" distR="0" wp14:anchorId="59B6E4D6" wp14:editId="5875CEB7">
            <wp:extent cx="5943600" cy="2712085"/>
            <wp:effectExtent l="0" t="0" r="0" b="5715"/>
            <wp:docPr id="736440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40437" name="Picture 736440437"/>
                    <pic:cNvPicPr/>
                  </pic:nvPicPr>
                  <pic:blipFill>
                    <a:blip r:embed="rId9"/>
                    <a:stretch>
                      <a:fillRect/>
                    </a:stretch>
                  </pic:blipFill>
                  <pic:spPr>
                    <a:xfrm>
                      <a:off x="0" y="0"/>
                      <a:ext cx="5943600" cy="2712085"/>
                    </a:xfrm>
                    <a:prstGeom prst="rect">
                      <a:avLst/>
                    </a:prstGeom>
                  </pic:spPr>
                </pic:pic>
              </a:graphicData>
            </a:graphic>
          </wp:inline>
        </w:drawing>
      </w:r>
    </w:p>
    <w:p w14:paraId="122533AE" w14:textId="77777777" w:rsidR="004947E0" w:rsidRPr="00766EBA" w:rsidRDefault="004947E0" w:rsidP="004947E0">
      <w:pPr>
        <w:pStyle w:val="VAFigureCaption"/>
        <w:spacing w:after="240"/>
        <w:rPr>
          <w:sz w:val="22"/>
          <w:szCs w:val="22"/>
        </w:rPr>
      </w:pPr>
      <w:r>
        <w:rPr>
          <w:b/>
          <w:bCs/>
          <w:sz w:val="22"/>
          <w:szCs w:val="22"/>
        </w:rPr>
        <w:t>Figure 1: Crystal structure of Doravirine (DOR) bound to wild-type (WT) Reverse Transcriptase (RT).</w:t>
      </w:r>
      <w:r>
        <w:rPr>
          <w:sz w:val="22"/>
          <w:szCs w:val="22"/>
        </w:rPr>
        <w:t xml:space="preserve"> </w:t>
      </w:r>
      <w:r>
        <w:rPr>
          <w:b/>
          <w:bCs/>
          <w:sz w:val="22"/>
          <w:szCs w:val="22"/>
        </w:rPr>
        <w:t>(A)</w:t>
      </w:r>
      <w:r>
        <w:rPr>
          <w:sz w:val="22"/>
          <w:szCs w:val="22"/>
        </w:rPr>
        <w:t xml:space="preserve"> 3D structure of WT RT in complex with DOR (PDB ID: 4NCG) used as the starting point of all simulations in this work. The Non-Nucleoside Inhibitor Binding Pocket (NNIBP) including DOR is highlighted in a light gray oval. </w:t>
      </w:r>
      <w:r>
        <w:rPr>
          <w:b/>
          <w:bCs/>
          <w:sz w:val="22"/>
          <w:szCs w:val="22"/>
        </w:rPr>
        <w:t>(B)</w:t>
      </w:r>
      <w:r>
        <w:rPr>
          <w:sz w:val="22"/>
          <w:szCs w:val="22"/>
        </w:rPr>
        <w:t xml:space="preserve"> 2D schematic structure of DOR illustrating 3 key interactions with RT p66 residues: (i) Lys103 mainchain carbonyl hydrogen bond with the triazolinone moiety, (ii) Hydrophobic </w:t>
      </w:r>
      <w:r>
        <w:rPr>
          <w:sz w:val="22"/>
          <w:szCs w:val="22"/>
        </w:rPr>
        <w:lastRenderedPageBreak/>
        <w:t>interaction between Val106 C</w:t>
      </w:r>
      <w:r>
        <w:rPr>
          <w:sz w:val="22"/>
          <w:szCs w:val="22"/>
          <w:vertAlign w:val="subscript"/>
        </w:rPr>
        <w:sym w:font="Symbol" w:char="F067"/>
      </w:r>
      <w:r>
        <w:rPr>
          <w:sz w:val="22"/>
          <w:szCs w:val="22"/>
        </w:rPr>
        <w:t xml:space="preserve"> and central pyridinone core, (iii) Aromatic stacking between the Tyr188 sidechain and the chlorocyanophenyl ring.</w:t>
      </w:r>
    </w:p>
    <w:p w14:paraId="383C563B" w14:textId="77777777" w:rsidR="008E233C" w:rsidRPr="008E233C" w:rsidRDefault="008E233C" w:rsidP="008E233C"/>
    <w:p w14:paraId="7DC4DBDD" w14:textId="77777777" w:rsidR="004260F0" w:rsidRPr="008E233C" w:rsidRDefault="0006771E" w:rsidP="00423928">
      <w:pPr>
        <w:pStyle w:val="TAMainText"/>
        <w:spacing w:after="240"/>
        <w:rPr>
          <w:rFonts w:ascii="Times New Roman" w:hAnsi="Times New Roman"/>
          <w:b/>
          <w:bCs/>
          <w:sz w:val="36"/>
          <w:szCs w:val="28"/>
        </w:rPr>
      </w:pPr>
      <w:r>
        <w:rPr>
          <w:b/>
          <w:bCs/>
          <w:sz w:val="28"/>
          <w:szCs w:val="22"/>
        </w:rPr>
        <w:t>Methods</w:t>
      </w:r>
    </w:p>
    <w:p w14:paraId="0433A39A" w14:textId="77777777" w:rsidR="004260F0" w:rsidRPr="00E536AD" w:rsidRDefault="007D7A4D" w:rsidP="004260F0">
      <w:pPr>
        <w:pStyle w:val="TAMainText"/>
        <w:rPr>
          <w:rFonts w:ascii="Times New Roman" w:hAnsi="Times New Roman"/>
          <w:b/>
          <w:bCs/>
          <w:szCs w:val="24"/>
          <w:u w:val="single"/>
        </w:rPr>
      </w:pPr>
      <w:r>
        <w:rPr>
          <w:b/>
          <w:bCs/>
          <w:u w:val="single"/>
        </w:rPr>
        <w:t>3D Structure Preparation and mutation modeling</w:t>
      </w:r>
    </w:p>
    <w:p w14:paraId="4C17F73A" w14:textId="77777777" w:rsidR="004260F0" w:rsidRPr="00E536AD" w:rsidRDefault="004260F0" w:rsidP="004260F0">
      <w:pPr>
        <w:pStyle w:val="TAMainText"/>
        <w:spacing w:after="240"/>
        <w:rPr>
          <w:rFonts w:ascii="Times New Roman" w:hAnsi="Times New Roman"/>
          <w:szCs w:val="24"/>
        </w:rPr>
      </w:pPr>
      <w:r>
        <w:t xml:space="preserve">The starting </w:t>
      </w:r>
      <w:r>
        <w:rPr>
          <w:i/>
          <w:iCs/>
        </w:rPr>
        <w:t>holo</w:t>
      </w:r>
      <w:r>
        <w:t xml:space="preserve"> structure was the crystal structure of HIV-1 RT bound to doravirine (DOR; PDB ligand residue 2KW) from PDB 4NCG (</w:t>
      </w:r>
      <w:hyperlink r:id="rId10" w:history="1">
        <w:r>
          <w:rPr>
            <w:rStyle w:val="Hyperlink"/>
            <w:rFonts w:ascii="Times New Roman" w:hAnsi="Times New Roman"/>
            <w:szCs w:val="24"/>
          </w:rPr>
          <w:t>https://www.rcsb.org/structure/4NCG</w:t>
        </w:r>
      </w:hyperlink>
      <w:r>
        <w:t>).</w:t>
      </w:r>
      <w:r>
        <w:fldChar w:fldCharType="begin"/>
      </w:r>
      <w:r>
        <w:instrText xml:space="preserve"> ADDIN ZOTERO_ITEM CSL_CITATION {"citationID":"tevAKKbd","properties":{"unsorted":false,"formattedCitation":"\\super 14\\nosupersub{}","plainCitation":"14","noteIndex":0},"citationItems":[{"id":137,"uris":["http://zotero.org/users/19404620/items/RH8X5FM6"],"itemData":{"id":137,"type":"article-journal","abstract":"The optimization of a novel series of non-nucleoside reverse transcriptase inhibitors (NNRTI) led to the identification of pyridone 36. In cell cultures, this new NNRTI shows a superior potency profile against a range of wild type and clinically relevant, resistant mutant HIV viruses. The overall favorable preclinical pharmacokinetic profile of 36 led to the prediction of a once daily low dose regimen in human. NNRTI 36, now known as MK-1439, is currently in clinical development for the treatment of HIV infection.","container-title":"Bioorganic &amp; Medicinal Chemistry Letters","DOI":"10.1016/j.bmcl.2013.12.070","ISSN":"0960-894X","issue":"3","journalAbbreviation":"Bioorganic &amp; Medicinal Chemistry Letters","page":"917-922","source":"ScienceDirect","title":"Discovery of MK-1439, an orally bioavailable non-nucleoside reverse transcriptase inhibitor potent against a wide range of resistant mutant HIV viruses","volume":"24","author":[{"family":"Côté","given":"Bernard"},{"family":"Burch","given":"Jason D."},{"family":"Asante-Appiah","given":"Ernest"},{"family":"Bayly","given":"Chris"},{"family":"Bédard","given":"Leanne"},{"family":"Blouin","given":"Marc"},{"family":"Campeau","given":"Louis-Charles"},{"family":"Cauchon","given":"Elizabeth"},{"family":"Chan","given":"Manuel"},{"family":"Chefson","given":"Amandine"},{"family":"Coulombe","given":"Nathalie"},{"family":"Cromlish","given":"Wanda"},{"family":"Debnath","given":"Smita"},{"family":"Deschênes","given":"Denis"},{"family":"Dupont-Gaudet","given":"Kristina"},{"family":"Falgueyret","given":"Jean-Pierre"},{"family":"Forget","given":"Robert"},{"family":"Gagné","given":"Sébastien"},{"family":"Gauvreau","given":"Danny"},{"family":"Girardin","given":"Melina"},{"family":"Guiral","given":"Sébastien"},{"family":"Langlois","given":"Eric"},{"family":"Li","given":"Chun Sing"},{"family":"Nguyen","given":"Natalie"},{"family":"Papp","given":"Rob"},{"family":"Plamondon","given":"Serge"},{"family":"Roy","given":"Amélie"},{"family":"Roy","given":"Stéphanie"},{"family":"Seliniotakis","given":"Ria"},{"family":"St-Onge","given":"Miguel"},{"family":"Ouellet","given":"Stéphane"},{"family":"Tawa","given":"Paul"},{"family":"Truchon","given":"Jean-François"},{"family":"Vacca","given":"Joe"},{"family":"Wrona","given":"Marc"},{"family":"Yan","given":"Youwei"},{"family":"Ducharme","given":"Yves"}],"issued":{"date-parts":[["2014",2,1]]}}}],"schema":"https://github.com/citation-style-language/schema/raw/master/csl-citation.json"} </w:instrText>
      </w:r>
      <w:r>
        <w:fldChar w:fldCharType="separate"/>
      </w:r>
      <w:r>
        <w:rPr>
          <w:vertAlign w:val="superscript"/>
        </w:rPr>
        <w:t>14</w:t>
      </w:r>
      <w:r>
        <w:fldChar w:fldCharType="end"/>
      </w:r>
      <w:r>
        <w:t xml:space="preserve"> Mutant complexes were generated from the WT RT-DOR structure by introducing the selected p66 substitutions </w:t>
      </w:r>
      <w:r>
        <w:rPr>
          <w:i/>
          <w:iCs/>
        </w:rPr>
        <w:t>in silico</w:t>
      </w:r>
      <w:r>
        <w:t xml:space="preserve"> while preserving the crystallographic DOR pose. Missing heavy atoms were added, nonstandard residues were standardized, and hydrogens were rebuilt consistently across WT and mutant systems. DOR was rebuilt from an SDF template (</w:t>
      </w:r>
      <w:hyperlink r:id="rId11" w:history="1">
        <w:r>
          <w:rPr>
            <w:rStyle w:val="Hyperlink"/>
            <w:rFonts w:ascii="Times New Roman" w:hAnsi="Times New Roman"/>
            <w:szCs w:val="24"/>
          </w:rPr>
          <w:t>https://pubchem.ncbi.nlm.nih.gov/compound/Doravirine</w:t>
        </w:r>
      </w:hyperlink>
      <w:r>
        <w:t xml:space="preserve">) and rigidly aligned to the crystallographic ligand heavy atoms by least-squares superposition using the </w:t>
      </w:r>
      <w:proofErr w:type="spellStart"/>
      <w:r>
        <w:t>Kabsch</w:t>
      </w:r>
      <w:proofErr w:type="spellEnd"/>
      <w:r>
        <w:t xml:space="preserve"> algorithm.</w:t>
      </w:r>
      <w:r>
        <w:fldChar w:fldCharType="begin"/>
      </w:r>
      <w:r>
        <w:instrText xml:space="preserve"> ADDIN ZOTERO_ITEM CSL_CITATION {"citationID":"7W9IyQRi","properties":{"unsorted":false,"formattedCitation":"\\super 35\\nosupersub{}","plainCitation":"35","noteIndex":0},"citationItems":[{"id":222,"uris":["http://zotero.org/users/19404620/items/WA8VTCHT"],"itemData":{"id":222,"type":"article-journal","container-title":"Acta Crystallographica Section A","DOI":"10.1107/S0567739476001873","ISSN":"1600-5724","issue":"5","language":"en","note":"_eprint: https://onlinelibrary.wiley.com/doi/pdf/10.1107/S0567739476001873","page":"922-923","source":"Wiley Online Library","title":"A solution for the best rotation to relate two sets of vectors","volume":"32","author":[{"family":"Kabsch","given":"W."}],"issued":{"date-parts":[["1976"]]}}}],"schema":"https://github.com/citation-style-language/schema/raw/master/csl-citation.json"} </w:instrText>
      </w:r>
      <w:r>
        <w:fldChar w:fldCharType="separate"/>
      </w:r>
      <w:r>
        <w:rPr>
          <w:vertAlign w:val="superscript"/>
        </w:rPr>
        <w:t>35</w:t>
      </w:r>
      <w:r>
        <w:fldChar w:fldCharType="end"/>
      </w:r>
      <w:r>
        <w:t xml:space="preserve"> Replicate starting structures were generated by applying small coordinate jitter (0.1 Å) before local minimization. During the initial restrained minimization, heavy atoms more than 8 Å from DOR were harmonically restrained, allowing the binding-pocket region to relax while limiting global structural drift.</w:t>
      </w:r>
    </w:p>
    <w:p w14:paraId="4E745352" w14:textId="77777777" w:rsidR="004260F0" w:rsidRPr="00E536AD" w:rsidRDefault="004260F0" w:rsidP="004260F0">
      <w:pPr>
        <w:pStyle w:val="TAMainText"/>
        <w:rPr>
          <w:rFonts w:ascii="Times New Roman" w:hAnsi="Times New Roman"/>
          <w:szCs w:val="24"/>
        </w:rPr>
      </w:pPr>
      <w:r>
        <w:rPr>
          <w:b/>
          <w:bCs/>
          <w:u w:val="single"/>
        </w:rPr>
        <w:t>Molecular dynamics simulations</w:t>
      </w:r>
    </w:p>
    <w:p w14:paraId="5FAD562A" w14:textId="77777777" w:rsidR="004260F0" w:rsidRPr="00E536AD" w:rsidRDefault="0045260D" w:rsidP="004260F0">
      <w:pPr>
        <w:pStyle w:val="TAMainText"/>
        <w:spacing w:after="240"/>
        <w:rPr>
          <w:rFonts w:ascii="Times New Roman" w:hAnsi="Times New Roman"/>
          <w:szCs w:val="24"/>
        </w:rPr>
      </w:pPr>
      <w:r>
        <w:t xml:space="preserve">Equilibrium MD simulations were performed with </w:t>
      </w:r>
      <w:proofErr w:type="spellStart"/>
      <w:r>
        <w:t>OpenMM</w:t>
      </w:r>
      <w:proofErr w:type="spellEnd"/>
      <w:r>
        <w:t xml:space="preserve"> 8.5.2.</w:t>
      </w:r>
      <w:r>
        <w:fldChar w:fldCharType="begin"/>
      </w:r>
      <w:r>
        <w:instrText xml:space="preserve"> ADDIN ZOTERO_ITEM CSL_CITATION {"citationID":"Z4dhb7v9","properties":{"unsorted":false,"formattedCitation":"\\super 36\\nosupersub{}","plainCitation":"36","noteIndex":0},"citationItems":[{"id":225,"uris":["http://zotero.org/users/19404620/items/VF4HPM48"],"itemData":{"id":225,"type":"article-journal","abstract":"OpenMM is a molecular dynamics simulation toolkit with a unique focus on extensibility. It allows users to easily add new features, including forces with novel functional forms, new integration algorithms, and new simulation protocols. Those features automatically work on all supported hardware types (including both CPUs and GPUs) and perform well on all of them. In many cases they require minimal coding, just a mathematical description of the desired function. They also require no modification to OpenMM itself and can be distributed independently of OpenMM. This makes it an ideal tool for researchers developing new simulation methods, and also allows those new methods to be immediately available to the larger community.","container-title":"PLOS Computational Biology","DOI":"10.1371/journal.pcbi.1005659","ISSN":"1553-7358","issue":"7","journalAbbreviation":"PLOS Computational Biology","language":"en","page":"e1005659","publisher":"Public Library of Science","source":"PLoS Journals","title":"OpenMM 7: Rapid development of high performance algorithms for molecular dynamics","title-short":"OpenMM 7","volume":"13","author":[{"family":"Eastman","given":"Peter"},{"family":"Swails","given":"Jason"},{"family":"Chodera","given":"John D."},{"family":"McGibbon","given":"Robert T."},{"family":"Zhao","given":"Yutong"},{"family":"Beauchamp","given":"Kyle A."},{"family":"Wang","given":"Lee-Ping"},{"family":"Simmonett","given":"Andrew C."},{"family":"Harrigan","given":"Matthew P."},{"family":"Stern","given":"Chaya D."},{"family":"Wiewiora","given":"Rafal P."},{"family":"Brooks","given":"Bernard R."},{"family":"Pande","given":"Vijay S."}],"issued":{"date-parts":[["2017",7,26]]}}}],"schema":"https://github.com/citation-style-language/schema/raw/master/csl-citation.json"} </w:instrText>
      </w:r>
      <w:r>
        <w:fldChar w:fldCharType="separate"/>
      </w:r>
      <w:r>
        <w:rPr>
          <w:vertAlign w:val="superscript"/>
        </w:rPr>
        <w:t>36</w:t>
      </w:r>
      <w:r>
        <w:fldChar w:fldCharType="end"/>
      </w:r>
      <w:r>
        <w:t xml:space="preserve"> Protein parameters were assigned from the Amber14 </w:t>
      </w:r>
      <w:proofErr w:type="spellStart"/>
      <w:r>
        <w:t>OpenMM</w:t>
      </w:r>
      <w:proofErr w:type="spellEnd"/>
      <w:r>
        <w:t xml:space="preserve"> force-field files, using ff14SB for protein,</w:t>
      </w:r>
      <w:r>
        <w:fldChar w:fldCharType="begin"/>
      </w:r>
      <w:r>
        <w:instrText xml:space="preserve"> ADDIN ZOTERO_ITEM CSL_CITATION {"citationID":"4nmpHmwv","properties":{"unsorted":false,"formattedCitation":"\\super 37\\nosupersub{}","plainCitation":"37","noteIndex":0},"citationItems":[{"id":227,"uris":["http://zotero.org/users/19404620/items/EYI2KZ5Y"],"itemData":{"id":227,"type":"article-journal","abstract":"Molecular mechanics is powerful for its speed in atomistic simulations, but an accurate force field is required. The Amber ff99SB force field improved protein secondary structure balance and dynamics from earlier force fields like ff99, but weaknesses in side chain rotamer and backbone secondary structure preferences have been identified. Here, we performed a complete refit of all amino acid side chain dihedral parameters, which had been carried over from ff94. The training set of conformations included multidimensional dihedral scans designed to improve transferability of the parameters. Improvement in all amino acids was obtained as compared to ff99SB. Parameters were also generated for alternate protonation states of ionizable side chains. Average errors in relative energies of pairs of conformations were under 1.0 kcal/mol as compared to QM, reduced 35% from ff99SB. We also took the opportunity to make empirical adjustments to the protein backbone dihedral parameters as compared to ff99SB. Multiple small adjustments of φ and ψ parameters were tested against NMR scalar coupling data and secondary structure content for short peptides. The best results were obtained from a physically motivated adjustment to the φ rotational profile that compensates for lack of ff99SB QM training data in the β-ppII transition region. Together, these backbone and side chain modifications (hereafter called ff14SB) not only better reproduced their benchmarks, but also improved secondary structure content in small peptides and reproduction of NMR χ1 scalar coupling measurements for proteins in solution. We also discuss the Amber ff12SB parameter set, a preliminary version of ff14SB that includes most of its improvements.","container-title":"Journal of Chemical Theory and Computation","DOI":"10.1021/acs.jctc.5b00255","ISSN":"1549-9618","issue":"8","journalAbbreviation":"J. Chem. Theory Comput.","page":"3696-3713","publisher":"American Chemical Society","source":"ACS Publications","title":"ff14SB: Improving the Accuracy of Protein Side Chain and Backbone Parameters from ff99SB","title-short":"ff14SB","volume":"11","author":[{"family":"Maier","given":"James A."},{"family":"Martinez","given":"Carmenza"},{"family":"Kasavajhala","given":"Koushik"},{"family":"Wickstrom","given":"Lauren"},{"family":"Hauser","given":"Kevin E."},{"family":"Simmerling","given":"Carlos"}],"issued":{"date-parts":[["2015",8,11]]}}}],"schema":"https://github.com/citation-style-language/schema/raw/master/csl-citation.json"} </w:instrText>
      </w:r>
      <w:r>
        <w:fldChar w:fldCharType="separate"/>
      </w:r>
      <w:r>
        <w:rPr>
          <w:vertAlign w:val="superscript"/>
        </w:rPr>
        <w:t>37</w:t>
      </w:r>
      <w:r>
        <w:fldChar w:fldCharType="end"/>
      </w:r>
      <w:r>
        <w:t xml:space="preserve"> and TIP3P water.</w:t>
      </w:r>
      <w:r>
        <w:fldChar w:fldCharType="begin"/>
      </w:r>
      <w:r>
        <w:instrText xml:space="preserve"> ADDIN ZOTERO_ITEM CSL_CITATION {"citationID":"dMRtWl0M","properties":{"unsorted":false,"formattedCitation":"\\super 38\\nosupersub{}","plainCitation":"38","noteIndex":0},"citationItems":[{"id":231,"uris":["http://zotero.org/users/19404620/items/6F4CWEFZ"],"itemData":{"id":231,"type":"article-journal","abstract":"Classical Monte Carlo simulations have been carried out for liquid water in the NPT ensemble at 25 °C and 1 atm using six of the simpler intermolecular potential functions for the water dimer: Bernal–Fowler (BF), SPC, ST2, TIPS2, TIP3P, and TIP4P. Comparisons are made with experimental thermodynamic and structural data including the recent neutron diffraction results of Thiessen and Narten. The computed densities and potential energies are in reasonable accord with experiment except for the original BF model, which yields an 18% overestimate of the density and poor structural results. The TIPS2 and TIP4P potentials yield oxygen–oxygen partial structure functions in good agreement with the neutron diffraction results. The accord with the experimental OH and HH partial structure functions is poorer; however, the computed results for these functions are similar for all the potential functions. Consequently, the discrepancy may be due to the correction terms needed in processing the neutron data or to an effect uniformly neglected in the computations. Comparisons are also made for self‐diffusion coefficients obtained from molecular dynamics simulations. Overall, the SPC, ST2, TIPS2, and TIP4P models give reasonable structural and thermodynamic descriptions of liquid water and they should be useful in simulations of aqueous solutions. The simplicity of the SPC, TIPS2, and TIP4P functions is also attractive from a computational standpoint.","container-title":"The Journal of Chemical Physics","DOI":"10.1063/1.445869","ISSN":"0021-9606","issue":"2","journalAbbreviation":"J. Chem. Phys.","page":"926-935","source":"Silverchair","title":"Comparison of simple potential functions for simulating liquid water","volume":"79","author":[{"family":"Jorgensen","given":"William L."},{"family":"Chandrasekhar","given":"Jayaraman"},{"family":"Madura","given":"Jeffry D."},{"family":"Impey","given":"Roger W."},{"family":"Klein","given":"Michael L."}],"issued":{"date-parts":[["1983",7,15]]}}}],"schema":"https://github.com/citation-style-language/schema/raw/master/csl-citation.json"} </w:instrText>
      </w:r>
      <w:r>
        <w:fldChar w:fldCharType="separate"/>
      </w:r>
      <w:r>
        <w:rPr>
          <w:vertAlign w:val="superscript"/>
        </w:rPr>
        <w:t>38</w:t>
      </w:r>
      <w:r>
        <w:fldChar w:fldCharType="end"/>
      </w:r>
      <w:r>
        <w:t xml:space="preserve"> DOR parameters were generated through the </w:t>
      </w:r>
      <w:proofErr w:type="spellStart"/>
      <w:r>
        <w:t>OpenFF</w:t>
      </w:r>
      <w:proofErr w:type="spellEnd"/>
      <w:r>
        <w:t>/SMIRNOFF template generator (</w:t>
      </w:r>
      <w:proofErr w:type="spellStart"/>
      <w:r>
        <w:t>openmmforcefields</w:t>
      </w:r>
      <w:proofErr w:type="spellEnd"/>
      <w:r>
        <w:t xml:space="preserve"> 0.16.0, </w:t>
      </w:r>
      <w:proofErr w:type="spellStart"/>
      <w:r>
        <w:t>OpenFF</w:t>
      </w:r>
      <w:proofErr w:type="spellEnd"/>
      <w:r>
        <w:t xml:space="preserve"> Toolkit 0.18.0) using direct chemical perception,</w:t>
      </w:r>
      <w:r>
        <w:fldChar w:fldCharType="begin"/>
      </w:r>
      <w:r>
        <w:instrText xml:space="preserve"> ADDIN ZOTERO_ITEM CSL_CITATION {"citationID":"UnebaBif","properties":{"unsorted":false,"formattedCitation":"\\super 39\\nosupersub{}","plainCitation":"39","noteIndex":0},"citationItems":[{"id":233,"uris":["http://zotero.org/users/19404620/items/E6BDSEJC"],"itemData":{"id":233,"type":"article-journal","abstract":"Traditional approaches to specifying a molecular mechanics force field encode all the information needed to assign force field parameters to a given molecule into a discrete set of atom types. This is equivalent to a representation consisting of a molecular graph comprising a set of vertices, which represent atoms labeled by atom type, and unlabeled edges, which represent chemical bonds. Bond stretch, angle bend, and dihedral parameters are then assigned by looking up bonded pairs, triplets, and quartets of atom types in parameter tables to assign valence terms and using the atom types themselves to assign nonbonded parameters. This approach, which we call indirect chemical perception because it operates on the intermediate graph of atom-typed nodes, creates a number of technical problems. For example, atom types must be sufficiently complex to encode all necessary information about the molecular environment, making it difficult to extend force fields encoded this way. Atom typing also results in a proliferation of redundant parameters applied to chemically equivalent classes of valence terms, needlessly increasing force field complexity. Here, we describe a new approach to assigning force field parameters via direct chemical perception. Rather than working through the intermediary of the atom-typed graph, direct chemical perception operates directly on the unmodified chemical graph of the molecule to assign parameters. In particular, parameters are assigned to each type of force field term (e.g., bond stretch, angle bend, torsion, and Lennard–Jones) based on standard chemical substructure queries implemented via the industry-standard SMARTS chemical perception language, using SMIRKS extensions that permit labeling of specific atoms within a chemical pattern. We use this to implement a new force field format, called the SMIRKS Native Open Force Field (SMIRNOFF) format. We demonstrate the power and generality of this approach using examples of specific molecules that pose problems for indirect chemical perception and construct and validate a minimalist yet very general force field, SMIRNOFF99Frosst. We find that a parameter definition file only ∼300 lines long provides coverage of all but &lt;0.02% of a 5 million molecule drug-like test set. Despite its simplicity, the accuracy of SMIRNOFF99Frosst for small molecule hydration free energies and selected properties of pure organic liquids is similar to that of the General Amber Force Field, whose specification requires thousands of parameters. This force field provides a starting point for further optimization and refitting work to follow.","container-title":"Journal of Chemical Theory and Computation","DOI":"10.1021/acs.jctc.8b00640","ISSN":"1549-9618","issue":"11","journalAbbreviation":"J. Chem. Theory Comput.","page":"6076-6092","publisher":"American Chemical Society","source":"ACS Publications","title":"Escaping Atom Types in Force Fields Using Direct Chemical Perception","volume":"14","author":[{"family":"Mobley","given":"David L."},{"family":"Bannan","given":"Caitlin C."},{"family":"Rizzi","given":"Andrea"},{"family":"Bayly","given":"Christopher I."},{"family":"Chodera","given":"John D."},{"family":"Lim","given":"Victoria T."},{"family":"Lim","given":"Nathan M."},{"family":"Beauchamp","given":"Kyle A."},{"family":"Slochower","given":"David R."},{"family":"Shirts","given":"Michael R."},{"family":"Gilson","given":"Michael K."},{"family":"Eastman","given":"Peter K."}],"issued":{"date-parts":[["2018",11,13]]}}}],"schema":"https://github.com/citation-style-language/schema/raw/master/csl-citation.json"} </w:instrText>
      </w:r>
      <w:r>
        <w:fldChar w:fldCharType="separate"/>
      </w:r>
      <w:r>
        <w:rPr>
          <w:vertAlign w:val="superscript"/>
        </w:rPr>
        <w:t>39</w:t>
      </w:r>
      <w:r>
        <w:fldChar w:fldCharType="end"/>
      </w:r>
      <w:r>
        <w:t xml:space="preserve"> with </w:t>
      </w:r>
      <w:r>
        <w:lastRenderedPageBreak/>
        <w:t>Gasteiger partial charges.</w:t>
      </w:r>
      <w:r>
        <w:fldChar w:fldCharType="begin"/>
      </w:r>
      <w:r>
        <w:instrText xml:space="preserve"> ADDIN ZOTERO_ITEM CSL_CITATION {"citationID":"eGQafwOT","properties":{"unsorted":false,"formattedCitation":"\\super 40\\nosupersub{}","plainCitation":"40","noteIndex":0},"citationItems":[{"id":235,"uris":["http://zotero.org/users/19404620/items/TBIEN3LN"],"itemData":{"id":235,"type":"article-journal","abstract":"A method is presented for the rapid calculation of atomic charges in σ-bonded and nonconjugated π-systems. Atoms are characterized by their orbital electronegativities. In the calculation only the connectivities of the atoms are considered. Thus only the topology of a molecule is of importance. Through an iterative procedure partial equalization of orbital electronegativity is obtained. Excellent correlations of the atomic charges with core electron binding energies and with acidity constants are observed. This establishes their value in predicting experimental data.","container-title":"Tetrahedron","DOI":"10.1016/0040-4020(80)80168-2","ISSN":"0040-4020","issue":"22","journalAbbreviation":"Tetrahedron","page":"3219-3228","source":"ScienceDirect","title":"Iterative partial equalization of orbital electronegativity—a rapid access to atomic charges","volume":"36","author":[{"family":"Gasteiger","given":"Johann"},{"family":"Marsili","given":"Mario"}],"issued":{"date-parts":[["1980",1,1]]}}}],"schema":"https://github.com/citation-style-language/schema/raw/master/csl-citation.json"} </w:instrText>
      </w:r>
      <w:r>
        <w:fldChar w:fldCharType="separate"/>
      </w:r>
      <w:r>
        <w:rPr>
          <w:vertAlign w:val="superscript"/>
        </w:rPr>
        <w:t>40</w:t>
      </w:r>
      <w:r>
        <w:fldChar w:fldCharType="end"/>
      </w:r>
      <w:r>
        <w:t xml:space="preserve"> Each complex was solvated in a TIP3P periodic box with 1.0 nm padding and neutralized at 0.15 M ionic strength. Nonbonded interactions used particle-mesh Ewald electrostatics</w:t>
      </w:r>
      <w:r>
        <w:fldChar w:fldCharType="begin"/>
      </w:r>
      <w:r>
        <w:instrText xml:space="preserve"> ADDIN ZOTERO_ITEM CSL_CITATION {"citationID":"R2wUPQOt","properties":{"unsorted":false,"formattedCitation":"\\super 41\\nosupersub{}","plainCitation":"41","noteIndex":0},"citationItems":[{"id":237,"uris":["http://zotero.org/users/19404620/items/JJF3VIYX"],"itemData":{"id":237,"type":"article-journal","abstract":"An N⋅log(N) method for evaluating electrostatic energies and forces of large periodic systems is presented. The method is based on interpolation of the reciprocal space Ewald sums and evaluation of the resulting convolutions using fast Fourier transforms. Timings and accuracies are presented for three large crystalline ionic systems.","container-title":"The Journal of Chemical Physics","DOI":"10.1063/1.464397","ISSN":"0021-9606","issue":"12","journalAbbreviation":"J. Chem. Phys.","page":"10089-10092","source":"Silverchair","title":"Particle mesh Ewald: An N⋅log(N) method for Ewald sums in large systems","title-short":"Particle mesh Ewald","volume":"98","author":[{"family":"Darden","given":"Tom"},{"family":"York","given":"Darrin"},{"family":"Pedersen","given":"Lee"}],"issued":{"date-parts":[["1993",6,15]]}}}],"schema":"https://github.com/citation-style-language/schema/raw/master/csl-citation.json"} </w:instrText>
      </w:r>
      <w:r>
        <w:fldChar w:fldCharType="separate"/>
      </w:r>
      <w:r>
        <w:rPr>
          <w:vertAlign w:val="superscript"/>
        </w:rPr>
        <w:t>41</w:t>
      </w:r>
      <w:r>
        <w:fldChar w:fldCharType="end"/>
      </w:r>
      <w:r>
        <w:t xml:space="preserve"> with a 1.0 nm cutoff, and bonds to hydrogen atoms were constrained.</w:t>
      </w:r>
    </w:p>
    <w:p w14:paraId="17CF803F" w14:textId="77777777" w:rsidR="004260F0" w:rsidRPr="00E536AD" w:rsidRDefault="004260F0" w:rsidP="004260F0">
      <w:pPr>
        <w:pStyle w:val="TAMainText"/>
        <w:spacing w:after="240"/>
        <w:rPr>
          <w:rFonts w:ascii="Times New Roman" w:hAnsi="Times New Roman"/>
          <w:szCs w:val="24"/>
        </w:rPr>
      </w:pPr>
      <w:r>
        <w:t>Each RT-DOR complex was simulated in three independent 100 ns production replicates. Systems underwent a short pre-production minimization of the solvated system, followed by staged C</w:t>
      </w:r>
      <w:r>
        <w:rPr>
          <w:vertAlign w:val="subscript"/>
        </w:rPr>
        <w:t>α</w:t>
      </w:r>
      <w:r>
        <w:t>-restrained and unrestrained minimization (1,000 iterations at 50 kcal mol</w:t>
      </w:r>
      <w:r>
        <w:rPr>
          <w:vertAlign w:val="superscript"/>
        </w:rPr>
        <w:t>−1</w:t>
      </w:r>
      <w:r>
        <w:t xml:space="preserve"> Å</w:t>
      </w:r>
      <w:r>
        <w:rPr>
          <w:vertAlign w:val="superscript"/>
        </w:rPr>
        <w:t>−2</w:t>
      </w:r>
      <w:r>
        <w:t>, 1,000 iterations at 10 kcal mol</w:t>
      </w:r>
      <w:r>
        <w:rPr>
          <w:vertAlign w:val="superscript"/>
        </w:rPr>
        <w:t>−1</w:t>
      </w:r>
      <w:r>
        <w:t xml:space="preserve"> Å</w:t>
      </w:r>
      <w:r>
        <w:rPr>
          <w:vertAlign w:val="superscript"/>
        </w:rPr>
        <w:t>−2</w:t>
      </w:r>
      <w:r>
        <w:t xml:space="preserve">, and 5,000 unrestrained iterations). Systems were then heated from 10 K to 300 K over 25 </w:t>
      </w:r>
      <w:proofErr w:type="spellStart"/>
      <w:r>
        <w:t>ps</w:t>
      </w:r>
      <w:proofErr w:type="spellEnd"/>
      <w:r>
        <w:t xml:space="preserve"> under NVT conditions. Production simulations were run at 300 K and 1 bar using the Langevin middle integrator, a 2 fs timestep, 1 ps</w:t>
      </w:r>
      <w:r>
        <w:rPr>
          <w:vertAlign w:val="superscript"/>
        </w:rPr>
        <w:t>−1</w:t>
      </w:r>
      <w:r>
        <w:t xml:space="preserve"> friction coefficient, and a Monte Carlo </w:t>
      </w:r>
      <w:proofErr w:type="spellStart"/>
      <w:r>
        <w:t>barostat</w:t>
      </w:r>
      <w:proofErr w:type="spellEnd"/>
      <w:r>
        <w:t xml:space="preserve"> with a 25-step coupling interval. State information was written every 2,000 integration steps. For downstream analysis, stripped protein-plus-ligand DCD trajectories were saved at approximately 200 evenly spaced frames per 100 ns production simulation.</w:t>
      </w:r>
    </w:p>
    <w:p w14:paraId="0E77B573" w14:textId="77777777" w:rsidR="004260F0" w:rsidRPr="00E536AD" w:rsidRDefault="004260F0" w:rsidP="004260F0">
      <w:pPr>
        <w:pStyle w:val="TAMainText"/>
        <w:rPr>
          <w:rFonts w:ascii="Times New Roman" w:hAnsi="Times New Roman"/>
          <w:szCs w:val="24"/>
        </w:rPr>
      </w:pPr>
      <w:r>
        <w:rPr>
          <w:b/>
          <w:bCs/>
          <w:u w:val="single"/>
        </w:rPr>
        <w:t>Trajectory processing and structural features</w:t>
      </w:r>
    </w:p>
    <w:p w14:paraId="2178B7F9" w14:textId="77777777" w:rsidR="00C707F9" w:rsidRPr="00E536AD" w:rsidRDefault="004260F0" w:rsidP="00C707F9">
      <w:pPr>
        <w:pStyle w:val="TAMainText"/>
        <w:spacing w:after="240"/>
        <w:rPr>
          <w:rFonts w:ascii="Times New Roman" w:hAnsi="Times New Roman"/>
          <w:szCs w:val="24"/>
        </w:rPr>
      </w:pPr>
      <w:r>
        <w:t xml:space="preserve">Trajectory analyses were performed with </w:t>
      </w:r>
      <w:proofErr w:type="spellStart"/>
      <w:r>
        <w:t>MDAnalysis</w:t>
      </w:r>
      <w:proofErr w:type="spellEnd"/>
      <w:r>
        <w:t xml:space="preserve"> 2.10.0</w:t>
      </w:r>
      <w:r>
        <w:fldChar w:fldCharType="begin"/>
      </w:r>
      <w:r>
        <w:instrText xml:space="preserve"> ADDIN ZOTERO_ITEM CSL_CITATION {"citationID":"dulF9I72","properties":{"unsorted":false,"formattedCitation":"\\super 42\\nosupersub{}","plainCitation":"42","noteIndex":0},"citationItems":[{"id":240,"uris":["http://zotero.org/users/19404620/items/RPEHK5MV"],"itemData":{"id":240,"type":"article-journal","abstract":"MDAnalysis is an object-oriented library for structural and temporal analysis of molecular dynamics (MD) simulation trajectories and individual protein structures. It is written in the Python language with some performance-critical code in C. It uses the powerful NumPy package to expose trajectory data as fast and efficient NumPy arrays. It has been tested on systems of millions of particles. Many common file formats of simulation packages including CHARMM, Gromacs, Amber, and NAMD and the Protein Data Bank format can be read and written. Atoms can be selected with a syntax similar to CHARMM's powerful selection commands. MDAnalysis enables both novice and experienced programmers to rapidly write their own analytical tools and access data stored in trajectories in an easily accessible manner that facilitates interactive explorative analysis. MDAnalysis has been tested on and works for most Unix-based platforms such as Linux and Mac OS X. It is freely available under the GNU General Public License from http://mdanalysis.googlecode.com. © 2011 Wiley Periodicals, Inc. J Comput Chem 2011","container-title":"Journal of Computational Chemistry","DOI":"10.1002/jcc.21787","ISSN":"1096-987X","issue":"10","language":"en","license":"Copyright © 2011 Wiley Periodicals, Inc.","note":"_eprint: https://onlinelibrary.wiley.com/doi/pdf/10.1002/jcc.21787","page":"2319-2327","source":"Wiley Online Library","title":"MDAnalysis: A toolkit for the analysis of molecular dynamics simulations","title-short":"MDAnalysis","volume":"32","author":[{"family":"Michaud-Agrawal","given":"Naveen"},{"family":"Denning","given":"Elizabeth J."},{"family":"Woolf","given":"Thomas B."},{"family":"Beckstein","given":"Oliver"}],"issued":{"date-parts":[["2011"]]}}}],"schema":"https://github.com/citation-style-language/schema/raw/master/csl-citation.json"} </w:instrText>
      </w:r>
      <w:r>
        <w:fldChar w:fldCharType="separate"/>
      </w:r>
      <w:r>
        <w:rPr>
          <w:vertAlign w:val="superscript"/>
        </w:rPr>
        <w:t>42</w:t>
      </w:r>
      <w:r>
        <w:fldChar w:fldCharType="end"/>
      </w:r>
      <w:r>
        <w:t xml:space="preserve"> and </w:t>
      </w:r>
      <w:proofErr w:type="spellStart"/>
      <w:r>
        <w:t>MDTraj</w:t>
      </w:r>
      <w:proofErr w:type="spellEnd"/>
      <w:r>
        <w:t xml:space="preserve"> 1.11.1.</w:t>
      </w:r>
      <w:r>
        <w:fldChar w:fldCharType="begin"/>
      </w:r>
      <w:r>
        <w:instrText xml:space="preserve"> ADDIN ZOTERO_ITEM CSL_CITATION {"citationID":"MBYMA91P","properties":{"unsorted":false,"formattedCitation":"\\super 43\\nosupersub{}","plainCitation":"43","noteIndex":0},"citationItems":[{"id":243,"uris":["http://zotero.org/users/19404620/items/RFZX7FL3"],"itemData":{"id":243,"type":"article-journal","container-title":"Biophysical Journal","DOI":"10.1016/j.bpj.2015.08.015","ISSN":"0006-3495, 1542-0086","issue":"8","journalAbbreviation":"Biophysical Journal","language":"English","page":"1528-1532","PMID":"26488642","publisher":"Elsevier","source":"www.cell.com","title":"MDTraj: A Modern Open Library for the Analysis of Molecular Dynamics Trajectories","title-short":"MDTraj","volume":"109","author":[{"family":"McGibbon","given":"Robert T."},{"family":"Beauchamp","given":"Kyle A."},{"family":"Harrigan","given":"Matthew P."},{"family":"Klein","given":"Christoph"},{"family":"Swails","given":"Jason M."},{"family":"Hernández","given":"Carlos X."},{"family":"Schwantes","given":"Christian R."},{"family":"Wang","given":"Lee-Ping"},{"family":"Lane","given":"Thomas J."},{"family":"Pande","given":"Vijay S."}],"issued":{"date-parts":[["2015",10,20]]}}}],"schema":"https://github.com/citation-style-language/schema/raw/master/csl-citation.json"} </w:instrText>
      </w:r>
      <w:r>
        <w:fldChar w:fldCharType="separate"/>
      </w:r>
      <w:r>
        <w:rPr>
          <w:vertAlign w:val="superscript"/>
        </w:rPr>
        <w:t>43</w:t>
      </w:r>
      <w:r>
        <w:fldChar w:fldCharType="end"/>
      </w:r>
      <w:r>
        <w:t xml:space="preserve"> Periodic-boundary artifacts were corrected by making protein chains whole and wrapping DOR to the nearest periodic image of the protein center of mass. For structural comparisons, trajectories were aligned to the crystal structure reference using C</w:t>
      </w:r>
      <w:r>
        <w:rPr>
          <w:vertAlign w:val="subscript"/>
        </w:rPr>
        <w:t>α</w:t>
      </w:r>
      <w:r>
        <w:t xml:space="preserve"> atoms. All structural quantities were computed per frame and averaged within each replicate before being averaged across the three replicates, so that reported uncertainties reflect replicate-to-replicate variation rather than frame-to-frame fluctuation.</w:t>
      </w:r>
    </w:p>
    <w:p w14:paraId="2F3691F7" w14:textId="77777777" w:rsidR="00C707F9" w:rsidRPr="00E536AD" w:rsidRDefault="00C707F9" w:rsidP="00C707F9">
      <w:pPr>
        <w:pStyle w:val="TAMainText"/>
        <w:spacing w:after="240"/>
        <w:rPr>
          <w:rFonts w:ascii="Times New Roman" w:hAnsi="Times New Roman"/>
          <w:szCs w:val="24"/>
        </w:rPr>
      </w:pPr>
      <w:r>
        <w:t xml:space="preserve">DOR pose root mean squared deviation (RMSD) was computed after protein-pocket alignment from DOR heavy atoms relative to the crystallographic pose, and the DOR–RT center-of-mass </w:t>
      </w:r>
      <w:r>
        <w:lastRenderedPageBreak/>
        <w:t>distance as the separation between the center of mass of DOR and that of the protein. Residue–DOR proximity was computed as the minimum heavy-atom distance between DOR and each specified RT residue; named interactions between specific atoms, such as the hydrogen bond between the Lys103 main-chain carbonyl oxygen and the DOR triazolinone nitrogen, were measured as the distance between those two atoms directly.</w:t>
      </w:r>
    </w:p>
    <w:p w14:paraId="5B8A87A5" w14:textId="77777777" w:rsidR="00C707F9" w:rsidRPr="00E536AD" w:rsidRDefault="00C707F9" w:rsidP="00C707F9">
      <w:pPr>
        <w:pStyle w:val="TAMainText"/>
        <w:spacing w:after="240"/>
        <w:rPr>
          <w:rFonts w:ascii="Times New Roman" w:hAnsi="Times New Roman"/>
          <w:szCs w:val="24"/>
        </w:rPr>
      </w:pPr>
      <w:r>
        <w:t>Contacts were counted as the number of protein–ligand heavy-atom pairs separated by less than 4.0 Å, so an RT atom lying close to several ligand atoms contributes once per pair. For the moiety-specific analysis, DOR heavy atoms were partitioned by bond connectivity into its three ring systems — chlorocyanophenyl, pyridinone and triazolinone — each taking its own exocyclic substituents (Figure 1B), with the shared ether oxygen and the methylene assigned to a linker group; contacts were then counted separately against each moiety.</w:t>
      </w:r>
    </w:p>
    <w:p w14:paraId="6C82B9C1" w14:textId="77777777" w:rsidR="00BD2F60" w:rsidRPr="00BD2F60" w:rsidRDefault="00C707F9" w:rsidP="00BD2F60">
      <w:pPr>
        <w:pStyle w:val="TAMainText"/>
        <w:spacing w:after="240"/>
      </w:pPr>
      <w:r>
        <w:t>Ring planes were obtained by singular value decomposition of the ring atom coordinates, the interplanar angle between two rings was taken as the angle between their normals, and the ring-centroid separation as the distance between their mean atomic positions. The NNIBP volume was computed per frame on a 0.75 Å cubic grid spanning a 10 Å sphere centered on the Cα centroid of the sixteen pocket-lining residues (p66 L100, K101, K103, V106, T107, V108, V179, Y181, Y188, V189, G190, F227, W229, L234 and Y318; p51 E138), counting grid points further from every protein heavy atom than that atom's van der Waals radius plus a 1.4 Å solvent probe.</w:t>
      </w:r>
    </w:p>
    <w:p w14:paraId="6E1D01C5" w14:textId="77777777" w:rsidR="004260F0" w:rsidRPr="00E536AD" w:rsidRDefault="004260F0" w:rsidP="004260F0">
      <w:pPr>
        <w:pStyle w:val="TAMainText"/>
        <w:rPr>
          <w:rFonts w:ascii="Times New Roman" w:hAnsi="Times New Roman"/>
          <w:b/>
          <w:bCs/>
          <w:szCs w:val="24"/>
          <w:u w:val="single"/>
        </w:rPr>
      </w:pPr>
      <w:r>
        <w:rPr>
          <w:b/>
          <w:bCs/>
          <w:u w:val="single"/>
        </w:rPr>
        <w:t>MM/GBSA Calculations</w:t>
      </w:r>
    </w:p>
    <w:p w14:paraId="69D9C88B" w14:textId="77777777" w:rsidR="009D3750" w:rsidRPr="00E536AD" w:rsidRDefault="004260F0" w:rsidP="004260F0">
      <w:pPr>
        <w:pStyle w:val="TAMainText"/>
        <w:spacing w:after="240"/>
        <w:rPr>
          <w:rFonts w:ascii="Times New Roman" w:hAnsi="Times New Roman"/>
          <w:szCs w:val="24"/>
        </w:rPr>
      </w:pPr>
      <w:r>
        <w:t>For each replicate trajectory, MM/GBSA energy components were computed from snapshots of the explicit-solvent simulations without the water molecules.</w:t>
      </w:r>
      <w:r>
        <w:fldChar w:fldCharType="begin"/>
      </w:r>
      <w:r>
        <w:instrText xml:space="preserve"> ADDIN ZOTERO_ITEM CSL_CITATION {"citationID":"wtMETtvS","properties":{"unsorted":false,"formattedCitation":"\\super 44\\nosupersub{}","plainCitation":"44","noteIndex":0},"citationItems":[{"id":246,"uris":["http://zotero.org/users/19404620/items/PXXKNW8K"],"itemData":{"id":246,"type":"article-journal","abstract":"Significant progress has been achieved in computational methods to treat solvent effects in recent years. Among various techniques, the continuum solvent approach appears to be practically promising because it can be used to calculate reliable interaction and solvation energies in complex systems. A computational scanning mutagenesis method, one of such new approaches, has been recently developed. It combines the molecular mechanical and continuum solvent approaches and allows one to identify the `hotspots' in binding interfaces from a single trajectory of a wild type complex. Such techniques can be also used as a tool to optimize the interacting species for the binding, or as a ranking procedure in high throughput screening.","container-title":"Perspectives in Drug Discovery and Design","DOI":"10.1023/A:1008763014207","ISSN":"1573-9023","issue":"1","journalAbbreviation":"Perspectives in Drug Discovery and Design","language":"en","page":"113-135","source":"Springer Link","title":"Combined molecular mechanical and continuum solvent approach (MM-PBSA/GBSA) to predict ligand binding","volume":"18","author":[{"family":"Massova","given":"Irina"},{"family":"Kollman","given":"Peter A."}],"issued":{"date-parts":[["2000",6,1]]}}}],"schema":"https://github.com/citation-style-language/schema/raw/master/csl-citation.json"} </w:instrText>
      </w:r>
      <w:r>
        <w:fldChar w:fldCharType="separate"/>
      </w:r>
      <w:r>
        <w:rPr>
          <w:vertAlign w:val="superscript"/>
        </w:rPr>
        <w:t>44</w:t>
      </w:r>
      <w:r>
        <w:fldChar w:fldCharType="end"/>
      </w:r>
      <w:r>
        <w:t xml:space="preserve"> The analysis used the same </w:t>
      </w:r>
      <w:r>
        <w:lastRenderedPageBreak/>
        <w:t>molecular-mechanics parameters as the production simulations. We evaluated complex, receptor (RT), and ligand (DOR) energies separately,</w:t>
      </w:r>
    </w:p>
    <w:p w14:paraId="62EF5E93" w14:textId="77777777" w:rsidR="009D3750" w:rsidRPr="00E536AD" w:rsidRDefault="0014765A" w:rsidP="009D3750">
      <w:pPr>
        <w:pStyle w:val="TAMainText"/>
        <w:spacing w:after="240"/>
        <w:jc w:val="center"/>
        <w:rPr>
          <w:rFonts w:ascii="Times New Roman" w:hAnsi="Times New Roman"/>
          <w:szCs w:val="24"/>
        </w:rPr>
      </w:pPr>
      <m:oMath>
        <m:r>
          <w:rPr>
            <w:rFonts w:ascii="Cambria Math" w:hAnsi="Cambria Math"/>
            <w:szCs w:val="24"/>
          </w:rPr>
          <m:t>∆E=</m:t>
        </m:r>
        <m:sSub>
          <m:sSubPr>
            <m:ctrlPr>
              <w:rPr>
                <w:rFonts w:ascii="Cambria Math" w:hAnsi="Cambria Math"/>
                <w:i/>
                <w:szCs w:val="24"/>
              </w:rPr>
            </m:ctrlPr>
          </m:sSubPr>
          <m:e>
            <m:r>
              <w:rPr>
                <w:rFonts w:ascii="Cambria Math" w:hAnsi="Cambria Math"/>
                <w:szCs w:val="24"/>
              </w:rPr>
              <m:t>E</m:t>
            </m:r>
          </m:e>
          <m:sub>
            <m:r>
              <w:rPr>
                <w:rFonts w:ascii="Cambria Math" w:hAnsi="Cambria Math"/>
                <w:szCs w:val="24"/>
              </w:rPr>
              <m:t>complex</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E</m:t>
            </m:r>
          </m:e>
          <m:sub>
            <m:r>
              <w:rPr>
                <w:rFonts w:ascii="Cambria Math" w:hAnsi="Cambria Math"/>
                <w:szCs w:val="24"/>
              </w:rPr>
              <m:t>receptor</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E</m:t>
            </m:r>
          </m:e>
          <m:sub>
            <m:r>
              <w:rPr>
                <w:rFonts w:ascii="Cambria Math" w:hAnsi="Cambria Math"/>
                <w:szCs w:val="24"/>
              </w:rPr>
              <m:t>ligand</m:t>
            </m:r>
          </m:sub>
        </m:sSub>
      </m:oMath>
      <w:r>
        <w:t>,</w:t>
      </w:r>
    </w:p>
    <w:p w14:paraId="140C24B1" w14:textId="77777777" w:rsidR="006E0AC1" w:rsidRPr="00E536AD" w:rsidRDefault="006E0AC1" w:rsidP="006E0AC1">
      <w:pPr>
        <w:pStyle w:val="TAMainText"/>
        <w:spacing w:after="240"/>
        <w:rPr>
          <w:rFonts w:ascii="Times New Roman" w:hAnsi="Times New Roman"/>
          <w:szCs w:val="24"/>
        </w:rPr>
      </w:pPr>
      <w:r>
        <w:t>and computed binding components as</w:t>
      </w:r>
    </w:p>
    <w:p w14:paraId="30E8545F" w14:textId="77777777" w:rsidR="006E0AC1" w:rsidRPr="00E536AD" w:rsidRDefault="0014765A" w:rsidP="006E0AC1">
      <w:pPr>
        <w:pStyle w:val="TAMainText"/>
        <w:spacing w:after="240"/>
        <w:jc w:val="center"/>
        <w:rPr>
          <w:rFonts w:ascii="Times New Roman" w:hAnsi="Times New Roman"/>
          <w:szCs w:val="24"/>
        </w:rPr>
      </w:pPr>
      <m:oMath>
        <m:r>
          <w:rPr>
            <w:rFonts w:ascii="Cambria Math" w:hAnsi="Cambria Math"/>
            <w:szCs w:val="24"/>
          </w:rPr>
          <m:t>∆E=</m:t>
        </m:r>
        <m:sSub>
          <m:sSubPr>
            <m:ctrlPr>
              <w:rPr>
                <w:rFonts w:ascii="Cambria Math" w:hAnsi="Cambria Math"/>
                <w:i/>
                <w:szCs w:val="24"/>
              </w:rPr>
            </m:ctrlPr>
          </m:sSubPr>
          <m:e>
            <m:r>
              <w:rPr>
                <w:rFonts w:ascii="Cambria Math" w:hAnsi="Cambria Math"/>
                <w:szCs w:val="24"/>
              </w:rPr>
              <m:t>∆E</m:t>
            </m:r>
          </m:e>
          <m:sub>
            <m:r>
              <w:rPr>
                <w:rFonts w:ascii="Cambria Math" w:hAnsi="Cambria Math"/>
                <w:szCs w:val="24"/>
              </w:rPr>
              <m:t>vdW</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∆E</m:t>
            </m:r>
          </m:e>
          <m:sub>
            <m:r>
              <w:rPr>
                <w:rFonts w:ascii="Cambria Math" w:hAnsi="Cambria Math"/>
                <w:szCs w:val="24"/>
              </w:rPr>
              <m:t>elec</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∆E</m:t>
            </m:r>
          </m:e>
          <m:sub>
            <m:r>
              <w:rPr>
                <w:rFonts w:ascii="Cambria Math" w:hAnsi="Cambria Math"/>
                <w:szCs w:val="24"/>
              </w:rPr>
              <m:t>GB</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∆E</m:t>
            </m:r>
          </m:e>
          <m:sub>
            <m:r>
              <w:rPr>
                <w:rFonts w:ascii="Cambria Math" w:hAnsi="Cambria Math"/>
                <w:szCs w:val="24"/>
              </w:rPr>
              <m:t>SA</m:t>
            </m:r>
          </m:sub>
        </m:sSub>
      </m:oMath>
      <w:r>
        <w:t>.</w:t>
      </w:r>
    </w:p>
    <w:p w14:paraId="5BF99195" w14:textId="0CA061A9" w:rsidR="00904E1B" w:rsidRPr="00CC484F" w:rsidRDefault="006E0AC1" w:rsidP="004260F0">
      <w:pPr>
        <w:pStyle w:val="TAMainText"/>
        <w:spacing w:after="240"/>
      </w:pPr>
      <w:r>
        <w:t>Here, ∆</w:t>
      </w:r>
      <w:proofErr w:type="spellStart"/>
      <w:r>
        <w:t>E</w:t>
      </w:r>
      <w:r>
        <w:rPr>
          <w:vertAlign w:val="subscript"/>
        </w:rPr>
        <w:t>vdW</w:t>
      </w:r>
      <w:proofErr w:type="spellEnd"/>
      <w:r>
        <w:t xml:space="preserve"> and ∆</w:t>
      </w:r>
      <w:proofErr w:type="spellStart"/>
      <w:r>
        <w:t>E</w:t>
      </w:r>
      <w:r>
        <w:rPr>
          <w:vertAlign w:val="subscript"/>
        </w:rPr>
        <w:t>elec</w:t>
      </w:r>
      <w:proofErr w:type="spellEnd"/>
      <w:r>
        <w:t xml:space="preserve"> are the van der Waals and electrostatic molecular-mechanics contributions evaluated by selectively zeroing the complementary nonbonded parameters. ∆E</w:t>
      </w:r>
      <w:r>
        <w:rPr>
          <w:vertAlign w:val="subscript"/>
        </w:rPr>
        <w:t>GB</w:t>
      </w:r>
      <w:r>
        <w:t xml:space="preserve"> is the polar solvation computed with the </w:t>
      </w:r>
      <w:proofErr w:type="spellStart"/>
      <w:r>
        <w:t>Onufriev</w:t>
      </w:r>
      <w:proofErr w:type="spellEnd"/>
      <w:r>
        <w:t>-Bashford-Case generalized Born model,</w:t>
      </w:r>
      <w:r>
        <w:fldChar w:fldCharType="begin"/>
      </w:r>
      <w:r>
        <w:instrText xml:space="preserve"> ADDIN ZOTERO_ITEM CSL_CITATION {"citationID":"zMKShQIN","properties":{"unsorted":false,"formattedCitation":"\\super 45\\nosupersub{}","plainCitation":"45","noteIndex":0},"citationItems":[{"id":248,"uris":["http://zotero.org/users/19404620/items/NR457Q7X"],"itemData":{"id":248,"type":"article-journal","abstract":"Implicit solvation models provide, for many applications, a reasonably accurate and computationally effective way to describe the electrostatics of aqueous solvation. Here, a popular analytical Generalized Born (GB) solvation model is modified to improve its accuracy in calculating the solvent polarization part of free energy changes in large-scale conformational transitions, such as protein folding. In contrast to an earlier GB model (implemented in the AMBER-6 program), the improved version does not overstabilize the native structures relative to the finite-difference Poisson–Boltzmann continuum treatment. In addition to improving the energy balance between folded and unfolded conformers, the algorithm (available in the AMBER-7 and NAB molecular modeling packages) is shown to perform well in more than 50 ns of native-state molecular dynamics (MD) simulations of thioredoxin, protein-A, and ubiquitin, as well as in a simulation of Barnase/Barstar complex formation. For thioredoxin, various combinations of input parameters have been explored, such as the underlying gas-phase force fields and the atomic radii. The best performance is achieved with a previously proposed modification to the torsional potential in the Amber ff99 force field, which yields stable native trajectories for all of the tested proteins, with backbone root-mean-square deviations from the native structures being ∼1.5 Å after 6 ns of simulation time. The structure of Barnase/Barstar complex is regenerated, starting from an unbound state, to within 1.9 Å relative to the crystal structure of the complex. Proteins 2004;55:000–000. © 2004 Wiley-Liss, Inc.","container-title":"Proteins: Structure, Function, and Bioinformatics","DOI":"10.1002/prot.20033","ISSN":"1097-0134","issue":"2","language":"en","license":"Copyright © 2004 Wiley-Liss, Inc.","note":"_eprint: https://onlinelibrary.wiley.com/doi/pdf/10.1002/prot.20033","page":"383-394","source":"Wiley Online Library","title":"Exploring protein native states and large-scale conformational changes with a modified generalized born model","volume":"55","author":[{"family":"Onufriev","given":"Alexey"},{"family":"Bashford","given":"Donald"},{"family":"Case","given":"David A."}],"issued":{"date-parts":[["2004"]]}}}],"schema":"https://github.com/citation-style-language/schema/raw/master/csl-citation.json"} </w:instrText>
      </w:r>
      <w:r>
        <w:fldChar w:fldCharType="separate"/>
      </w:r>
      <w:r>
        <w:rPr>
          <w:vertAlign w:val="superscript"/>
        </w:rPr>
        <w:t>45</w:t>
      </w:r>
      <w:r>
        <w:fldChar w:fldCharType="end"/>
      </w:r>
      <w:r>
        <w:t xml:space="preserve"> and ∆E</w:t>
      </w:r>
      <w:r>
        <w:rPr>
          <w:vertAlign w:val="subscript"/>
        </w:rPr>
        <w:t>SA</w:t>
      </w:r>
      <w:r>
        <w:t xml:space="preserve"> is the nonpolar contribution estimated from the solvent-accessible surface area. Each snapshot was energy-minimized with all atoms free before energy evaluation in double precision, to relieve artificial steric clashes; minimization was run to convergence over 2,000 iterations. </w:t>
      </w:r>
      <w:r>
        <w:t>Minimizing each snapshot before the energy evaluation follows established practice for end-point methods. Minimization-based MM-PBSA has been validated for drug discovery,</w:t>
      </w:r>
      <w:r w:rsidR="00CC484F">
        <w:fldChar w:fldCharType="begin"/>
      </w:r>
      <w:r w:rsidR="00CC484F">
        <w:instrText xml:space="preserve"> ADDIN ZOTERO_ITEM CSL_CITATION {"citationID":"5X0lGbDr","properties":{"unsorted":false,"formattedCitation":"\\super 46\\nosupersub{}","plainCitation":"46","noteIndex":0},"citationItems":[{"id":1703,"uris":["http://zotero.org/users/19404620/items/JMQEJNLS"],"itemData":{"id":1703,"type":"article-journal","abstract":"The MM-PBSA approach has become a popular method for calculating binding affinities of\nbiomolecular complexes. Published application examples focus on small test sets and few\nproteins and, hence, are of limited relevance in assessing the general validity of this method.\nTo further characterize MM-PBSA, we report on a more extensive study involving a large\nnumber of ligands and eight different proteins. Our results show that applying the MM-PBSA\nenergy function to a single, relaxed complex structure is an adequate and sometimes more\naccurate approach than the standard free energy averaging over molecular dynamics snapshots.\nThe use of MM-PBSA on a single structure is shown to be valuable (a) as a postdocking filter\nin further enriching virtual screening results, (b) as a helpful tool to prioritize de novo design\nsolutions, and (c) for distinguishing between good and weak binders (</w:instrText>
      </w:r>
      <w:r w:rsidR="00CC484F">
        <w:rPr>
          <w:rFonts w:hint="eastAsia"/>
        </w:rPr>
        <w:instrText>Δ</w:instrText>
      </w:r>
      <w:r w:rsidR="00CC484F">
        <w:instrText xml:space="preserve">pIC50 ≥ 2−3), but rarely\nto reproduce smaller free energy differences.","container-title":"Journal of Medicinal Chemistry","DOI":"10.1021/jm049081q","ISSN":"0022-2623","issue":"12","journalAbbreviation":"J. Med. Chem.","page":"4040-4048","source":"Silverchair","title":"Validation and Use of the MM-PBSA Approach for Drug Discovery","volume":"48","author":[{"family":"Kuhn","given":"Bernd"},{"family":"Gerber","given":"Paul"},{"family":"Schulz-Gasch","given":"Tanja"},{"family":"Stahl","given":"Martin"}],"issued":{"date-parts":[["2005",6,16]]}}}],"schema":"https://github.com/citation-style-language/schema/raw/master/csl-citation.json"} </w:instrText>
      </w:r>
      <w:r w:rsidR="00CC484F">
        <w:fldChar w:fldCharType="separate"/>
      </w:r>
      <w:r w:rsidR="00CC484F" w:rsidRPr="00CC484F">
        <w:rPr>
          <w:rFonts w:cs="Mangal"/>
          <w:szCs w:val="24"/>
          <w:vertAlign w:val="superscript"/>
          <w:lang w:bidi="hi-IN"/>
        </w:rPr>
        <w:t>46</w:t>
      </w:r>
      <w:r w:rsidR="00CC484F">
        <w:fldChar w:fldCharType="end"/>
      </w:r>
      <w:r>
        <w:t xml:space="preserve"> minimization-based MM-PBSA and MM-GBSA have been shown to reproduce the accuracy of ensemble averaging at a fraction of the cost,</w:t>
      </w:r>
      <w:r w:rsidR="00CC484F">
        <w:fldChar w:fldCharType="begin"/>
      </w:r>
      <w:r w:rsidR="00CC484F">
        <w:instrText xml:space="preserve"> ADDIN ZOTERO_ITEM CSL_CITATION {"citationID":"NU09VMf5","properties":{"unsorted":false,"formattedCitation":"\\super 47\\nosupersub{}","plainCitation":"47","noteIndex":0},"citationItems":[{"id":1700,"uris":["http://zotero.org/users/19404620/items/2JT6K2ZR"],"itemData":{"id":1700,"type":"article-journal","abstract":"In the drug discovery process, accurate methods of computing the affinity of small molecules with a biological target are strongly needed. This is particularly true for molecular docking and virtual screening methods, which use approximated scoring functions and struggle in estimating binding energies in correlation with experimental values. Among the various methods, MM-PBSA and MM-GBSA are emerging as useful and effective approaches. Although these methods are typically applied to large collections of equilibrated structures of protein-ligand complexes sampled during molecular dynamics in water, the possibility to reliably estimate ligand affinity using a single energy-minimized structure and implicit solvation models has not been explored in sufficient detail. Herein, we thoroughly investigate this hypothesis by comparing different methods for the generation of protein-ligand complexes and diverse methods for free energy prediction for their ability to correlate with experimental values. The methods were tested on a series of structurally diverse inhibitors of Plasmodium falciparum DHFR with known binding mode and measured affinities. The results showed that correlations between MM-PBSA or MM-GBSA binding free energies with experimental affinities were in most cases excellent. Importantly, we found that correlations obtained with the use of a single protein-ligand minimized structure and with implicit solvation models were similar to those obtained after averaging over multiple MD snapshots with explicit water molecules, with consequent save of computing time without loss of accuracy. When applied to a virtual screening experiment, such an approach proved to discriminate between true binders and decoy molecules and yielded significantly better enrichment curves. </w:instrText>
      </w:r>
      <w:r w:rsidR="00CC484F">
        <w:rPr>
          <w:rFonts w:hint="eastAsia"/>
        </w:rPr>
        <w:instrText>©</w:instrText>
      </w:r>
      <w:r w:rsidR="00CC484F">
        <w:instrText xml:space="preserve"> 2009 Wiley Periodicals, Inc. J Comput Chem, 2010","container-title":"Journal of Computational Chemistry","DOI":"10.1002/jcc.21372","ISSN":"1096-987X","issue":"4","language":"en","license":"Copyright </w:instrText>
      </w:r>
      <w:r w:rsidR="00CC484F">
        <w:rPr>
          <w:rFonts w:hint="eastAsia"/>
        </w:rPr>
        <w:instrText>©</w:instrText>
      </w:r>
      <w:r w:rsidR="00CC484F">
        <w:instrText xml:space="preserve"> 2009 Wiley Periodicals, Inc.","page":"797-810","source":"Wiley Online Library","title":"Fast and accurate predictions of binding free energies using MM-PBSA and MM-GBSA","volume":"31","author":[{"family":"Rastelli","given":"Giulio"},{"family":"Rio","given":"Alberto Del"},{"family":"Degliesposti","given":"Gianluca"},{"family":"Sgobba","given":"Miriam"}],"issued":{"date-parts":[["2010"]]}}}],"schema":"https://github.com/citation-style-language/schema/raw/master/csl-citation.json"} </w:instrText>
      </w:r>
      <w:r w:rsidR="00CC484F">
        <w:fldChar w:fldCharType="separate"/>
      </w:r>
      <w:r w:rsidR="00CC484F" w:rsidRPr="00CC484F">
        <w:rPr>
          <w:rFonts w:cs="Mangal"/>
          <w:szCs w:val="24"/>
          <w:vertAlign w:val="superscript"/>
          <w:lang w:bidi="hi-IN"/>
        </w:rPr>
        <w:t>47</w:t>
      </w:r>
      <w:r w:rsidR="00CC484F">
        <w:fldChar w:fldCharType="end"/>
      </w:r>
      <w:r>
        <w:t xml:space="preserve"> and minimizing from a series of MD snapshots, as done here, has been shown to give results similar to single-point ensemble averages.</w:t>
      </w:r>
      <w:r w:rsidR="00CC484F">
        <w:fldChar w:fldCharType="begin"/>
      </w:r>
      <w:r w:rsidR="00CC484F">
        <w:instrText xml:space="preserve"> ADDIN ZOTERO_ITEM CSL_CITATION {"citationID":"kUkdmCUp","properties":{"unsorted":false,"formattedCitation":"\\super 34,48\\nosupersub{}","plainCitation":"34,48","noteIndex":0},"citationItems":[{"id":361,"uris":["http://zotero.org/users/19404620/items/A8NFQWYD"],"itemData":{"id":361,"type":"article-journal","abstract":"Introduction: The molecular mechanics energies combined with the Poisson</w:instrText>
      </w:r>
      <w:r w:rsidR="00CC484F">
        <w:rPr>
          <w:rFonts w:hint="eastAsia"/>
        </w:rPr>
        <w:instrText>–</w:instrText>
      </w:r>
      <w:r w:rsidR="00CC484F">
        <w:instrText>Boltzmann or generalized Born and surface area continuum solvation (MM/PBSA and MM/GBSA) methods are popular approaches to estimate the free energy of the binding of small ligands to biological macromolecules. They are typically based on molecular dynamics simulations of the receptor</w:instrText>
      </w:r>
      <w:r w:rsidR="00CC484F">
        <w:rPr>
          <w:rFonts w:hint="eastAsia"/>
        </w:rPr>
        <w:instrText>–</w:instrText>
      </w:r>
      <w:r w:rsidR="00CC484F">
        <w:instrText xml:space="preserve">ligand complex and are therefore intermediate in both accuracy and computational effort between empirical scoring and strict alchemical perturbation methods. They have been applied to a large number of systems with varying success. Areas covered: The authors review the use of MM/PBSA and MM/GBSA methods to calculate ligand-binding affinities, with an emphasis on calibration, testing and validation, as well as attempts to improve the methods, rather than on specific applications. Expert opinion: MM/PBSA and MM/GBSA are attractive approaches owing to their modular nature and that they do not require calculations on a training set. They have been used successfully to reproduce and rationalize experimental findings and to improve the results of virtual screening and docking. However, they contain several crude and questionable approximations, for example, the lack of conformational entropy and information about the number and free energy of water molecules in the binding site. Moreover, there are many variants of the method and their performance varies strongly with the tested system. Likewise, most attempts to ameliorate the methods with more accurate approaches, for example, quantum-mechanical calculations, polarizable force fields or improved solvation have deteriorated the results.","container-title":"Expert Opinion on Drug Discovery","DOI":"10.1517/17460441.2015.1032936","ISSN":"1746-0441","issue":"5","page":"449-461","PMID":"25835573","publisher":"Taylor &amp; Francis","source":"Taylor and Francis+NEJM","title":"The MM/PBSA and MM/GBSA methods to estimate ligand-binding affinities","volume":"10","author":[{"family":"Genheden","given":"Samuel"},{"family":"Ryde","given":"Ulf"}],"issued":{"date-parts":[["2015",5,4]]}}},{"id":1697,"uris":["http://zotero.org/users/19404620/items/ADUEU9WW"],"itemData":{"id":1697,"type":"article-journal","abstract":"The free energy of binding between avidin and seven biotin analogues has been calculated with the molecular\nmechanics Poisson−Boltzmann surface area (MM/PBSA) method. We have studied how the force field\nand the method to generate geometries affect the calculated binding free energies. Four different force fields\nwere compared, but we saw no significant difference in the results. However, mixing the force fields used\nfor the geometry generation and energy calculations is not recommended. In the molecular dynamics\nsimulations, explicit water molecules must be used, but the size of the simulated system and the boundary\nconditions are less important. In fact, nonperiodic simulations with a fixed protein outside a relatively small\nsimulated system (18 </w:instrText>
      </w:r>
      <w:r w:rsidR="00CC484F">
        <w:rPr>
          <w:rFonts w:hint="eastAsia"/>
        </w:rPr>
        <w:instrText>Å</w:instrText>
      </w:r>
      <w:r w:rsidR="00CC484F">
        <w:instrText>) seem to be a proper approach. The mean absolute error was 9−19 kJ/mol, with a\nstandard error of 5−15 kJ/mol, which arises mainly from the entropy term.","container-title":"Journal of Medicinal Chemistry","DOI":"10.1021/jm0608210","ISSN":"0022-2623","issue":"22","journalAbbreviation":"J. Med. Chem.","page":"6596-6606","source":"Silverchair","title":"Ligand Affinities Predicted with the MM/PBSA Method:  Dependence on the Simulation Method and the Force Field","title-short":"Ligand Affinities Predicted with the MM/PBSA Method","volume":"49","author":[{"family":"Weis","given":"Aaron"},{"family":"Katebzadeh","given":"Kambiz"},{"family":"S</w:instrText>
      </w:r>
      <w:r w:rsidR="00CC484F">
        <w:rPr>
          <w:rFonts w:hint="eastAsia"/>
        </w:rPr>
        <w:instrText>ö</w:instrText>
      </w:r>
      <w:r w:rsidR="00CC484F">
        <w:instrText>derhjelm","given":"P</w:instrText>
      </w:r>
      <w:r w:rsidR="00CC484F">
        <w:rPr>
          <w:rFonts w:hint="eastAsia"/>
        </w:rPr>
        <w:instrText>ä</w:instrText>
      </w:r>
      <w:r w:rsidR="00CC484F">
        <w:instrText xml:space="preserve">r"},{"family":"Nilsson","given":"Ingemar"},{"family":"Ryde","given":"Ulf"}],"issued":{"date-parts":[["2006",11,2]]}}}],"schema":"https://github.com/citation-style-language/schema/raw/master/csl-citation.json"} </w:instrText>
      </w:r>
      <w:r w:rsidR="00CC484F">
        <w:fldChar w:fldCharType="separate"/>
      </w:r>
      <w:r w:rsidR="00CC484F" w:rsidRPr="00CC484F">
        <w:rPr>
          <w:rFonts w:cs="Mangal"/>
          <w:szCs w:val="24"/>
          <w:vertAlign w:val="superscript"/>
          <w:lang w:bidi="hi-IN"/>
        </w:rPr>
        <w:t>34,48</w:t>
      </w:r>
      <w:r w:rsidR="00CC484F">
        <w:fldChar w:fldCharType="end"/>
      </w:r>
      <w:r>
        <w:t xml:space="preserve"> Minimization relieves steric strain that single-point evaluation of frames sampled under explicit solvent, periodic boundary conditions and constrained bond lengths would otherwise carry into the cutoff-free, unconstrained implicit-solvent Hamiltonian used for scoring, where it contributes Lennard-Jones energies far larger than the binding signal. We minimized with all atoms free rather than restraining heavy atoms. Because this choice can reduce energetic noise and shift individual components, we report the sensitivity of </w:t>
      </w:r>
      <w:proofErr w:type="spellStart"/>
      <w:r>
        <w:t>ΔΔE</w:t>
      </w:r>
      <w:r w:rsidRPr="00CC484F">
        <w:rPr>
          <w:vertAlign w:val="subscript"/>
        </w:rPr>
        <w:t>Total</w:t>
      </w:r>
      <w:proofErr w:type="spellEnd"/>
      <w:r>
        <w:t xml:space="preserve"> and of each component to it, recomputing a subset of genotypes </w:t>
      </w:r>
      <w:r>
        <w:lastRenderedPageBreak/>
        <w:t>under single-point evaluation and under hydrogen-only relaxation with heavy atoms restrained (Supplementary Table 5).</w:t>
      </w:r>
      <w:r>
        <w:t xml:space="preserve"> That comparison shows ΔΔETotal to be materially sensitive to the choice. Single-point evaluation is dominated by residual steric contacts, with the excess confined to the van der Waals component, and hydrogen-only relaxation leaves replicate uncertainties as large as the WT-referenced shifts themselves, whereas the values reported here have replicate standard errors of 0.13 to 0.54 kcal/mol. It bears on the MM/GBSA column only: ΔΔGbind, which carries the principal claim, is an alchemical free energy and involves no snapshot minimization.</w:t>
      </w:r>
    </w:p>
    <w:p w14:paraId="3A71DBD4" w14:textId="12D919DD" w:rsidR="004B2222" w:rsidRPr="00E536AD" w:rsidRDefault="004B2222" w:rsidP="004260F0">
      <w:pPr>
        <w:pStyle w:val="TAMainText"/>
        <w:spacing w:after="240"/>
        <w:rPr>
          <w:rFonts w:ascii="Times New Roman" w:hAnsi="Times New Roman"/>
          <w:szCs w:val="24"/>
        </w:rPr>
      </w:pPr>
      <w:r>
        <w:t xml:space="preserve">Replicate means are reported from 100 snapshots spaced evenly across the post-equilibration portion (final 75 ns) of each production trajectory. WT-referenced shifts were calculated as </w:t>
      </w:r>
      <w:r>
        <w:t xml:space="preserve"> </w:t>
      </w:r>
    </w:p>
    <w:p w14:paraId="1052EF80" w14:textId="77777777" w:rsidR="00904E1B" w:rsidRPr="00E536AD" w:rsidRDefault="00FA647B" w:rsidP="00904E1B">
      <w:pPr>
        <w:pStyle w:val="TAMainText"/>
        <w:spacing w:after="240"/>
        <w:jc w:val="center"/>
        <w:rPr>
          <w:rFonts w:ascii="Times New Roman" w:hAnsi="Times New Roman"/>
          <w:szCs w:val="24"/>
        </w:rPr>
      </w:pPr>
      <m:oMath>
        <m:r>
          <m:rPr>
            <m:sty m:val="p"/>
          </m:rPr>
          <w:rPr>
            <w:rFonts w:ascii="Cambria Math" w:hAnsi="Cambria Math"/>
            <w:szCs w:val="24"/>
          </w:rPr>
          <m:t xml:space="preserve">∆∆E = </m:t>
        </m:r>
        <m:sSub>
          <m:sSubPr>
            <m:ctrlPr>
              <w:rPr>
                <w:rFonts w:ascii="Cambria Math" w:hAnsi="Cambria Math"/>
                <w:szCs w:val="24"/>
              </w:rPr>
            </m:ctrlPr>
          </m:sSubPr>
          <m:e>
            <m:r>
              <m:rPr>
                <m:sty m:val="p"/>
              </m:rPr>
              <w:rPr>
                <w:rFonts w:ascii="Cambria Math" w:hAnsi="Cambria Math"/>
                <w:szCs w:val="24"/>
              </w:rPr>
              <m:t>∆E</m:t>
            </m:r>
          </m:e>
          <m:sub>
            <m:r>
              <m:rPr>
                <m:sty m:val="p"/>
              </m:rPr>
              <w:rPr>
                <w:rFonts w:ascii="Cambria Math" w:hAnsi="Cambria Math"/>
                <w:szCs w:val="24"/>
                <w:vertAlign w:val="subscript"/>
              </w:rPr>
              <m:t>Mut</m:t>
            </m:r>
          </m:sub>
        </m:sSub>
        <m:r>
          <m:rPr>
            <m:sty m:val="p"/>
          </m:rPr>
          <w:rPr>
            <w:rFonts w:ascii="Cambria Math" w:hAnsi="Cambria Math"/>
            <w:szCs w:val="24"/>
          </w:rPr>
          <m:t xml:space="preserve"> - ⟨</m:t>
        </m:r>
        <m:sSub>
          <m:sSubPr>
            <m:ctrlPr>
              <w:rPr>
                <w:rFonts w:ascii="Cambria Math" w:hAnsi="Cambria Math"/>
                <w:szCs w:val="24"/>
              </w:rPr>
            </m:ctrlPr>
          </m:sSubPr>
          <m:e>
            <m:r>
              <m:rPr>
                <m:sty m:val="p"/>
              </m:rPr>
              <w:rPr>
                <w:rFonts w:ascii="Cambria Math" w:hAnsi="Cambria Math"/>
                <w:szCs w:val="24"/>
              </w:rPr>
              <m:t>∆E</m:t>
            </m:r>
          </m:e>
          <m:sub>
            <m:r>
              <m:rPr>
                <m:sty m:val="p"/>
              </m:rPr>
              <w:rPr>
                <w:rFonts w:ascii="Cambria Math" w:hAnsi="Cambria Math"/>
                <w:szCs w:val="24"/>
                <w:vertAlign w:val="subscript"/>
              </w:rPr>
              <m:t>WT</m:t>
            </m:r>
          </m:sub>
        </m:sSub>
        <m:r>
          <m:rPr>
            <m:sty m:val="p"/>
          </m:rPr>
          <w:rPr>
            <w:rFonts w:ascii="Cambria Math" w:hAnsi="Cambria Math"/>
            <w:szCs w:val="24"/>
          </w:rPr>
          <m:t>⟩</m:t>
        </m:r>
      </m:oMath>
      <w:r>
        <w:t>,</w:t>
      </w:r>
    </w:p>
    <w:p w14:paraId="58BACA54" w14:textId="77777777" w:rsidR="004260F0" w:rsidRPr="00E536AD" w:rsidRDefault="00BE1E8F" w:rsidP="004260F0">
      <w:pPr>
        <w:pStyle w:val="TAMainText"/>
        <w:spacing w:after="240"/>
        <w:rPr>
          <w:rFonts w:ascii="Times New Roman" w:hAnsi="Times New Roman"/>
          <w:szCs w:val="24"/>
        </w:rPr>
      </w:pPr>
      <w:r>
        <w:t>referencing each mutant replicate to the mean of the three WT replicates.</w:t>
      </w:r>
    </w:p>
    <w:p w14:paraId="10F0E7A3" w14:textId="77777777" w:rsidR="004260F0" w:rsidRPr="00E536AD" w:rsidRDefault="00E50017" w:rsidP="0006771E">
      <w:pPr>
        <w:pStyle w:val="TAMainText"/>
        <w:rPr>
          <w:rFonts w:ascii="Times New Roman" w:hAnsi="Times New Roman"/>
          <w:b/>
          <w:bCs/>
          <w:u w:val="single"/>
        </w:rPr>
      </w:pPr>
      <w:r>
        <w:rPr>
          <w:b/>
          <w:bCs/>
          <w:u w:val="single"/>
        </w:rPr>
        <w:t>Free Energy Perturbation Calculations</w:t>
      </w:r>
    </w:p>
    <w:p w14:paraId="04F31A01" w14:textId="77777777" w:rsidR="0014765A" w:rsidRPr="00E536AD" w:rsidRDefault="0014765A" w:rsidP="00E50017">
      <w:pPr>
        <w:pStyle w:val="TAMainText"/>
      </w:pPr>
      <w:r>
        <w:t>Our aim is to calculate the effect of each substitution on the DOR binding equilibrium,</w:t>
      </w:r>
    </w:p>
    <w:p w14:paraId="7D395E45" w14:textId="77777777" w:rsidR="0014765A" w:rsidRPr="00E536AD" w:rsidRDefault="0014765A" w:rsidP="00E50017">
      <w:pPr>
        <w:pStyle w:val="NormalWeb"/>
        <w:spacing w:before="0" w:beforeAutospacing="0"/>
      </w:pPr>
      <m:oMathPara>
        <m:oMathParaPr>
          <m:jc m:val="center"/>
        </m:oMathParaPr>
        <m:oMath>
          <m:r>
            <m:rPr>
              <m:sty m:val="p"/>
            </m:rPr>
            <w:rPr>
              <w:rFonts w:ascii="Cambria Math" w:hAnsi="Cambria Math"/>
            </w:rPr>
            <m:t>RT</m:t>
          </m:r>
          <m:r>
            <w:rPr>
              <w:rFonts w:ascii="Cambria Math" w:hAnsi="Cambria Math"/>
            </w:rPr>
            <m:t>+</m:t>
          </m:r>
          <m:r>
            <m:rPr>
              <m:sty m:val="p"/>
            </m:rPr>
            <w:rPr>
              <w:rFonts w:ascii="Cambria Math" w:hAnsi="Cambria Math"/>
            </w:rPr>
            <m:t>DOR</m:t>
          </m:r>
          <m:groupChr>
            <m:groupChrPr>
              <m:chr m:val="→"/>
              <m:vertJc m:val="bot"/>
              <m:ctrlPr>
                <w:rPr>
                  <w:rFonts w:ascii="Cambria Math" w:hAnsi="Cambria Math"/>
                </w:rPr>
              </m:ctrlPr>
            </m:groupChrPr>
            <m:e>
              <m:box>
                <m:boxPr>
                  <m:ctrlPr>
                    <w:rPr>
                      <w:rFonts w:ascii="Cambria Math" w:hAnsi="Cambria Math"/>
                    </w:rPr>
                  </m:ctrlPr>
                </m:boxPr>
                <m:e>
                  <m:r>
                    <w:rPr>
                      <w:rFonts w:ascii="Cambria Math" w:hAnsi="Cambria Math"/>
                    </w:rPr>
                    <m:t> </m:t>
                  </m:r>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bind</m:t>
                      </m:r>
                    </m:sub>
                  </m:sSub>
                  <m:r>
                    <w:rPr>
                      <w:rFonts w:ascii="Cambria Math" w:hAnsi="Cambria Math"/>
                    </w:rPr>
                    <m:t> </m:t>
                  </m:r>
                </m:e>
              </m:box>
            </m:e>
          </m:groupChr>
          <m:r>
            <m:rPr>
              <m:sty m:val="p"/>
            </m:rPr>
            <w:rPr>
              <w:rFonts w:ascii="Cambria Math" w:hAnsi="Cambria Math"/>
            </w:rPr>
            <m:t>RT</m:t>
          </m:r>
          <m:r>
            <w:rPr>
              <w:rFonts w:ascii="Cambria Math" w:hAnsi="Cambria Math"/>
            </w:rPr>
            <m:t>⋅</m:t>
          </m:r>
          <m:r>
            <m:rPr>
              <m:sty m:val="p"/>
            </m:rPr>
            <w:rPr>
              <w:rFonts w:ascii="Cambria Math" w:hAnsi="Cambria Math"/>
            </w:rPr>
            <m:t>DOR</m:t>
          </m:r>
        </m:oMath>
      </m:oMathPara>
    </w:p>
    <w:p w14:paraId="1CE268F7" w14:textId="77777777" w:rsidR="00432031" w:rsidRDefault="0014765A" w:rsidP="00E50017">
      <w:pPr>
        <w:pStyle w:val="TAMainText"/>
      </w:pPr>
      <w:r>
        <w:t>However, direct calculation of ∆</w:t>
      </w:r>
      <w:proofErr w:type="spellStart"/>
      <w:r>
        <w:t>G</w:t>
      </w:r>
      <w:r>
        <w:rPr>
          <w:vertAlign w:val="subscript"/>
        </w:rPr>
        <w:t>bind</w:t>
      </w:r>
      <w:proofErr w:type="spellEnd"/>
      <w:r>
        <w:t xml:space="preserve"> is computationally expensive. Because G is a state function, the change in DOR binding free energy was computed from a thermodynamic cycle in which the p66 substitution was introduced alchemically in both the DOR-bound and the ligand-free enzyme, </w:t>
      </w:r>
    </w:p>
    <w:p w14:paraId="34E194C9" w14:textId="77777777" w:rsidR="009D3750" w:rsidRPr="00E536AD" w:rsidRDefault="0014765A" w:rsidP="00E50017">
      <w:pPr>
        <w:pStyle w:val="TAMainText"/>
      </w:pPr>
      <m:oMathPara>
        <m:oMath>
          <m:r>
            <m:rPr>
              <m:sty m:val="p"/>
            </m:rPr>
            <w:rPr>
              <w:rFonts w:ascii="Cambria Math" w:hAnsi="Cambria Math"/>
            </w:rPr>
            <m:t>ΔΔ</m:t>
          </m:r>
          <m:sSub>
            <m:sSubPr>
              <m:ctrlPr>
                <w:rPr>
                  <w:rFonts w:ascii="Cambria Math" w:hAnsi="Cambria Math"/>
                </w:rPr>
              </m:ctrlPr>
            </m:sSubPr>
            <m:e>
              <m:r>
                <w:rPr>
                  <w:rFonts w:ascii="Cambria Math" w:hAnsi="Cambria Math"/>
                </w:rPr>
                <m:t>G</m:t>
              </m:r>
            </m:e>
            <m:sub>
              <m:r>
                <m:rPr>
                  <m:sty m:val="p"/>
                </m:rPr>
                <w:rPr>
                  <w:rFonts w:ascii="Cambria Math" w:hAnsi="Cambria Math"/>
                </w:rPr>
                <m:t>bind</m:t>
              </m:r>
            </m:sub>
          </m:sSub>
          <m:r>
            <w:rPr>
              <w:rFonts w:ascii="Cambria Math" w:hAnsi="Cambria Math"/>
            </w:rPr>
            <m:t>=</m:t>
          </m:r>
          <m:r>
            <m:rPr>
              <m:sty m:val="p"/>
            </m:rPr>
            <w:rPr>
              <w:rFonts w:ascii="Cambria Math" w:hAnsi="Cambria Math"/>
            </w:rPr>
            <m:t>Δ</m:t>
          </m:r>
          <m:sSubSup>
            <m:sSubSupPr>
              <m:ctrlPr>
                <w:rPr>
                  <w:rFonts w:ascii="Cambria Math" w:hAnsi="Cambria Math"/>
                </w:rPr>
              </m:ctrlPr>
            </m:sSubSupPr>
            <m:e>
              <m:r>
                <w:rPr>
                  <w:rFonts w:ascii="Cambria Math" w:hAnsi="Cambria Math"/>
                </w:rPr>
                <m:t>G</m:t>
              </m:r>
            </m:e>
            <m:sub>
              <m:r>
                <m:rPr>
                  <m:sty m:val="p"/>
                </m:rPr>
                <w:rPr>
                  <w:rFonts w:ascii="Cambria Math" w:hAnsi="Cambria Math"/>
                </w:rPr>
                <m:t>bind</m:t>
              </m:r>
            </m:sub>
            <m:sup>
              <m:r>
                <m:rPr>
                  <m:sty m:val="p"/>
                </m:rPr>
                <w:rPr>
                  <w:rFonts w:ascii="Cambria Math" w:hAnsi="Cambria Math"/>
                </w:rPr>
                <m:t>Mut</m:t>
              </m:r>
            </m:sup>
          </m:sSubSup>
          <m:r>
            <w:rPr>
              <w:rFonts w:ascii="Cambria Math" w:hAnsi="Cambria Math"/>
            </w:rPr>
            <m:t>-</m:t>
          </m:r>
          <m:r>
            <m:rPr>
              <m:sty m:val="p"/>
            </m:rPr>
            <w:rPr>
              <w:rFonts w:ascii="Cambria Math" w:hAnsi="Cambria Math"/>
            </w:rPr>
            <m:t>Δ</m:t>
          </m:r>
          <m:sSubSup>
            <m:sSubSupPr>
              <m:ctrlPr>
                <w:rPr>
                  <w:rFonts w:ascii="Cambria Math" w:hAnsi="Cambria Math"/>
                </w:rPr>
              </m:ctrlPr>
            </m:sSubSupPr>
            <m:e>
              <m:r>
                <w:rPr>
                  <w:rFonts w:ascii="Cambria Math" w:hAnsi="Cambria Math"/>
                </w:rPr>
                <m:t>G</m:t>
              </m:r>
            </m:e>
            <m:sub>
              <m:r>
                <m:rPr>
                  <m:sty m:val="p"/>
                </m:rPr>
                <w:rPr>
                  <w:rFonts w:ascii="Cambria Math" w:hAnsi="Cambria Math"/>
                </w:rPr>
                <m:t>bind</m:t>
              </m:r>
            </m:sub>
            <m:sup>
              <m:r>
                <m:rPr>
                  <m:sty m:val="p"/>
                </m:rPr>
                <w:rPr>
                  <w:rFonts w:ascii="Cambria Math" w:hAnsi="Cambria Math"/>
                </w:rPr>
                <m:t>WT</m:t>
              </m:r>
            </m:sup>
          </m:sSubSup>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holo</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apo</m:t>
              </m:r>
            </m:sub>
          </m:sSub>
        </m:oMath>
      </m:oMathPara>
    </w:p>
    <w:p w14:paraId="4D15C0AE" w14:textId="77777777" w:rsidR="00B6721E" w:rsidRPr="00E536AD" w:rsidRDefault="00B6721E" w:rsidP="00F5707E">
      <w:pPr>
        <w:pStyle w:val="NormalWeb"/>
        <w:spacing w:before="0" w:beforeAutospacing="0"/>
        <w:jc w:val="center"/>
      </w:pPr>
      <w:r>
        <w:rPr>
          <w:noProof/>
        </w:rPr>
        <w:lastRenderedPageBreak/>
        <w:drawing>
          <wp:inline distT="0" distB="0" distL="0" distR="0" wp14:anchorId="0E8E6D8D" wp14:editId="4F707817">
            <wp:extent cx="5069172" cy="2823138"/>
            <wp:effectExtent l="0" t="0" r="0" b="0"/>
            <wp:docPr id="106639898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98980" name="Graphic 1066398980"/>
                    <pic:cNvPicPr/>
                  </pic:nvPicPr>
                  <pic:blipFill rotWithShape="1">
                    <a:blip r:embed="rId12">
                      <a:extLst>
                        <a:ext uri="{96DAC541-7B7A-43D3-8B79-37D633B846F1}">
                          <asvg:svgBlip xmlns:asvg="http://schemas.microsoft.com/office/drawing/2016/SVG/main" r:embed="rId13"/>
                        </a:ext>
                      </a:extLst>
                    </a:blip>
                    <a:srcRect l="3645" t="3959" r="11043" b="8928"/>
                    <a:stretch>
                      <a:fillRect/>
                    </a:stretch>
                  </pic:blipFill>
                  <pic:spPr bwMode="auto">
                    <a:xfrm>
                      <a:off x="0" y="0"/>
                      <a:ext cx="5070587" cy="2823926"/>
                    </a:xfrm>
                    <a:prstGeom prst="rect">
                      <a:avLst/>
                    </a:prstGeom>
                    <a:ln>
                      <a:noFill/>
                    </a:ln>
                    <a:extLst>
                      <a:ext uri="{53640926-AAD7-44D8-BBD7-CCE9431645EC}">
                        <a14:shadowObscured xmlns:a14="http://schemas.microsoft.com/office/drawing/2010/main"/>
                      </a:ext>
                    </a:extLst>
                  </pic:spPr>
                </pic:pic>
              </a:graphicData>
            </a:graphic>
          </wp:inline>
        </w:drawing>
      </w:r>
    </w:p>
    <w:p w14:paraId="568DAEFF" w14:textId="77777777" w:rsidR="00E75C39" w:rsidRPr="00E536AD" w:rsidRDefault="00E50017" w:rsidP="00E50017">
      <w:pPr>
        <w:pStyle w:val="TAMainText"/>
      </w:pPr>
      <w:r>
        <w:t xml:space="preserve">Multiple substituted genotypes were decomposed into sequential single-residue legs (e.g. WT→K103N, then K103N→K103N+M230L), whose values were summed and standard errors combined in quadrature, </w:t>
      </w:r>
    </w:p>
    <w:p w14:paraId="147F5A09" w14:textId="77777777" w:rsidR="00E75C39" w:rsidRPr="00E536AD" w:rsidRDefault="00E75C39" w:rsidP="00E50017">
      <w:pPr>
        <w:pStyle w:val="NormalWeb"/>
        <w:spacing w:before="0" w:beforeAutospacing="0"/>
      </w:pPr>
      <m:oMathPara>
        <m:oMath>
          <m:r>
            <m:rPr>
              <m:sty m:val="p"/>
            </m:rPr>
            <w:rPr>
              <w:rFonts w:ascii="Cambria Math" w:hAnsi="Cambria Math"/>
            </w:rPr>
            <m:t>ΔΔ</m:t>
          </m:r>
          <m:sSub>
            <m:sSubPr>
              <m:ctrlPr>
                <w:rPr>
                  <w:rFonts w:ascii="Cambria Math" w:hAnsi="Cambria Math"/>
                </w:rPr>
              </m:ctrlPr>
            </m:sSubPr>
            <m:e>
              <m:r>
                <w:rPr>
                  <w:rFonts w:ascii="Cambria Math" w:hAnsi="Cambria Math"/>
                </w:rPr>
                <m:t>G</m:t>
              </m:r>
            </m:e>
            <m:sub>
              <m:r>
                <m:rPr>
                  <m:sty m:val="p"/>
                </m:rPr>
                <w:rPr>
                  <w:rFonts w:ascii="Cambria Math" w:hAnsi="Cambria Math"/>
                </w:rPr>
                <m:t>bind</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e>
              <m:r>
                <m:rPr>
                  <m:sty m:val="p"/>
                </m:rPr>
                <w:rPr>
                  <w:rFonts w:ascii="Cambria Math" w:hAnsi="Cambria Math"/>
                </w:rPr>
                <m:t>Δ</m:t>
              </m:r>
            </m:e>
          </m:nary>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bind</m:t>
              </m:r>
              <m:r>
                <w:rPr>
                  <w:rFonts w:ascii="Cambria Math" w:hAnsi="Cambria Math"/>
                </w:rPr>
                <m:t>,k</m:t>
              </m:r>
            </m:sub>
          </m:sSub>
          <m:r>
            <w:rPr>
              <w:rFonts w:ascii="Cambria Math" w:hAnsi="Cambria Math"/>
            </w:rPr>
            <m:t>,  σ=</m:t>
          </m:r>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sub>
                    <m:sup/>
                    <m:e>
                      <m:sSubSup>
                        <m:sSubSupPr>
                          <m:ctrlPr>
                            <w:rPr>
                              <w:rFonts w:ascii="Cambria Math" w:hAnsi="Cambria Math"/>
                            </w:rPr>
                          </m:ctrlPr>
                        </m:sSubSupPr>
                        <m:e>
                          <m:r>
                            <w:rPr>
                              <w:rFonts w:ascii="Cambria Math" w:hAnsi="Cambria Math"/>
                            </w:rPr>
                            <m:t>σ</m:t>
                          </m:r>
                        </m:e>
                        <m:sub>
                          <m:r>
                            <w:rPr>
                              <w:rFonts w:ascii="Cambria Math" w:hAnsi="Cambria Math"/>
                            </w:rPr>
                            <m:t>k</m:t>
                          </m:r>
                        </m:sub>
                        <m:sup>
                          <m:r>
                            <w:rPr>
                              <w:rFonts w:ascii="Cambria Math" w:hAnsi="Cambria Math"/>
                            </w:rPr>
                            <m:t>2</m:t>
                          </m:r>
                        </m:sup>
                      </m:sSubSup>
                    </m:e>
                  </m:nary>
                </m:e>
              </m:d>
            </m:e>
            <m:sup>
              <m:r>
                <w:rPr>
                  <w:rFonts w:ascii="Cambria Math" w:hAnsi="Cambria Math"/>
                </w:rPr>
                <m:t>1/2</m:t>
              </m:r>
            </m:sup>
          </m:sSup>
        </m:oMath>
      </m:oMathPara>
    </w:p>
    <w:p w14:paraId="74ADC63C" w14:textId="77777777" w:rsidR="00E75C39" w:rsidRPr="00E536AD" w:rsidRDefault="00E75C39" w:rsidP="00E50017">
      <w:pPr>
        <w:pStyle w:val="TAMainText"/>
      </w:pPr>
      <w:r>
        <w:t xml:space="preserve">The free energy of each end state is related to its partition function by </w:t>
      </w:r>
    </w:p>
    <w:p w14:paraId="499AEA20" w14:textId="77777777" w:rsidR="00E75C39" w:rsidRPr="00E536AD" w:rsidRDefault="00E75C39" w:rsidP="00E50017">
      <w:pPr>
        <w:pStyle w:val="NormalWeb"/>
        <w:spacing w:before="0" w:beforeAutospacing="0"/>
      </w:pPr>
      <m:oMathPara>
        <m:oMath>
          <m:r>
            <w:rPr>
              <w:rFonts w:ascii="Cambria Math" w:hAnsi="Cambria Math"/>
            </w:rPr>
            <m:t>G=-</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func>
            <m:funcPr>
              <m:ctrlPr>
                <w:rPr>
                  <w:rFonts w:ascii="Cambria Math" w:hAnsi="Cambria Math"/>
                </w:rPr>
              </m:ctrlPr>
            </m:funcPr>
            <m:fName>
              <m:r>
                <m:rPr>
                  <m:sty m:val="p"/>
                </m:rPr>
                <w:rPr>
                  <w:rFonts w:ascii="Cambria Math" w:hAnsi="Cambria Math"/>
                </w:rPr>
                <m:t>ln</m:t>
              </m:r>
            </m:fName>
            <m:e>
              <m:r>
                <w:rPr>
                  <w:rFonts w:ascii="Cambria Math" w:hAnsi="Cambria Math"/>
                </w:rPr>
                <m:t>Q</m:t>
              </m:r>
            </m:e>
          </m:func>
          <m:r>
            <w:rPr>
              <w:rFonts w:ascii="Cambria Math" w:hAnsi="Cambria Math"/>
            </w:rPr>
            <m:t>,  Q</m:t>
          </m:r>
          <m:d>
            <m:dPr>
              <m:ctrlPr>
                <w:rPr>
                  <w:rFonts w:ascii="Cambria Math" w:hAnsi="Cambria Math"/>
                </w:rPr>
              </m:ctrlPr>
            </m:dPr>
            <m:e>
              <m:r>
                <w:rPr>
                  <w:rFonts w:ascii="Cambria Math" w:hAnsi="Cambria Math"/>
                </w:rPr>
                <m:t>λ</m:t>
              </m:r>
            </m:e>
          </m:d>
          <m:r>
            <w:rPr>
              <w:rFonts w:ascii="Cambria Math" w:hAnsi="Cambria Math"/>
            </w:rPr>
            <m:t>=</m:t>
          </m:r>
          <m:nary>
            <m:naryPr>
              <m:chr m:val="∬"/>
              <m:limLoc m:val="subSup"/>
              <m:subHide m:val="1"/>
              <m:supHide m:val="1"/>
              <m:ctrlPr>
                <w:rPr>
                  <w:rFonts w:ascii="Cambria Math" w:hAnsi="Cambria Math"/>
                </w:rPr>
              </m:ctrlPr>
            </m:naryPr>
            <m:sub/>
            <m:sup/>
            <m:e>
              <m:r>
                <w:rPr>
                  <w:rFonts w:ascii="Cambria Math" w:hAnsi="Cambria Math"/>
                </w:rPr>
                <m:t>d</m:t>
              </m:r>
            </m:e>
          </m:nary>
          <m:r>
            <m:rPr>
              <m:sty m:val="bi"/>
            </m:rPr>
            <w:rPr>
              <w:rFonts w:ascii="Cambria Math" w:hAnsi="Cambria Math"/>
            </w:rPr>
            <m:t>r</m:t>
          </m:r>
          <m:r>
            <w:rPr>
              <w:rFonts w:ascii="Cambria Math" w:hAnsi="Cambria Math"/>
            </w:rPr>
            <m:t> d</m:t>
          </m:r>
          <m:r>
            <m:rPr>
              <m:sty m:val="bi"/>
            </m:rPr>
            <w:rPr>
              <w:rFonts w:ascii="Cambria Math" w:hAnsi="Cambria Math"/>
            </w:rPr>
            <m:t>p</m:t>
          </m:r>
          <m:r>
            <w:rPr>
              <w:rFonts w:ascii="Cambria Math" w:hAnsi="Cambria Math"/>
            </w:rPr>
            <m:t> </m:t>
          </m:r>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H</m:t>
                      </m:r>
                      <m:d>
                        <m:dPr>
                          <m:ctrlPr>
                            <w:rPr>
                              <w:rFonts w:ascii="Cambria Math" w:hAnsi="Cambria Math"/>
                            </w:rPr>
                          </m:ctrlPr>
                        </m:dPr>
                        <m:e>
                          <m:r>
                            <m:rPr>
                              <m:sty m:val="bi"/>
                            </m:rPr>
                            <w:rPr>
                              <w:rFonts w:ascii="Cambria Math" w:hAnsi="Cambria Math"/>
                            </w:rPr>
                            <m:t>r</m:t>
                          </m:r>
                          <m:r>
                            <w:rPr>
                              <w:rFonts w:ascii="Cambria Math" w:hAnsi="Cambria Math"/>
                            </w:rPr>
                            <m:t>,</m:t>
                          </m:r>
                          <m:r>
                            <m:rPr>
                              <m:sty m:val="bi"/>
                            </m:rPr>
                            <w:rPr>
                              <w:rFonts w:ascii="Cambria Math" w:hAnsi="Cambria Math"/>
                            </w:rPr>
                            <m:t>p</m:t>
                          </m:r>
                          <m:r>
                            <w:rPr>
                              <w:rFonts w:ascii="Cambria Math" w:hAnsi="Cambria Math"/>
                            </w:rPr>
                            <m:t>,λ</m:t>
                          </m:r>
                        </m:e>
                      </m:d>
                    </m:num>
                    <m:den>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e>
              </m:d>
            </m:e>
          </m:func>
        </m:oMath>
      </m:oMathPara>
    </w:p>
    <w:p w14:paraId="5714B0E7" w14:textId="27D303D2" w:rsidR="00E75C39" w:rsidRPr="00E536AD" w:rsidRDefault="00E75C39" w:rsidP="00E50017">
      <w:pPr>
        <w:pStyle w:val="TAMainText"/>
      </w:pPr>
      <w:r>
        <w:t xml:space="preserve">where </w:t>
      </w:r>
      <w:r>
        <w:rPr>
          <w:i/>
          <w:iCs/>
        </w:rPr>
        <w:t>k</w:t>
      </w:r>
      <w:r>
        <w:rPr>
          <w:i/>
          <w:iCs/>
          <w:vertAlign w:val="subscript"/>
        </w:rPr>
        <w:t>B</w:t>
      </w:r>
      <w:r>
        <w:t xml:space="preserve"> is the Boltzmann constant, </w:t>
      </w:r>
      <w:r>
        <w:rPr>
          <w:i/>
          <w:iCs/>
        </w:rPr>
        <w:t xml:space="preserve">T </w:t>
      </w:r>
      <w:r>
        <w:t>is the Temperature, and H(</w:t>
      </w:r>
      <w:r>
        <w:rPr>
          <w:b/>
          <w:bCs/>
        </w:rPr>
        <w:t>r</w:t>
      </w:r>
      <w:r>
        <w:t xml:space="preserve">, </w:t>
      </w:r>
      <w:r>
        <w:rPr>
          <w:b/>
          <w:bCs/>
        </w:rPr>
        <w:t>p</w:t>
      </w:r>
      <w:r>
        <w:t>, λ)</w:t>
      </w:r>
      <w:r>
        <w:rPr>
          <w:i/>
          <w:iCs/>
        </w:rPr>
        <w:t xml:space="preserve"> </w:t>
      </w:r>
      <w:r>
        <w:t xml:space="preserve">the Hamiltonian of the system at coupling parameter λ. Wild-type and mutant end states were connected by </w:t>
      </w:r>
      <w:proofErr w:type="spellStart"/>
      <w:r>
        <w:t>pmx</w:t>
      </w:r>
      <w:proofErr w:type="spellEnd"/>
      <w:r>
        <w:t xml:space="preserve"> hybrid residues (development branch),</w:t>
      </w:r>
      <w:r>
        <w:fldChar w:fldCharType="begin"/>
      </w:r>
      <w:r w:rsidR="00CC484F">
        <w:instrText xml:space="preserve"> ADDIN ZOTERO_ITEM CSL_CITATION {"citationID":"38VucYMR","properties":{"unsorted":false,"formattedCitation":"\\super 49\\nosupersub{}","plainCitation":"49","noteIndex":0},"citationItems":[{"id":273,"uris":["http://zotero.org/users/19404620/items/P4QQPRMC"],"itemData":{"id":273,"type":"article-journal","abstract":"Computational protein design requires methods to accurately estimate free energy changes in protein stability or binding upon an amino acid mutation. From the different approaches available, molecular dynamics-based alchemical free energy calculations are unique in their accuracy and solid theoretical basis. The challenge in using these methods lies in the need to generate hybrid structures and topologies representing two physical states of a system. A custom made hybrid topology may prove useful for a particular mutation of interest, however, a high throughput mutation analysis calls for a more general approach. In this work, we present an automated procedure to generate hybrid structures and topologies for the amino acid mutations in all commonly used force fields. The described software is compatible with the Gromacs simulation package. The mutation libraries are readily supported for five force fields, namely Amber99SB, Amber99SB*-ILDN, OPLS-AA/L, Charmm22*, and Charmm36. </w:instrText>
      </w:r>
      <w:r w:rsidR="00CC484F">
        <w:rPr>
          <w:rFonts w:hint="eastAsia"/>
        </w:rPr>
        <w:instrText>©</w:instrText>
      </w:r>
      <w:r w:rsidR="00CC484F">
        <w:instrText xml:space="preserve"> 2014 The Authors Journal of Computational Chemistry Published by Wiley Periodicals, Inc.","container-title":"Journal of Computational Chemistry","DOI":"10.1002/jcc.23804","ISSN":"1096-987X","issue":"5","language":"en","license":"</w:instrText>
      </w:r>
      <w:r w:rsidR="00CC484F">
        <w:rPr>
          <w:rFonts w:hint="eastAsia"/>
        </w:rPr>
        <w:instrText>©</w:instrText>
      </w:r>
      <w:r w:rsidR="00CC484F">
        <w:instrText xml:space="preserve"> 2014 The Authors Journal of Computational Chemistry Published by Wiley Periodicals, Inc.","page":"348-354","source":"Wiley Online Library","title":"pmx: Automated protein structure and topology generation for alchemical perturbations","title-short":"pmx","volume":"36","author":[{"family":"Gapsys","given":"Vytautas"},{"family":"Michielssens","given":"Servaas"},{"family":"Seeliger","given":"Daniel"},{"family":"Groot","given":"Bert L.","non-dropping-particle":"de"}],"issued":{"date-parts":[["2015"]]}}}],"schema":"https://github.com/citation-style-language/schema/raw/master/csl-citation.json"} </w:instrText>
      </w:r>
      <w:r>
        <w:fldChar w:fldCharType="separate"/>
      </w:r>
      <w:r w:rsidR="00CC484F" w:rsidRPr="00CC484F">
        <w:rPr>
          <w:rFonts w:cs="Mangal"/>
          <w:szCs w:val="24"/>
          <w:vertAlign w:val="superscript"/>
          <w:lang w:bidi="hi-IN"/>
        </w:rPr>
        <w:t>49</w:t>
      </w:r>
      <w:r>
        <w:fldChar w:fldCharType="end"/>
      </w:r>
      <w:r>
        <w:t xml:space="preserve"> which share a common backbone and carry dummy atoms only where the two side chains differ, built with the amber14sbmut mutation force field to match the ff14SB parameters used for MD; DOR parameters were carried over from the </w:t>
      </w:r>
      <w:proofErr w:type="spellStart"/>
      <w:r>
        <w:t>OpenFF</w:t>
      </w:r>
      <w:proofErr w:type="spellEnd"/>
      <w:r>
        <w:t xml:space="preserve"> 2.0.0 assignment and exported to GROMACS format through </w:t>
      </w:r>
      <w:proofErr w:type="spellStart"/>
      <w:r>
        <w:t>OpenFF</w:t>
      </w:r>
      <w:proofErr w:type="spellEnd"/>
      <w:r>
        <w:t xml:space="preserve"> Interchange 0.5.0. The hybrid Hamiltonian interpolates between the two physical end states,</w:t>
      </w:r>
    </w:p>
    <w:p w14:paraId="4FD3819B" w14:textId="77777777" w:rsidR="00E75C39" w:rsidRPr="00E536AD" w:rsidRDefault="00E75C39" w:rsidP="00E50017">
      <w:pPr>
        <w:pStyle w:val="NormalWeb"/>
        <w:spacing w:before="0" w:beforeAutospacing="0"/>
      </w:pPr>
      <m:oMathPara>
        <m:oMath>
          <m:r>
            <w:rPr>
              <w:rFonts w:ascii="Cambria Math" w:hAnsi="Cambria Math"/>
            </w:rPr>
            <w:lastRenderedPageBreak/>
            <m:t>H</m:t>
          </m:r>
          <m:d>
            <m:dPr>
              <m:ctrlPr>
                <w:rPr>
                  <w:rFonts w:ascii="Cambria Math" w:hAnsi="Cambria Math"/>
                </w:rPr>
              </m:ctrlPr>
            </m:dPr>
            <m:e>
              <m:r>
                <m:rPr>
                  <m:sty m:val="bi"/>
                </m:rPr>
                <w:rPr>
                  <w:rFonts w:ascii="Cambria Math" w:hAnsi="Cambria Math"/>
                </w:rPr>
                <m:t>r</m:t>
              </m:r>
              <m:r>
                <w:rPr>
                  <w:rFonts w:ascii="Cambria Math" w:hAnsi="Cambria Math"/>
                </w:rPr>
                <m:t>,</m:t>
              </m:r>
              <m:r>
                <m:rPr>
                  <m:sty m:val="bi"/>
                </m:rPr>
                <w:rPr>
                  <w:rFonts w:ascii="Cambria Math" w:hAnsi="Cambria Math"/>
                </w:rPr>
                <m:t>p</m:t>
              </m:r>
              <m:r>
                <w:rPr>
                  <w:rFonts w:ascii="Cambria Math" w:hAnsi="Cambria Math"/>
                </w:rPr>
                <m:t>,λ</m:t>
              </m:r>
            </m:e>
          </m:d>
          <m:r>
            <w:rPr>
              <w:rFonts w:ascii="Cambria Math" w:hAnsi="Cambria Math"/>
            </w:rPr>
            <m:t>=</m:t>
          </m:r>
          <m:d>
            <m:dPr>
              <m:ctrlPr>
                <w:rPr>
                  <w:rFonts w:ascii="Cambria Math" w:hAnsi="Cambria Math"/>
                </w:rPr>
              </m:ctrlPr>
            </m:dPr>
            <m:e>
              <m:r>
                <w:rPr>
                  <w:rFonts w:ascii="Cambria Math" w:hAnsi="Cambria Math"/>
                </w:rPr>
                <m:t>1-λ</m:t>
              </m:r>
            </m:e>
          </m:d>
          <m:sSub>
            <m:sSubPr>
              <m:ctrlPr>
                <w:rPr>
                  <w:rFonts w:ascii="Cambria Math" w:hAnsi="Cambria Math"/>
                </w:rPr>
              </m:ctrlPr>
            </m:sSubPr>
            <m:e>
              <m:r>
                <w:rPr>
                  <w:rFonts w:ascii="Cambria Math" w:hAnsi="Cambria Math"/>
                </w:rPr>
                <m:t>H</m:t>
              </m:r>
            </m:e>
            <m:sub>
              <m:r>
                <m:rPr>
                  <m:sty m:val="p"/>
                </m:rPr>
                <w:rPr>
                  <w:rFonts w:ascii="Cambria Math" w:hAnsi="Cambria Math"/>
                </w:rPr>
                <m:t>WT</m:t>
              </m:r>
            </m:sub>
          </m:sSub>
          <m:d>
            <m:dPr>
              <m:ctrlPr>
                <w:rPr>
                  <w:rFonts w:ascii="Cambria Math" w:hAnsi="Cambria Math"/>
                </w:rPr>
              </m:ctrlPr>
            </m:dPr>
            <m:e>
              <m:r>
                <m:rPr>
                  <m:sty m:val="bi"/>
                </m:rPr>
                <w:rPr>
                  <w:rFonts w:ascii="Cambria Math" w:hAnsi="Cambria Math"/>
                </w:rPr>
                <m:t>r</m:t>
              </m:r>
              <m:r>
                <w:rPr>
                  <w:rFonts w:ascii="Cambria Math" w:hAnsi="Cambria Math"/>
                </w:rPr>
                <m:t>,</m:t>
              </m:r>
              <m:r>
                <m:rPr>
                  <m:sty m:val="bi"/>
                </m:rPr>
                <w:rPr>
                  <w:rFonts w:ascii="Cambria Math" w:hAnsi="Cambria Math"/>
                </w:rPr>
                <m:t>p</m:t>
              </m:r>
            </m:e>
          </m:d>
          <m:r>
            <w:rPr>
              <w:rFonts w:ascii="Cambria Math" w:hAnsi="Cambria Math"/>
            </w:rPr>
            <m:t>+λ</m:t>
          </m:r>
          <m:sSub>
            <m:sSubPr>
              <m:ctrlPr>
                <w:rPr>
                  <w:rFonts w:ascii="Cambria Math" w:hAnsi="Cambria Math"/>
                </w:rPr>
              </m:ctrlPr>
            </m:sSubPr>
            <m:e>
              <m:r>
                <w:rPr>
                  <w:rFonts w:ascii="Cambria Math" w:hAnsi="Cambria Math"/>
                </w:rPr>
                <m:t>H</m:t>
              </m:r>
            </m:e>
            <m:sub>
              <m:r>
                <m:rPr>
                  <m:sty m:val="p"/>
                </m:rPr>
                <w:rPr>
                  <w:rFonts w:ascii="Cambria Math" w:hAnsi="Cambria Math"/>
                </w:rPr>
                <m:t>Mut</m:t>
              </m:r>
            </m:sub>
          </m:sSub>
          <m:d>
            <m:dPr>
              <m:ctrlPr>
                <w:rPr>
                  <w:rFonts w:ascii="Cambria Math" w:hAnsi="Cambria Math"/>
                </w:rPr>
              </m:ctrlPr>
            </m:dPr>
            <m:e>
              <m:r>
                <m:rPr>
                  <m:sty m:val="bi"/>
                </m:rPr>
                <w:rPr>
                  <w:rFonts w:ascii="Cambria Math" w:hAnsi="Cambria Math"/>
                </w:rPr>
                <m:t>r</m:t>
              </m:r>
              <m:r>
                <w:rPr>
                  <w:rFonts w:ascii="Cambria Math" w:hAnsi="Cambria Math"/>
                </w:rPr>
                <m:t>,</m:t>
              </m:r>
              <m:r>
                <m:rPr>
                  <m:sty m:val="bi"/>
                </m:rPr>
                <w:rPr>
                  <w:rFonts w:ascii="Cambria Math" w:hAnsi="Cambria Math"/>
                </w:rPr>
                <m:t>p</m:t>
              </m:r>
            </m:e>
          </m:d>
        </m:oMath>
      </m:oMathPara>
    </w:p>
    <w:p w14:paraId="00200289" w14:textId="43C25A63" w:rsidR="0014765A" w:rsidRPr="00E536AD" w:rsidRDefault="00E75C39" w:rsidP="00E50017">
      <w:pPr>
        <w:pStyle w:val="TAMainText"/>
      </w:pPr>
      <w:r>
        <w:t>with λ = 0 the wild type and λ = 1 the mutant residue. Hybrid systems were built in GROMACS 2023.1,</w:t>
      </w:r>
      <w:r>
        <w:fldChar w:fldCharType="begin"/>
      </w:r>
      <w:r w:rsidR="00CC484F">
        <w:instrText xml:space="preserve"> ADDIN ZOTERO_ITEM CSL_CITATION {"citationID":"BLHWYYFl","properties":{"unsorted":false,"formattedCitation":"\\super 50\\nosupersub{}","plainCitation":"50","noteIndex":0},"citationItems":[{"id":276,"uris":["http://zotero.org/users/19404620/items/TBLRHTLF"],"itemData":{"id":276,"type":"article-journal","abstract":"GROMACS is one of the most widely used open-source and free software codes in chemistry, used primarily for dynamical simulations of biomolecules. It provides a rich set of calculation types, preparation and analysis tools. Several advanced techniques for free-energy calculations are supported. In version 5, it reaches new performance heights, through several new and enhanced parallelization algorithms. These work on every level; SIMD registers inside cores, multithreading, heterogeneous CPU</w:instrText>
      </w:r>
      <w:r w:rsidR="00CC484F">
        <w:rPr>
          <w:rFonts w:hint="eastAsia"/>
        </w:rPr>
        <w:instrText>–</w:instrText>
      </w:r>
      <w:r w:rsidR="00CC484F">
        <w:instrText>GPU acceleration, state-of-the-art 3D domain decomposition, and ensemble-level parallelization through built-in replica exchange and the separate Copernicus framework. The latest best-in-class compressed trajectory storage format is supported.","container-title":"SoftwareX","DOI":"10.1016/j.softx.2015.06.001","ISSN":"2352-7110","journalAbbreviation":"SoftwareX","page":"19-25","source":"ScienceDirect","title":"GROMACS: High performance molecular simulations through multi-level parallelism from laptops to supercomputers","title-short":"GROMACS","volume":"1-2","author":[{"family":"Abraham","given":"Mark James"},{"family":"Murtola","given":"Teemu"},{"family":"Schulz","given":"Roland"},{"family":"P</w:instrText>
      </w:r>
      <w:r w:rsidR="00CC484F">
        <w:rPr>
          <w:rFonts w:hint="eastAsia"/>
        </w:rPr>
        <w:instrText>á</w:instrText>
      </w:r>
      <w:r w:rsidR="00CC484F">
        <w:instrText>ll","given":"Szil</w:instrText>
      </w:r>
      <w:r w:rsidR="00CC484F">
        <w:rPr>
          <w:rFonts w:hint="eastAsia"/>
        </w:rPr>
        <w:instrText>á</w:instrText>
      </w:r>
      <w:r w:rsidR="00CC484F">
        <w:instrText xml:space="preserve">rd"},{"family":"Smith","given":"Jeremy C."},{"family":"Hess","given":"Berk"},{"family":"Lindahl","given":"Erik"}],"issued":{"date-parts":[["2015",9,1]]}}}],"schema":"https://github.com/citation-style-language/schema/raw/master/csl-citation.json"} </w:instrText>
      </w:r>
      <w:r>
        <w:fldChar w:fldCharType="separate"/>
      </w:r>
      <w:r w:rsidR="00CC484F" w:rsidRPr="00CC484F">
        <w:rPr>
          <w:rFonts w:cs="Mangal"/>
          <w:szCs w:val="24"/>
          <w:vertAlign w:val="superscript"/>
          <w:lang w:bidi="hi-IN"/>
        </w:rPr>
        <w:t>50</w:t>
      </w:r>
      <w:r>
        <w:fldChar w:fldCharType="end"/>
      </w:r>
      <w:r>
        <w:t xml:space="preserve"> solvated in a rhombic dodecahedral TIP3P box with 1.0 nm padding and neutralized at 0.15 M NaCl to match the MD prep, using particle-mesh Ewald electrostatics with 1.0 nm cutoffs, LINCS constraints on bonds to hydrogen, a 2 fs timestep, and linearized soft-core alchemical interactions.</w:t>
      </w:r>
      <w:r>
        <w:fldChar w:fldCharType="begin"/>
      </w:r>
      <w:r w:rsidR="00CC484F">
        <w:instrText xml:space="preserve"> ADDIN ZOTERO_ITEM CSL_CITATION {"citationID":"1FfJh2e5","properties":{"unsorted":false,"formattedCitation":"\\super 51\\nosupersub{}","plainCitation":"51","noteIndex":0},"citationItems":[{"id":278,"uris":["http://zotero.org/users/19404620/items/2KSP6TK6"],"itemData":{"id":278,"type":"article-journal","abstract":"The fields of rational drug design and protein engineering\nbenefit\nfrom accurate free energy calculations based on molecular dynamics simulations. A thermodynamic integration scheme is often used to calculate changes in the free energy of a system by integrating the change of the system</w:instrText>
      </w:r>
      <w:r w:rsidR="00CC484F">
        <w:rPr>
          <w:rFonts w:hint="eastAsia"/>
        </w:rPr>
        <w:instrText>’</w:instrText>
      </w:r>
      <w:r w:rsidR="00CC484F">
        <w:instrText xml:space="preserve">s Hamiltonian with respect to a coupling parameter.\nThese methods exploit nonphysical pathways over thermodynamic cycles involving particle introduction and annihilation. Such alchemical transitions require the modification of the classical nonbonded potential energy terms by applying soft-core potential functions to avoid singularity points. In this work, we propose a novel formulation for a soft-core potential to be applied in nonequilibrium free energy calculations that alleviates singularities, numerical instabilities, and additional minima in the potential energy for all combinations of nonbonded interactions at all intermediate alchemical states. The method was validated by application to (a) the free energy calculations of a closed thermodynamic cycle, (b) the mutation influence on protein thermostability, (c) calculations of small ligand solvation free energies, and (d) the estimation of binding free energies of trypsin inhibitors. The results show that the novel soft-core function provides a robust and accurate general purpose solution to alchemical free energy calculations.","container-title":"Journal of Chemical Theory and Computation","DOI":"10.1021/ct300220p","ISSN":"1549-9618","issue":"7","journalAbbreviation":"J. Chem. Theory Comput.","page":"2373-2382","source":"Silverchair","title":"New Soft-Core Potential Function for Molecular Dynamics Based Alchemical Free Energy Calculations","volume":"8","author":[{"family":"Gapsys","given":"Vytautas"},{"family":"Seeliger","given":"Daniel"},{"family":"Groot","given":"Bert L.","non-dropping-particle":"de"}],"issued":{"date-parts":[["2012",5,28]]}}}],"schema":"https://github.com/citation-style-language/schema/raw/master/csl-citation.json"} </w:instrText>
      </w:r>
      <w:r>
        <w:fldChar w:fldCharType="separate"/>
      </w:r>
      <w:r w:rsidR="00CC484F" w:rsidRPr="00CC484F">
        <w:rPr>
          <w:rFonts w:cs="Mangal"/>
          <w:szCs w:val="24"/>
          <w:vertAlign w:val="superscript"/>
          <w:lang w:bidi="hi-IN"/>
        </w:rPr>
        <w:t>51</w:t>
      </w:r>
      <w:r>
        <w:fldChar w:fldCharType="end"/>
      </w:r>
      <w:r>
        <w:t xml:space="preserve"> Each replicate was seeded from the corresponding equilibrated MD starting structure.</w:t>
      </w:r>
      <w:r>
        <w:t xml:space="preserve"> Titratable residues were assigned identically in the wild type and in every mutant: all systems inherit their protonation states from the same prepared wild-type structure, in which hydrogens were built once and carried unchanged through mutation modeling, so no titratable residue in the NNIBP differs between end states of any leg. All thirteen </w:t>
      </w:r>
      <w:proofErr w:type="spellStart"/>
      <w:r>
        <w:t>histidines</w:t>
      </w:r>
      <w:proofErr w:type="spellEnd"/>
      <w:r>
        <w:t xml:space="preserve"> are neutral with the proton on Nδ1, and this assignment is identical across the wild type and all 18 genotypes. The glutamate introduced by G190E was modeled in its deprotonated, singly charged form, which is what makes that leg charge-changing. Hybrid residue topologies were generated by pmx,46 which builds a single topology carrying both end-state side chains, with atoms unique to one end state present as non-interacting dummies at the other; bonded parameters are interpolated linearly in λ and dummy atoms are relaxed during the end-state minimization. Soft-core interactions used the linearized </w:t>
      </w:r>
      <w:proofErr w:type="spellStart"/>
      <w:r>
        <w:t>Gapsys</w:t>
      </w:r>
      <w:proofErr w:type="spellEnd"/>
      <w:r>
        <w:t xml:space="preserve"> form48 with α = 0.3, σ = 0.25 nm and a soft-core power of 1, applied to both Lennard-Jones and Coulomb interactions (</w:t>
      </w:r>
      <w:proofErr w:type="spellStart"/>
      <w:r>
        <w:t>sc-coul</w:t>
      </w:r>
      <w:proofErr w:type="spellEnd"/>
      <w:r>
        <w:t xml:space="preserve"> = yes).</w:t>
      </w:r>
    </w:p>
    <w:p w14:paraId="670DF279" w14:textId="45FB022E" w:rsidR="00E75C39" w:rsidRPr="00E536AD" w:rsidRDefault="00E75C39" w:rsidP="00E50017">
      <w:pPr>
        <w:pStyle w:val="TAMainText"/>
      </w:pPr>
      <w:r>
        <w:t>Non-equilibrium switching</w:t>
      </w:r>
      <w:r>
        <w:fldChar w:fldCharType="begin"/>
      </w:r>
      <w:r w:rsidR="00CC484F">
        <w:instrText xml:space="preserve"> ADDIN ZOTERO_ITEM CSL_CITATION {"citationID":"sRqAcJeQ","properties":{"unsorted":false,"formattedCitation":"\\super 52,53\\nosupersub{}","plainCitation":"52,53","noteIndex":0},"citationItems":[{"id":280,"uris":["http://zotero.org/users/19404620/items/B29ZBTET"],"itemData":{"id":280,"type":"article-journal","abstract":"An expression is derived for the equilibrium free energy difference between two configurations of a system, in terms of an ensemble of finite-time measurements of the work performed in parametrically switching from one configuration to the other. Two well-known identities emerge as limiting cases of this result.","container-title":"Physical Review Letters","DOI":"10.1103/PhysRevLett.78.2690","issue":"14","journalAbbreviation":"Phys. Rev. Lett.","page":"2690-2693","publisher":"American Physical Society","source":"APS","title":"Nonequilibrium Equality for Free Energy Differences","volume":"78","author":[{"family":"Jarzynski","given":"C."}],"issued":{"date-parts":[["1997",4,7]]}}},{"id":283,"uris":["http://zotero.org/users/19404620/items/WZDHYTP8"],"itemData":{"id":283,"type":"article-journal","abstract":"There are only a very few known relations in statistical dynamics that are valid for systems driven arbitrarily far-from-equilibrium. One of these is the fluctuation theorem, which places conditions on the entropy production probability distribution of nonequilibrium systems. Another recently discovered far from equilibrium expression relates nonequilibrium measurements of the work done on a system to equilibrium free energy differences. In this paper, we derive a generalized version of the fluctuation theorem for stochastic, microscopically reversible dynamics. Invoking this generalized theorem provides a succinct proof of the nonequilibrium work relation.","container-title":"Physical Review E","DOI":"10.1103/PhysRevE.60.2721","issue":"3","journalAbbreviation":"Phys. Rev. E","page":"2721-2726","publisher":"American Physical Society","source":"APS","title":"Entropy production fluctuation theorem and the nonequilibrium work relation for free energy differences","volume":"60","author":[{"family":"Crooks","given":"Gavin E."}],"issued":{"date-parts":[["1999",9,1]]}}}],"schema":"https://github.com/citation-style-language/schema/raw/master/csl-citation.json"} </w:instrText>
      </w:r>
      <w:r>
        <w:fldChar w:fldCharType="separate"/>
      </w:r>
      <w:r w:rsidR="00CC484F" w:rsidRPr="00CC484F">
        <w:rPr>
          <w:rFonts w:cs="Mangal"/>
          <w:szCs w:val="24"/>
          <w:vertAlign w:val="superscript"/>
          <w:lang w:bidi="hi-IN"/>
        </w:rPr>
        <w:t>52,53</w:t>
      </w:r>
      <w:r>
        <w:fldChar w:fldCharType="end"/>
      </w:r>
      <w:r>
        <w:t xml:space="preserve"> requires sampling only at the two physical end states. Each end state was minimized with the free-energy Hamiltonian active at that λ so that dummy atoms relax, warmed for 500 </w:t>
      </w:r>
      <w:proofErr w:type="spellStart"/>
      <w:r>
        <w:t>ps</w:t>
      </w:r>
      <w:proofErr w:type="spellEnd"/>
      <w:r>
        <w:t xml:space="preserve"> under a C-rescale barostat,</w:t>
      </w:r>
      <w:r>
        <w:fldChar w:fldCharType="begin"/>
      </w:r>
      <w:r w:rsidR="00CC484F">
        <w:instrText xml:space="preserve"> ADDIN ZOTERO_ITEM CSL_CITATION {"citationID":"g1dxHzMV","properties":{"unsorted":false,"formattedCitation":"\\super 54\\nosupersub{}","plainCitation":"54","noteIndex":0},"citationItems":[{"id":286,"uris":["http://zotero.org/users/19404620/items/KHLJJE3I"],"itemData":{"id":286,"type":"article-journal","abstract":"Molecular dynamics simulations require barostats to be performed at a constant pressure. The usual recipe is to employ the Berendsen barostat first, which displays a first-order volume relaxation efficient in equilibration but results in incorrect volume fluctuations, followed by a second-order or a Monte Carlo barostat for production runs. In this paper, we introduce stochastic cell rescaling, a first-order barostat that samples the correct volume fluctuations by including a suitable noise term. The algorithm is shown to report volume fluctuations compatible with the isobaric ensemble and its anisotropic variant is tested on a membrane simulation. Stochastic cell rescaling can be straightforwardly implemented in the existing codes and can be used effectively in both equilibration and production phases.","container-title":"The Journal of Chemical Physics","DOI":"10.1063/5.0020514","ISSN":"0021-9606","issue":"11","journalAbbreviation":"J. Chem. Phys.","page":"114107","source":"Silverchair","title":"Pressure control using stochastic cell rescaling","volume":"153","author":[{"family":"Bernetti","given":"Mattia"},{"family":"Bussi","given":"Giovanni"}],"issued":{"date-parts":[["2020",9,16]]}}}],"schema":"https://github.com/citation-style-language/schema/raw/master/csl-citation.json"} </w:instrText>
      </w:r>
      <w:r>
        <w:fldChar w:fldCharType="separate"/>
      </w:r>
      <w:r w:rsidR="00CC484F" w:rsidRPr="00CC484F">
        <w:rPr>
          <w:rFonts w:cs="Mangal"/>
          <w:szCs w:val="24"/>
          <w:vertAlign w:val="superscript"/>
          <w:lang w:bidi="hi-IN"/>
        </w:rPr>
        <w:t>54</w:t>
      </w:r>
      <w:r>
        <w:fldChar w:fldCharType="end"/>
      </w:r>
      <w:r>
        <w:t xml:space="preserve"> and then sampled for 5 ns at 300 K and 1 bar with velocity-rescaling temperature coupling and a Parrinello-Rahman </w:t>
      </w:r>
      <w:proofErr w:type="spellStart"/>
      <w:r>
        <w:t>barostat</w:t>
      </w:r>
      <w:proofErr w:type="spellEnd"/>
      <w:r>
        <w:t xml:space="preserve">. From each end-state trajectory, 100 evenly spaced frames were extracted after discarding the first 100 </w:t>
      </w:r>
      <w:proofErr w:type="spellStart"/>
      <w:r>
        <w:t>ps</w:t>
      </w:r>
      <w:proofErr w:type="spellEnd"/>
      <w:r>
        <w:t xml:space="preserve">; each seeded </w:t>
      </w:r>
      <w:r>
        <w:lastRenderedPageBreak/>
        <w:t>an independent simulation in which λ was driven linearly to the opposite end state, giving 100 forward and 100 reverse work values per phase per replicate. The work accumulated along each switch is</w:t>
      </w:r>
    </w:p>
    <w:p w14:paraId="1D1BE859" w14:textId="77777777" w:rsidR="0014765A" w:rsidRPr="00E536AD" w:rsidRDefault="0014765A" w:rsidP="00E50017">
      <w:pPr>
        <w:pStyle w:val="NormalWeb"/>
        <w:spacing w:before="0" w:beforeAutospacing="0"/>
      </w:pPr>
      <m:oMathPara>
        <m:oMath>
          <m:r>
            <w:rPr>
              <w:rFonts w:ascii="Cambria Math" w:hAnsi="Cambria Math"/>
            </w:rPr>
            <m:t>W=</m:t>
          </m:r>
          <m:nary>
            <m:naryPr>
              <m:limLoc m:val="subSup"/>
              <m:ctrlPr>
                <w:rPr>
                  <w:rFonts w:ascii="Cambria Math" w:hAnsi="Cambria Math"/>
                </w:rPr>
              </m:ctrlPr>
            </m:naryPr>
            <m:sub>
              <m:r>
                <w:rPr>
                  <w:rFonts w:ascii="Cambria Math" w:hAnsi="Cambria Math"/>
                </w:rPr>
                <m:t>0</m:t>
              </m:r>
            </m:sub>
            <m:sup>
              <m:r>
                <w:rPr>
                  <w:rFonts w:ascii="Cambria Math" w:hAnsi="Cambria Math"/>
                </w:rPr>
                <m:t>τ</m:t>
              </m:r>
            </m:sup>
            <m:e>
              <m:f>
                <m:fPr>
                  <m:ctrlPr>
                    <w:rPr>
                      <w:rFonts w:ascii="Cambria Math" w:hAnsi="Cambria Math"/>
                    </w:rPr>
                  </m:ctrlPr>
                </m:fPr>
                <m:num>
                  <m:r>
                    <w:rPr>
                      <w:rFonts w:ascii="Cambria Math" w:hAnsi="Cambria Math"/>
                    </w:rPr>
                    <m:t>∂H</m:t>
                  </m:r>
                  <m:d>
                    <m:dPr>
                      <m:ctrlPr>
                        <w:rPr>
                          <w:rFonts w:ascii="Cambria Math" w:hAnsi="Cambria Math"/>
                        </w:rPr>
                      </m:ctrlPr>
                    </m:dPr>
                    <m:e>
                      <m:r>
                        <m:rPr>
                          <m:sty m:val="bi"/>
                        </m:rPr>
                        <w:rPr>
                          <w:rFonts w:ascii="Cambria Math" w:hAnsi="Cambria Math"/>
                        </w:rPr>
                        <m:t>r</m:t>
                      </m:r>
                      <m:r>
                        <w:rPr>
                          <w:rFonts w:ascii="Cambria Math" w:hAnsi="Cambria Math"/>
                        </w:rPr>
                        <m:t>,</m:t>
                      </m:r>
                      <m:r>
                        <m:rPr>
                          <m:sty m:val="bi"/>
                        </m:rPr>
                        <w:rPr>
                          <w:rFonts w:ascii="Cambria Math" w:hAnsi="Cambria Math"/>
                        </w:rPr>
                        <m:t>p</m:t>
                      </m:r>
                      <m:r>
                        <w:rPr>
                          <w:rFonts w:ascii="Cambria Math" w:hAnsi="Cambria Math"/>
                        </w:rPr>
                        <m:t>,λ</m:t>
                      </m:r>
                    </m:e>
                  </m:d>
                </m:num>
                <m:den>
                  <m:r>
                    <w:rPr>
                      <w:rFonts w:ascii="Cambria Math" w:hAnsi="Cambria Math"/>
                    </w:rPr>
                    <m:t>∂λ</m:t>
                  </m:r>
                </m:den>
              </m:f>
            </m:e>
          </m:nary>
          <m:f>
            <m:fPr>
              <m:ctrlPr>
                <w:rPr>
                  <w:rFonts w:ascii="Cambria Math" w:hAnsi="Cambria Math"/>
                </w:rPr>
              </m:ctrlPr>
            </m:fPr>
            <m:num>
              <m:r>
                <w:rPr>
                  <w:rFonts w:ascii="Cambria Math" w:hAnsi="Cambria Math"/>
                </w:rPr>
                <m:t>dλ</m:t>
              </m:r>
            </m:num>
            <m:den>
              <m:r>
                <w:rPr>
                  <w:rFonts w:ascii="Cambria Math" w:hAnsi="Cambria Math"/>
                </w:rPr>
                <m:t>dt</m:t>
              </m:r>
            </m:den>
          </m:f>
          <m:r>
            <w:rPr>
              <w:rFonts w:ascii="Cambria Math" w:hAnsi="Cambria Math"/>
            </w:rPr>
            <m:t> dt</m:t>
          </m:r>
        </m:oMath>
      </m:oMathPara>
    </w:p>
    <w:p w14:paraId="52AD5EC5" w14:textId="77777777" w:rsidR="00E75C39" w:rsidRPr="00E536AD" w:rsidRDefault="00E75C39" w:rsidP="00E50017">
      <w:pPr>
        <w:pStyle w:val="TAMainText"/>
      </w:pPr>
      <w:r>
        <w:t xml:space="preserve">Switching times were 100 </w:t>
      </w:r>
      <w:proofErr w:type="spellStart"/>
      <w:r>
        <w:t>ps</w:t>
      </w:r>
      <w:proofErr w:type="spellEnd"/>
      <w:r>
        <w:t xml:space="preserve">, or 500 </w:t>
      </w:r>
      <w:proofErr w:type="spellStart"/>
      <w:r>
        <w:t>ps</w:t>
      </w:r>
      <w:proofErr w:type="spellEnd"/>
      <w:r>
        <w:t xml:space="preserve"> for legs with widely separated forward and reverse work distributions (e.g. charge-changing WT→K103N leg inherited by the K103N-containing genotypes); control runs on neutral legs gave ∆G values invariant to switching time.</w:t>
      </w:r>
      <w:r>
        <w:t xml:space="preserve"> The two charge-changing legs, WT→K103N and WT→G190E, alter the net charge of the simulation box by one unit and therefore incur a finite-size artifact under lattice-sum electrostatics. We corrected each charged leg for the periodicity self-energy term of the Rocklin scheme,53 computed from the box dimensions and the solvent dielectric constant of TIP3P. The remaining higher-order terms of that scheme, the net-charge </w:t>
      </w:r>
      <w:proofErr w:type="spellStart"/>
      <w:r>
        <w:t>undersolvation</w:t>
      </w:r>
      <w:proofErr w:type="spellEnd"/>
      <w:r>
        <w:t xml:space="preserve"> and discrete-solvent corrections, were not applied, since computing them exactly requires a Poisson-Boltzmann pass over each environment. Their effect on ΔΔGbind is nonetheless bounded by cancellation: every finite-size term depends on the net charge, the box, the solvent density and the solute excluded volume, the charge change is identical in the holo and apo phases by construction, and the two cells are matched to within 0.13% (K103N) and 0.31% (G190E) in volume, with DOR occupying 0.019% of the cell. Taking a per-phase correction of 1 kcal/mol, roughly 25 times the leading term we compute, the residual on ΔΔGbind is at most 0.003 kcal/mol, two to three orders of magnitude below the per-leg statistical uncertainties in Table 2.</w:t>
      </w:r>
    </w:p>
    <w:p w14:paraId="60198D7F" w14:textId="084D19A2" w:rsidR="00E75C39" w:rsidRPr="00E536AD" w:rsidRDefault="00E75C39" w:rsidP="00E50017">
      <w:pPr>
        <w:pStyle w:val="TAMainText"/>
      </w:pPr>
      <w:r>
        <w:t>Because the switches are of finite duration, W exceeds ∆G on average, and the free energy must be recovered from the distribution of work values. Jarzynski’s equality</w:t>
      </w:r>
      <w:r>
        <w:fldChar w:fldCharType="begin"/>
      </w:r>
      <w:r w:rsidR="00CC484F">
        <w:instrText xml:space="preserve"> ADDIN ZOTERO_ITEM CSL_CITATION {"citationID":"BjgPcEXs","properties":{"unsorted":false,"formattedCitation":"\\super 52\\nosupersub{}","plainCitation":"52","noteIndex":0},"citationItems":[{"id":280,"uris":["http://zotero.org/users/19404620/items/B29ZBTET"],"itemData":{"id":280,"type":"article-journal","abstract":"An expression is derived for the equilibrium free energy difference between two configurations of a system, in terms of an ensemble of finite-time measurements of the work performed in parametrically switching from one configuration to the other. Two well-known identities emerge as limiting cases of this result.","container-title":"Physical Review Letters","DOI":"10.1103/PhysRevLett.78.2690","issue":"14","journalAbbreviation":"Phys. Rev. Lett.","page":"2690-2693","publisher":"American Physical Society","source":"APS","title":"Nonequilibrium Equality for Free Energy Differences","volume":"78","author":[{"family":"Jarzynski","given":"C."}],"issued":{"date-parts":[["1997",4,7]]}}}],"schema":"https://github.com/citation-style-language/schema/raw/master/csl-citation.json"} </w:instrText>
      </w:r>
      <w:r>
        <w:fldChar w:fldCharType="separate"/>
      </w:r>
      <w:r w:rsidR="00CC484F" w:rsidRPr="00CC484F">
        <w:rPr>
          <w:rFonts w:cs="Mangal"/>
          <w:szCs w:val="24"/>
          <w:vertAlign w:val="superscript"/>
          <w:lang w:bidi="hi-IN"/>
        </w:rPr>
        <w:t>52</w:t>
      </w:r>
      <w:r>
        <w:fldChar w:fldCharType="end"/>
      </w:r>
      <w:r>
        <w:t xml:space="preserve"> relates the two:</w:t>
      </w:r>
    </w:p>
    <w:p w14:paraId="4F562A7C" w14:textId="77777777" w:rsidR="0014765A" w:rsidRPr="00E536AD" w:rsidRDefault="00000000" w:rsidP="00E50017">
      <w:pPr>
        <w:pStyle w:val="NormalWeb"/>
        <w:spacing w:before="0" w:beforeAutospacing="0"/>
      </w:pPr>
      <m:oMathPara>
        <m:oMath>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G</m:t>
                      </m:r>
                    </m:num>
                    <m:den>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e>
              </m:d>
            </m:e>
          </m:func>
          <m:r>
            <w:rPr>
              <w:rFonts w:ascii="Cambria Math" w:hAnsi="Cambria Math"/>
            </w:rPr>
            <m:t>=</m:t>
          </m:r>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W</m:t>
                          </m:r>
                        </m:num>
                        <m:den>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e>
                  </m:d>
                </m:e>
              </m:func>
            </m:e>
          </m:d>
        </m:oMath>
      </m:oMathPara>
    </w:p>
    <w:p w14:paraId="37A8BFB9" w14:textId="45EAD4E4" w:rsidR="00E75C39" w:rsidRPr="00E536AD" w:rsidRDefault="00FE75D4" w:rsidP="00E50017">
      <w:pPr>
        <w:pStyle w:val="TAMainText"/>
      </w:pPr>
      <w:r>
        <w:t>while the Crooks fluctuation theorem</w:t>
      </w:r>
      <w:r>
        <w:fldChar w:fldCharType="begin"/>
      </w:r>
      <w:r w:rsidR="00CC484F">
        <w:instrText xml:space="preserve"> ADDIN ZOTERO_ITEM CSL_CITATION {"citationID":"RVpkaJiG","properties":{"unsorted":false,"formattedCitation":"\\super 53\\nosupersub{}","plainCitation":"53","noteIndex":0},"citationItems":[{"id":283,"uris":["http://zotero.org/users/19404620/items/WZDHYTP8"],"itemData":{"id":283,"type":"article-journal","abstract":"There are only a very few known relations in statistical dynamics that are valid for systems driven arbitrarily far-from-equilibrium. One of these is the fluctuation theorem, which places conditions on the entropy production probability distribution of nonequilibrium systems. Another recently discovered far from equilibrium expression relates nonequilibrium measurements of the work done on a system to equilibrium free energy differences. In this paper, we derive a generalized version of the fluctuation theorem for stochastic, microscopically reversible dynamics. Invoking this generalized theorem provides a succinct proof of the nonequilibrium work relation.","container-title":"Physical Review E","DOI":"10.1103/PhysRevE.60.2721","issue":"3","journalAbbreviation":"Phys. Rev. E","page":"2721-2726","publisher":"American Physical Society","source":"APS","title":"Entropy production fluctuation theorem and the nonequilibrium work relation for free energy differences","volume":"60","author":[{"family":"Crooks","given":"Gavin E."}],"issued":{"date-parts":[["1999",9,1]]}}}],"schema":"https://github.com/citation-style-language/schema/raw/master/csl-citation.json"} </w:instrText>
      </w:r>
      <w:r>
        <w:fldChar w:fldCharType="separate"/>
      </w:r>
      <w:r w:rsidR="00CC484F" w:rsidRPr="00CC484F">
        <w:rPr>
          <w:rFonts w:cs="Mangal"/>
          <w:szCs w:val="24"/>
          <w:vertAlign w:val="superscript"/>
          <w:lang w:bidi="hi-IN"/>
        </w:rPr>
        <w:t>53</w:t>
      </w:r>
      <w:r>
        <w:fldChar w:fldCharType="end"/>
      </w:r>
      <w:r>
        <w:t xml:space="preserve"> relates the forward and reverse work distributions P</w:t>
      </w:r>
      <w:r>
        <w:rPr>
          <w:vertAlign w:val="subscript"/>
        </w:rPr>
        <w:t>F</w:t>
      </w:r>
      <w:r>
        <w:t>(W) and P</w:t>
      </w:r>
      <w:r>
        <w:rPr>
          <w:vertAlign w:val="subscript"/>
        </w:rPr>
        <w:t>R</w:t>
      </w:r>
      <w:r>
        <w:t>(W):</w:t>
      </w:r>
    </w:p>
    <w:p w14:paraId="5FCFEC87" w14:textId="77777777" w:rsidR="0014765A" w:rsidRPr="00E536AD" w:rsidRDefault="00000000" w:rsidP="00E50017">
      <w:pPr>
        <w:pStyle w:val="NormalWeb"/>
        <w:spacing w:before="0" w:beforeAutospacing="0"/>
      </w:pPr>
      <m:oMathPara>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F</m:t>
                  </m:r>
                </m:sub>
              </m:sSub>
              <m:d>
                <m:dPr>
                  <m:ctrlPr>
                    <w:rPr>
                      <w:rFonts w:ascii="Cambria Math" w:hAnsi="Cambria Math"/>
                    </w:rPr>
                  </m:ctrlPr>
                </m:dPr>
                <m:e>
                  <m:r>
                    <w:rPr>
                      <w:rFonts w:ascii="Cambria Math" w:hAnsi="Cambria Math"/>
                    </w:rPr>
                    <m:t>W</m:t>
                  </m:r>
                </m:e>
              </m:d>
            </m:num>
            <m:den>
              <m:sSub>
                <m:sSubPr>
                  <m:ctrlPr>
                    <w:rPr>
                      <w:rFonts w:ascii="Cambria Math" w:hAnsi="Cambria Math"/>
                    </w:rPr>
                  </m:ctrlPr>
                </m:sSubPr>
                <m:e>
                  <m:r>
                    <w:rPr>
                      <w:rFonts w:ascii="Cambria Math" w:hAnsi="Cambria Math"/>
                    </w:rPr>
                    <m:t>P</m:t>
                  </m:r>
                </m:e>
                <m:sub>
                  <m:r>
                    <w:rPr>
                      <w:rFonts w:ascii="Cambria Math" w:hAnsi="Cambria Math"/>
                    </w:rPr>
                    <m:t>R</m:t>
                  </m:r>
                </m:sub>
              </m:sSub>
              <m:d>
                <m:dPr>
                  <m:ctrlPr>
                    <w:rPr>
                      <w:rFonts w:ascii="Cambria Math" w:hAnsi="Cambria Math"/>
                    </w:rPr>
                  </m:ctrlPr>
                </m:dPr>
                <m:e>
                  <m:r>
                    <w:rPr>
                      <w:rFonts w:ascii="Cambria Math" w:hAnsi="Cambria Math"/>
                    </w:rPr>
                    <m:t>-W</m:t>
                  </m:r>
                </m:e>
              </m:d>
            </m:den>
          </m:f>
          <m:r>
            <w:rPr>
              <w:rFonts w:ascii="Cambria Math" w:hAnsi="Cambria Math"/>
            </w:rPr>
            <m:t>=</m:t>
          </m:r>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f>
                    <m:fPr>
                      <m:ctrlPr>
                        <w:rPr>
                          <w:rFonts w:ascii="Cambria Math" w:hAnsi="Cambria Math"/>
                        </w:rPr>
                      </m:ctrlPr>
                    </m:fPr>
                    <m:num>
                      <m:r>
                        <w:rPr>
                          <w:rFonts w:ascii="Cambria Math" w:hAnsi="Cambria Math"/>
                        </w:rPr>
                        <m:t>W-</m:t>
                      </m:r>
                      <m:r>
                        <m:rPr>
                          <m:sty m:val="p"/>
                        </m:rPr>
                        <w:rPr>
                          <w:rFonts w:ascii="Cambria Math" w:hAnsi="Cambria Math"/>
                        </w:rPr>
                        <m:t>Δ</m:t>
                      </m:r>
                      <m:r>
                        <w:rPr>
                          <w:rFonts w:ascii="Cambria Math" w:hAnsi="Cambria Math"/>
                        </w:rPr>
                        <m:t>G</m:t>
                      </m:r>
                    </m:num>
                    <m:den>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e>
              </m:d>
            </m:e>
          </m:func>
        </m:oMath>
      </m:oMathPara>
    </w:p>
    <w:p w14:paraId="46B1EC75" w14:textId="5F3C9939" w:rsidR="001719C5" w:rsidRPr="00E536AD" w:rsidRDefault="001719C5" w:rsidP="00DD2D9A">
      <w:pPr>
        <w:pStyle w:val="TAMainText"/>
      </w:pPr>
      <w:r>
        <w:lastRenderedPageBreak/>
        <w:t>The maximum-likelihood estimate of ∆G from the above theorem is the Bennett acceptance ratio.</w:t>
      </w:r>
      <w:r>
        <w:fldChar w:fldCharType="begin"/>
      </w:r>
      <w:r w:rsidR="00CC484F">
        <w:instrText xml:space="preserve"> ADDIN ZOTERO_ITEM CSL_CITATION {"citationID":"xyDqDfup","properties":{"unsorted":false,"formattedCitation":"\\super 55\\nosupersub{}","plainCitation":"55","noteIndex":0},"citationItems":[{"id":289,"uris":["http://zotero.org/users/19404620/items/DLL2VZVI"],"itemData":{"id":289,"type":"article-journal","abstract":"Near-optimal strategies are developed for estimating the free energy difference between two canonical ensembles, given a Metropolis-type Monte Carlo program for sampling each one. The estimation strategy depends on the extent of overlap between the two ensembles, on the smoothness of the density-of-states as a function of the difference potential, and on the relative Monte Carlo sampling costs, per statistically independent data point. The best estimate of the free energy difference is usually obtained by dividing the available computer time approximately equally between the two ensembles; its efficiency (variance x computer time)-1 is never less, and may be several orders of magnitude greater, than that obtained by sampling only one ensemble, as is done in perturbation theory.","container-title":"Journal of Computational Physics","DOI":"10.1016/0021-9991(76)90078-4","ISSN":"0021-9991","issue":"2","journalAbbreviation":"Journal of Computational Physics","page":"245-268","source":"ScienceDirect","title":"Efficient estimation of free energy differences from Monte Carlo data","volume":"22","author":[{"family":"Bennett","given":"Charles H"}],"issued":{"date-parts":[["1976",10,1]]}}}],"schema":"https://github.com/citation-style-language/schema/raw/master/csl-citation.json"} </w:instrText>
      </w:r>
      <w:r>
        <w:fldChar w:fldCharType="separate"/>
      </w:r>
      <w:r w:rsidR="00CC484F" w:rsidRPr="00CC484F">
        <w:rPr>
          <w:rFonts w:cs="Mangal"/>
          <w:szCs w:val="24"/>
          <w:vertAlign w:val="superscript"/>
          <w:lang w:bidi="hi-IN"/>
        </w:rPr>
        <w:t>55</w:t>
      </w:r>
      <w:r>
        <w:fldChar w:fldCharType="end"/>
      </w:r>
      <w:r>
        <w:t xml:space="preserve"> For equal number of forward and reverse switches (</w:t>
      </w:r>
      <w:proofErr w:type="spellStart"/>
      <w:r>
        <w:t>n</w:t>
      </w:r>
      <w:r>
        <w:rPr>
          <w:vertAlign w:val="subscript"/>
        </w:rPr>
        <w:t>F</w:t>
      </w:r>
      <w:proofErr w:type="spellEnd"/>
      <w:r>
        <w:rPr>
          <w:vertAlign w:val="subscript"/>
        </w:rPr>
        <w:t xml:space="preserve"> </w:t>
      </w:r>
      <w:r>
        <w:t xml:space="preserve">= </w:t>
      </w:r>
      <w:proofErr w:type="spellStart"/>
      <w:r>
        <w:t>n</w:t>
      </w:r>
      <w:r>
        <w:rPr>
          <w:vertAlign w:val="subscript"/>
        </w:rPr>
        <w:t>R</w:t>
      </w:r>
      <w:proofErr w:type="spellEnd"/>
      <w:r>
        <w:t xml:space="preserve"> =100 here), ∆G is the value satisfying the self-consistent equation</w:t>
      </w:r>
    </w:p>
    <w:p w14:paraId="32C9102F" w14:textId="77777777" w:rsidR="001719C5" w:rsidRPr="00E536AD" w:rsidRDefault="00000000" w:rsidP="00DD2D9A">
      <w:pPr>
        <w:pStyle w:val="NormalWeb"/>
      </w:pPr>
      <m:oMathPara>
        <m:oMath>
          <m:nary>
            <m:naryPr>
              <m:chr m:val="∑"/>
              <m:limLoc m:val="undOvr"/>
              <m:ctrlPr>
                <w:rPr>
                  <w:rFonts w:ascii="Cambria Math" w:hAnsi="Cambria Math"/>
                </w:rPr>
              </m:ctrlPr>
            </m:naryPr>
            <m:sub>
              <m:r>
                <w:rPr>
                  <w:rFonts w:ascii="Cambria Math" w:hAnsi="Cambria Math"/>
                </w:rPr>
                <m:t>i=1</m:t>
              </m:r>
            </m:sub>
            <m:sup>
              <m:sSub>
                <m:sSubPr>
                  <m:ctrlPr>
                    <w:rPr>
                      <w:rFonts w:ascii="Cambria Math" w:hAnsi="Cambria Math"/>
                    </w:rPr>
                  </m:ctrlPr>
                </m:sSubPr>
                <m:e>
                  <m:r>
                    <w:rPr>
                      <w:rFonts w:ascii="Cambria Math" w:hAnsi="Cambria Math"/>
                    </w:rPr>
                    <m:t>n</m:t>
                  </m:r>
                </m:e>
                <m:sub>
                  <m:r>
                    <w:rPr>
                      <w:rFonts w:ascii="Cambria Math" w:hAnsi="Cambria Math"/>
                    </w:rPr>
                    <m:t>F</m:t>
                  </m:r>
                </m:sub>
              </m:sSub>
            </m:sup>
            <m:e>
              <m:r>
                <w:rPr>
                  <w:rFonts w:ascii="Cambria Math" w:hAnsi="Cambria Math"/>
                </w:rPr>
                <m:t>f</m:t>
              </m:r>
            </m:e>
          </m:nary>
          <m:r>
            <w:rPr>
              <w:rFonts w:ascii="Cambria Math" w:hAnsi="Cambria Math"/>
            </w:rPr>
            <m:t>​</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F</m:t>
                      </m:r>
                    </m:sup>
                  </m:sSubSup>
                  <m:r>
                    <w:rPr>
                      <w:rFonts w:ascii="Cambria Math" w:hAnsi="Cambria Math"/>
                    </w:rPr>
                    <m:t>-</m:t>
                  </m:r>
                  <m:r>
                    <m:rPr>
                      <m:sty m:val="p"/>
                    </m:rPr>
                    <w:rPr>
                      <w:rFonts w:ascii="Cambria Math" w:hAnsi="Cambria Math"/>
                    </w:rPr>
                    <m:t>Δ</m:t>
                  </m:r>
                  <m:r>
                    <w:rPr>
                      <w:rFonts w:ascii="Cambria Math" w:hAnsi="Cambria Math"/>
                    </w:rPr>
                    <m:t>G</m:t>
                  </m:r>
                </m:num>
                <m:den>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e>
          </m:d>
          <m:r>
            <w:rPr>
              <w:rFonts w:ascii="Cambria Math" w:hAnsi="Cambria Math"/>
            </w:rPr>
            <m:t>=</m:t>
          </m:r>
          <m:nary>
            <m:naryPr>
              <m:chr m:val="∑"/>
              <m:limLoc m:val="undOvr"/>
              <m:ctrlPr>
                <w:rPr>
                  <w:rFonts w:ascii="Cambria Math" w:hAnsi="Cambria Math"/>
                </w:rPr>
              </m:ctrlPr>
            </m:naryPr>
            <m:sub>
              <m:r>
                <w:rPr>
                  <w:rFonts w:ascii="Cambria Math" w:hAnsi="Cambria Math"/>
                </w:rPr>
                <m:t>j=1</m:t>
              </m:r>
            </m:sub>
            <m:sup>
              <m:sSub>
                <m:sSubPr>
                  <m:ctrlPr>
                    <w:rPr>
                      <w:rFonts w:ascii="Cambria Math" w:hAnsi="Cambria Math"/>
                    </w:rPr>
                  </m:ctrlPr>
                </m:sSubPr>
                <m:e>
                  <m:r>
                    <w:rPr>
                      <w:rFonts w:ascii="Cambria Math" w:hAnsi="Cambria Math"/>
                    </w:rPr>
                    <m:t>n</m:t>
                  </m:r>
                </m:e>
                <m:sub>
                  <m:r>
                    <w:rPr>
                      <w:rFonts w:ascii="Cambria Math" w:hAnsi="Cambria Math"/>
                    </w:rPr>
                    <m:t>R</m:t>
                  </m:r>
                </m:sub>
              </m:sSub>
            </m:sup>
            <m:e>
              <m:r>
                <w:rPr>
                  <w:rFonts w:ascii="Cambria Math" w:hAnsi="Cambria Math"/>
                </w:rPr>
                <m:t>f</m:t>
              </m:r>
            </m:e>
          </m:nary>
          <m:r>
            <w:rPr>
              <w:rFonts w:ascii="Cambria Math" w:hAnsi="Cambria Math"/>
            </w:rPr>
            <m:t>​</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R</m:t>
                      </m:r>
                    </m:sup>
                  </m:sSubSup>
                  <m:r>
                    <w:rPr>
                      <w:rFonts w:ascii="Cambria Math" w:hAnsi="Cambria Math"/>
                    </w:rPr>
                    <m:t>+</m:t>
                  </m:r>
                  <m:r>
                    <m:rPr>
                      <m:sty m:val="p"/>
                    </m:rPr>
                    <w:rPr>
                      <w:rFonts w:ascii="Cambria Math" w:hAnsi="Cambria Math"/>
                    </w:rPr>
                    <m:t>Δ</m:t>
                  </m:r>
                  <m:r>
                    <w:rPr>
                      <w:rFonts w:ascii="Cambria Math" w:hAnsi="Cambria Math"/>
                    </w:rPr>
                    <m:t>G</m:t>
                  </m:r>
                </m:num>
                <m:den>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e>
          </m:d>
          <m:r>
            <w:rPr>
              <w:rFonts w:ascii="Cambria Math" w:hAnsi="Cambria Math"/>
            </w:rPr>
            <m:t>,  f</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x</m:t>
                  </m:r>
                </m:sup>
              </m:sSup>
            </m:den>
          </m:f>
        </m:oMath>
      </m:oMathPara>
    </w:p>
    <w:p w14:paraId="667EA015" w14:textId="0831670D" w:rsidR="001B09BA" w:rsidRPr="00E536AD" w:rsidRDefault="001719C5" w:rsidP="00A3640F">
      <w:pPr>
        <w:pStyle w:val="TAMainText"/>
      </w:pPr>
      <w:r>
        <w:t xml:space="preserve">Free energies were estimated from the above equation as implemented in </w:t>
      </w:r>
      <w:proofErr w:type="spellStart"/>
      <w:r>
        <w:t>pmx</w:t>
      </w:r>
      <w:proofErr w:type="spellEnd"/>
      <w:r>
        <w:t xml:space="preserve"> (100 bootstrap resamples, </w:t>
      </w:r>
      <w:r>
        <w:rPr>
          <w:i/>
          <w:iCs/>
        </w:rPr>
        <w:t>T</w:t>
      </w:r>
      <w:r>
        <w:t xml:space="preserve"> = 300 K), with the Crooks Gaussian intersection and Jarzynski estimators computed as consistency checks alongside the forward/reverse work overlap and hysteresis. Three independent replicates were run per leg and phase, and the reported uncertainty is the standard error across replicates. For the two legs that change protein net charge (WT→K103N, WT→G190E), we employed an analytical finite-size periodicity correction post hoc;</w:t>
      </w:r>
      <w:r>
        <w:fldChar w:fldCharType="begin"/>
      </w:r>
      <w:r w:rsidR="00CC484F">
        <w:instrText xml:space="preserve"> ADDIN ZOTERO_ITEM CSL_CITATION {"citationID":"32E8oipi","properties":{"unsorted":false,"formattedCitation":"\\super 56\\nosupersub{}","plainCitation":"56","noteIndex":0},"citationItems":[{"id":291,"uris":["http://zotero.org/users/19404620/items/AM8GLI8P"],"itemData":{"id":291,"type":"article-journal","abstract":"The calculation of a protein-ligand binding free energy based on molecular dynamics (MD) simulations generally relies on a thermodynamic cycle in which the ligand is alchemically inserted into the system, both in the solvated protein and free in solution. The corresponding ligand-insertion free energies are typically calculated in nanoscale computational boxes simulated under periodic boundary conditions and considering electrostatic interactions defined by a periodic lattice-sum. This is distinct from the ideal bulk situation of a system of macroscopic size simulated under non-periodic boundary conditions with Coulombic electrostatic interactions. This discrepancy results in finite-size effects, which affect primarily the charging component of the insertion free energy, are dependent on the box size, and can be large when the ligand bears a net charge, especially if the protein is charged as well. This article investigates finite-size effects on calculated charging free energies using as a test case the binding of the ligand 2-amino-5-methylthiazole (net charge +1 e) to a mutant form of yeast cytochrome c peroxidase in water. Considering different charge isoforms of the protein (net charges −5, 0, +3, or +9 e), either in the absence or the presence of neutralizing counter-ions, and sizes of the cubic computational box (edges ranging from 7.42 to 11.02 nm), the potentially large magnitude of finite-size effects on the raw charging free energies (up to 17.1 kJ mol−1) is demonstrated. Two correction schemes are then proposed to eliminate these effects, a numerical and an analytical one. Both schemes are based on a continuum-electrostatics analysis and require performing Poisson-Boltzmann (PB) calculations on the protein-ligand system. While the numerical scheme requires PB calculations under both non-periodic and periodic boundary conditions, the latter at the box size considered in the MD simulations, the analytical scheme only requires three non-periodic PB calculations for a given system, its dependence on the box size being analytical. The latter scheme also provides insight into the physical origin of the finite-size effects. These two schemes also encompass a correction for discrete solvent effects that persists even in the limit of infinite box sizes. Application of either scheme essentially eliminates the size dependence of the corrected charging free energies (maximal deviation of 1.5 kJ mol−1). Because it is simple to apply, the analytical correction scheme offers a general solution to the problem of finite-size effects in free-energy calculations involving charged solutes, as encountered in calculations concerning, e.g., protein-ligand binding, biomolecular association, residue mutation, pKa and redox potential estimation, substrate transformation, solvation, and solvent-solvent partitioning.","container-title":"The Journal of Chemical Physics","DOI":"10.1063/1.4826261","ISSN":"0021-9606","issue":"18","journalAbbreviation":"J. Chem. Phys.","page":"184103","source":"Silverchair","title":"Calculating the binding free energies of charged species based on explicit-solvent simulations employing lattice-sum methods: An accurate correction scheme for electrostatic finite-size effects","title-short":"Calculating the binding free energies of charged species based on explicit-solvent simulations employing lattice-sum methods","volume":"139","author":[{"family":"Rocklin","given":"Gabriel J."},{"family":"Mobley","given":"David L."},{"family":"Dill","given":"Ken A."},{"family":"H</w:instrText>
      </w:r>
      <w:r w:rsidR="00CC484F">
        <w:rPr>
          <w:rFonts w:hint="eastAsia"/>
        </w:rPr>
        <w:instrText>ü</w:instrText>
      </w:r>
      <w:r w:rsidR="00CC484F">
        <w:instrText xml:space="preserve">nenberger","given":"Philippe H."}],"issued":{"date-parts":[["2013",11,8]]}}}],"schema":"https://github.com/citation-style-language/schema/raw/master/csl-citation.json"} </w:instrText>
      </w:r>
      <w:r>
        <w:fldChar w:fldCharType="separate"/>
      </w:r>
      <w:r w:rsidR="00CC484F" w:rsidRPr="00CC484F">
        <w:rPr>
          <w:rFonts w:cs="Mangal"/>
          <w:szCs w:val="24"/>
          <w:vertAlign w:val="superscript"/>
          <w:lang w:bidi="hi-IN"/>
        </w:rPr>
        <w:t>56</w:t>
      </w:r>
      <w:r>
        <w:fldChar w:fldCharType="end"/>
      </w:r>
      <w:r>
        <w:t xml:space="preserve"> because </w:t>
      </w:r>
      <w:r>
        <w:rPr>
          <w:i/>
          <w:iCs/>
        </w:rPr>
        <w:t>holo</w:t>
      </w:r>
      <w:r>
        <w:t xml:space="preserve"> and </w:t>
      </w:r>
      <w:r>
        <w:rPr>
          <w:i/>
          <w:iCs/>
        </w:rPr>
        <w:t>apo</w:t>
      </w:r>
      <w:r>
        <w:t xml:space="preserve"> box volumes differ by less than 1%, this correction cancels to below 10⁻³ kcal/mol in ∆∆G.</w:t>
      </w:r>
    </w:p>
    <w:p w14:paraId="22D02AA2" w14:textId="77777777" w:rsidR="00D53F77" w:rsidRPr="00E536AD" w:rsidRDefault="00D53F77" w:rsidP="00D53F77">
      <w:pPr>
        <w:pStyle w:val="TAMainText"/>
        <w:rPr>
          <w:rFonts w:ascii="Times New Roman" w:hAnsi="Times New Roman"/>
          <w:szCs w:val="24"/>
        </w:rPr>
      </w:pPr>
      <w:r>
        <w:rPr>
          <w:b/>
          <w:bCs/>
          <w:u w:val="single"/>
        </w:rPr>
        <w:t>Statistical analysis</w:t>
      </w:r>
    </w:p>
    <w:p w14:paraId="27005CFF" w14:textId="77777777" w:rsidR="00766EBA" w:rsidRPr="003960AE" w:rsidRDefault="00D53F77" w:rsidP="003960AE">
      <w:pPr>
        <w:pStyle w:val="TAMainText"/>
        <w:spacing w:after="240"/>
      </w:pPr>
      <w:r>
        <w:t>Associations between the computed energies and phenotype were assessed by ordinary least-squares regression against log₁₀-transformed fold-change in susceptibility, reported as the coefficient of determination R² with the two-sided p-value for a non-zero slope (</w:t>
      </w:r>
      <w:proofErr w:type="spellStart"/>
      <w:r>
        <w:t>scipy.stats.linregress</w:t>
      </w:r>
      <w:proofErr w:type="spellEnd"/>
      <w:r>
        <w:t>). Given the small size of the panel, these statistics are reported as descriptive effect sizes rather than as hypothesis tests, and no correction for multiple comparisons was applied.</w:t>
      </w:r>
      <w:r>
        <w:t xml:space="preserve"> Agreement with phenotype was additionally summarized as a binary classification. A genotype was scored as predicted-resistant when the computed quantity, less its standard error over replicates, exceeded +0.5 kcal/mol, approximately </w:t>
      </w:r>
      <w:proofErr w:type="spellStart"/>
      <w:r>
        <w:t>kBT</w:t>
      </w:r>
      <w:proofErr w:type="spellEnd"/>
      <w:r>
        <w:t xml:space="preserve"> at 300 K, and as predicted-susceptible otherwise. This cutoff was fixed a priori from the thermal energy rather than fitted to the panel, and requiring the estimate to clear it by a full standard error is the same rule applied throughout the Results. Against the 13 genotypes with an </w:t>
      </w:r>
      <w:r>
        <w:lastRenderedPageBreak/>
        <w:t>established susceptible or resistant phenotype, ΔΔGbind gives 7 true positives, 3 true negatives, 1 false positive (V106I) and 2 false negatives (A98G+F227C and K103N+M230L), for a sensitivity of 0.78, a specificity of 0.75 and a Matthews correlation coefficient of 0.50. Because any single cutoff is arbitrary for an uncalibrated physical observable, we also report the threshold-free area under the ROC curve, 0.78 (exact permutation p = 0.074), which measures only whether the method ranks resistant above susceptible genotypes.</w:t>
      </w:r>
    </w:p>
    <w:p w14:paraId="53FC7BCD" w14:textId="77777777" w:rsidR="000E15E2" w:rsidRPr="006C08B3" w:rsidRDefault="00831C83" w:rsidP="00C06CDC">
      <w:pPr>
        <w:pStyle w:val="TAMainText"/>
        <w:spacing w:after="240"/>
        <w:rPr>
          <w:rFonts w:ascii="Times New Roman" w:hAnsi="Times New Roman"/>
          <w:b/>
          <w:bCs/>
          <w:sz w:val="36"/>
          <w:szCs w:val="28"/>
        </w:rPr>
      </w:pPr>
      <w:r>
        <w:rPr>
          <w:b/>
          <w:bCs/>
          <w:sz w:val="28"/>
          <w:szCs w:val="22"/>
        </w:rPr>
        <w:t>Results</w:t>
      </w:r>
    </w:p>
    <w:p w14:paraId="18264729" w14:textId="77777777" w:rsidR="00BA0839" w:rsidRPr="00E536AD" w:rsidRDefault="00BA0839" w:rsidP="00BA0839">
      <w:pPr>
        <w:pStyle w:val="TAMainText"/>
        <w:rPr>
          <w:rFonts w:ascii="Times New Roman" w:hAnsi="Times New Roman"/>
          <w:b/>
          <w:bCs/>
          <w:szCs w:val="24"/>
          <w:u w:val="single"/>
        </w:rPr>
      </w:pPr>
      <w:r>
        <w:rPr>
          <w:b/>
          <w:bCs/>
          <w:u w:val="single"/>
        </w:rPr>
        <w:t>DOR phenotypic susceptibility landscape</w:t>
      </w:r>
    </w:p>
    <w:p w14:paraId="0F84A1A6" w14:textId="77777777" w:rsidR="00BA0839" w:rsidRPr="00E536AD" w:rsidRDefault="00BA0839" w:rsidP="00BA0839">
      <w:pPr>
        <w:pStyle w:val="TAMainText"/>
        <w:spacing w:after="240"/>
        <w:rPr>
          <w:rFonts w:ascii="Times New Roman" w:hAnsi="Times New Roman"/>
          <w:szCs w:val="24"/>
        </w:rPr>
      </w:pPr>
      <w:r>
        <w:t xml:space="preserve">We assembled a panel of 18 DOR-associated genotypes for simulation together with WT RT. These genotypes were selected to cover three distinct categories: </w:t>
      </w:r>
    </w:p>
    <w:p w14:paraId="6E3A2828" w14:textId="77777777" w:rsidR="00BA0839" w:rsidRPr="00E536AD" w:rsidRDefault="00BA0839" w:rsidP="00BA0839">
      <w:pPr>
        <w:pStyle w:val="TAMainText"/>
        <w:numPr>
          <w:ilvl w:val="0"/>
          <w:numId w:val="2"/>
        </w:numPr>
        <w:spacing w:before="240" w:after="240"/>
        <w:rPr>
          <w:rFonts w:ascii="Times New Roman" w:hAnsi="Times New Roman"/>
          <w:szCs w:val="24"/>
        </w:rPr>
      </w:pPr>
      <w:r>
        <w:rPr>
          <w:i/>
          <w:iCs/>
        </w:rPr>
        <w:t>Susceptible phenotype</w:t>
      </w:r>
      <w:r>
        <w:t xml:space="preserve">: well-established low-impact control mutations associated with little, if any, reduction in DOR susceptibility. These include K103N, V106I, Y181C, and G190A. </w:t>
      </w:r>
    </w:p>
    <w:p w14:paraId="482371FA" w14:textId="77777777" w:rsidR="00BA0839" w:rsidRPr="00E536AD" w:rsidRDefault="00BA0839" w:rsidP="00BA0839">
      <w:pPr>
        <w:pStyle w:val="TAMainText"/>
        <w:numPr>
          <w:ilvl w:val="0"/>
          <w:numId w:val="2"/>
        </w:numPr>
        <w:spacing w:before="240" w:after="240"/>
        <w:rPr>
          <w:rFonts w:ascii="Times New Roman" w:hAnsi="Times New Roman"/>
          <w:szCs w:val="24"/>
        </w:rPr>
      </w:pPr>
      <w:r>
        <w:rPr>
          <w:i/>
          <w:iCs/>
        </w:rPr>
        <w:t>Resistant phenotype</w:t>
      </w:r>
      <w:r>
        <w:t>: canonical DOR-associated resistance mutations and mutation patterns, consistently associated with reduced susceptibility. These were chosen to be K103N+M230L, V106A, Y188L, Y318F, A98G+F227C, V106A+F227L, V106A+L234I, V106A+P225H, and V106I+F227C.</w:t>
      </w:r>
    </w:p>
    <w:p w14:paraId="12D86FCC" w14:textId="77777777" w:rsidR="00BA0839" w:rsidRPr="00E536AD" w:rsidRDefault="00BA0839" w:rsidP="00BA0839">
      <w:pPr>
        <w:pStyle w:val="TAMainText"/>
        <w:numPr>
          <w:ilvl w:val="0"/>
          <w:numId w:val="2"/>
        </w:numPr>
        <w:spacing w:before="240" w:after="240"/>
        <w:rPr>
          <w:rFonts w:ascii="Times New Roman" w:hAnsi="Times New Roman"/>
          <w:szCs w:val="24"/>
        </w:rPr>
      </w:pPr>
      <w:r>
        <w:rPr>
          <w:i/>
          <w:iCs/>
        </w:rPr>
        <w:t>Uncertain phenotype</w:t>
      </w:r>
      <w:r>
        <w:t xml:space="preserve">: mutations and mutation patterns associated with limited or inconsistent reductions in susceptibility. These were L100I+K103N, K103N+P225H, V106M, G190E, and G190S. </w:t>
      </w:r>
    </w:p>
    <w:p w14:paraId="14458EC6" w14:textId="77777777" w:rsidR="00BA0839" w:rsidRPr="00E536AD" w:rsidRDefault="00BA0839" w:rsidP="00BA0839">
      <w:pPr>
        <w:pStyle w:val="TAMainText"/>
        <w:spacing w:before="240" w:after="240"/>
        <w:rPr>
          <w:rFonts w:ascii="Times New Roman" w:hAnsi="Times New Roman"/>
          <w:szCs w:val="24"/>
        </w:rPr>
      </w:pPr>
      <w:r>
        <w:lastRenderedPageBreak/>
        <w:t>Table 1 summarizes the median fold-change in DOR susceptibility used to define the panel and Supplementary Table 1 traces the isolate-level data indexed in the Stanford HIVDB (</w:t>
      </w:r>
      <w:hyperlink r:id="rId14" w:history="1">
        <w:r>
          <w:rPr>
            <w:rStyle w:val="Hyperlink"/>
            <w:rFonts w:ascii="Times New Roman" w:hAnsi="Times New Roman"/>
            <w:szCs w:val="24"/>
          </w:rPr>
          <w:t>https://hivdb.stanford.edu/</w:t>
        </w:r>
      </w:hyperlink>
      <w:r>
        <w:t xml:space="preserve">). These susceptibility data were derived from assays performed using the Monogram </w:t>
      </w:r>
      <w:proofErr w:type="spellStart"/>
      <w:r>
        <w:t>PhenoSense</w:t>
      </w:r>
      <w:proofErr w:type="spellEnd"/>
      <w:r>
        <w:t xml:space="preserve"> assay and the relatively similar Merck reporter-gene assay. Isolates undergoing testing were either site-directed mutants or clinical isolates for which known NNRTI-resistance mutations were specified. </w:t>
      </w:r>
    </w:p>
    <w:p w14:paraId="4B82F51B" w14:textId="77777777" w:rsidR="00F908FC" w:rsidRPr="00D06532" w:rsidRDefault="00F908FC" w:rsidP="00464EAE">
      <w:pPr>
        <w:pStyle w:val="VDTableTitle"/>
        <w:rPr>
          <w:rFonts w:ascii="Times New Roman" w:hAnsi="Times New Roman"/>
          <w:sz w:val="22"/>
          <w:szCs w:val="22"/>
        </w:rPr>
      </w:pPr>
      <w:r>
        <w:rPr>
          <w:b/>
          <w:bCs/>
          <w:color w:val="000000"/>
          <w:sz w:val="22"/>
          <w:szCs w:val="22"/>
        </w:rPr>
        <w:t>Table 1. Fold-change in DOR susceptibility associated with selected genotypes</w:t>
      </w:r>
    </w:p>
    <w:tbl>
      <w:tblPr>
        <w:tblStyle w:val="TableGrid"/>
        <w:tblW w:w="510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3"/>
        <w:gridCol w:w="1648"/>
        <w:gridCol w:w="1503"/>
        <w:gridCol w:w="999"/>
        <w:gridCol w:w="2135"/>
        <w:gridCol w:w="2030"/>
      </w:tblGrid>
      <w:tr w:rsidR="00BA0839" w:rsidRPr="00E536AD" w14:paraId="2BCE6A90" w14:textId="77777777" w:rsidTr="005A06D4">
        <w:trPr>
          <w:trHeight w:val="539"/>
        </w:trPr>
        <w:tc>
          <w:tcPr>
            <w:tcW w:w="1206" w:type="dxa"/>
            <w:tcBorders>
              <w:top w:val="single" w:sz="4" w:space="0" w:color="auto"/>
              <w:bottom w:val="single" w:sz="4" w:space="0" w:color="auto"/>
            </w:tcBorders>
            <w:hideMark/>
          </w:tcPr>
          <w:p w14:paraId="7A01E8F8" w14:textId="77777777" w:rsidR="00BA0839" w:rsidRPr="003968DD" w:rsidRDefault="00070A30" w:rsidP="005A06D4">
            <w:pPr>
              <w:pStyle w:val="TCTableBody"/>
              <w:jc w:val="center"/>
              <w:rPr>
                <w:rFonts w:ascii="Times New Roman" w:hAnsi="Times New Roman"/>
                <w:b/>
                <w:bCs/>
                <w:color w:val="000000"/>
                <w:sz w:val="22"/>
                <w:szCs w:val="22"/>
              </w:rPr>
            </w:pPr>
            <w:r>
              <w:rPr>
                <w:b/>
                <w:bCs/>
                <w:color w:val="000000"/>
                <w:sz w:val="22"/>
                <w:szCs w:val="22"/>
              </w:rPr>
              <w:t>Category</w:t>
            </w:r>
          </w:p>
        </w:tc>
        <w:tc>
          <w:tcPr>
            <w:tcW w:w="1648" w:type="dxa"/>
            <w:tcBorders>
              <w:top w:val="single" w:sz="4" w:space="0" w:color="auto"/>
              <w:bottom w:val="single" w:sz="4" w:space="0" w:color="auto"/>
            </w:tcBorders>
            <w:hideMark/>
          </w:tcPr>
          <w:p w14:paraId="36535BF8" w14:textId="77777777" w:rsidR="00BA0839" w:rsidRPr="003968DD" w:rsidRDefault="00070A30" w:rsidP="005A06D4">
            <w:pPr>
              <w:pStyle w:val="TCTableBody"/>
              <w:spacing w:line="480" w:lineRule="auto"/>
              <w:jc w:val="center"/>
              <w:rPr>
                <w:rFonts w:ascii="Times New Roman" w:hAnsi="Times New Roman"/>
                <w:b/>
                <w:bCs/>
                <w:color w:val="000000"/>
                <w:sz w:val="22"/>
                <w:szCs w:val="22"/>
              </w:rPr>
            </w:pPr>
            <w:r>
              <w:rPr>
                <w:b/>
                <w:bCs/>
                <w:color w:val="000000"/>
                <w:sz w:val="22"/>
                <w:szCs w:val="22"/>
              </w:rPr>
              <w:t>Genotype</w:t>
            </w:r>
          </w:p>
        </w:tc>
        <w:tc>
          <w:tcPr>
            <w:tcW w:w="1504" w:type="dxa"/>
            <w:tcBorders>
              <w:top w:val="single" w:sz="4" w:space="0" w:color="auto"/>
              <w:bottom w:val="single" w:sz="4" w:space="0" w:color="auto"/>
            </w:tcBorders>
            <w:hideMark/>
          </w:tcPr>
          <w:p w14:paraId="36FC05E5" w14:textId="77777777" w:rsidR="00BA0839" w:rsidRPr="003968DD" w:rsidRDefault="00BA0839" w:rsidP="005A06D4">
            <w:pPr>
              <w:pStyle w:val="TCTableBody"/>
              <w:jc w:val="center"/>
              <w:rPr>
                <w:rFonts w:ascii="Times New Roman" w:hAnsi="Times New Roman"/>
                <w:b/>
                <w:bCs/>
                <w:color w:val="000000"/>
                <w:sz w:val="22"/>
                <w:szCs w:val="22"/>
              </w:rPr>
            </w:pPr>
            <w:r>
              <w:rPr>
                <w:b/>
                <w:bCs/>
                <w:color w:val="000000"/>
                <w:sz w:val="22"/>
                <w:szCs w:val="22"/>
              </w:rPr>
              <w:t xml:space="preserve">Median fold-change in susceptibility vs WT </w:t>
            </w:r>
          </w:p>
        </w:tc>
        <w:tc>
          <w:tcPr>
            <w:tcW w:w="999" w:type="dxa"/>
            <w:tcBorders>
              <w:top w:val="single" w:sz="4" w:space="0" w:color="auto"/>
              <w:bottom w:val="single" w:sz="4" w:space="0" w:color="auto"/>
            </w:tcBorders>
            <w:hideMark/>
          </w:tcPr>
          <w:p w14:paraId="7D7B02FF" w14:textId="77777777" w:rsidR="00BA0839" w:rsidRPr="003968DD" w:rsidRDefault="00BA0839" w:rsidP="005A06D4">
            <w:pPr>
              <w:pStyle w:val="TCTableBody"/>
              <w:jc w:val="center"/>
              <w:rPr>
                <w:rFonts w:ascii="Times New Roman" w:hAnsi="Times New Roman"/>
                <w:b/>
                <w:bCs/>
                <w:color w:val="000000"/>
                <w:sz w:val="22"/>
                <w:szCs w:val="22"/>
              </w:rPr>
            </w:pPr>
            <w:r>
              <w:rPr>
                <w:b/>
                <w:bCs/>
                <w:color w:val="000000"/>
                <w:sz w:val="22"/>
                <w:szCs w:val="22"/>
              </w:rPr>
              <w:t>Number of isolates</w:t>
            </w:r>
          </w:p>
        </w:tc>
        <w:tc>
          <w:tcPr>
            <w:tcW w:w="2151" w:type="dxa"/>
            <w:tcBorders>
              <w:top w:val="single" w:sz="4" w:space="0" w:color="auto"/>
              <w:bottom w:val="single" w:sz="4" w:space="0" w:color="auto"/>
            </w:tcBorders>
            <w:hideMark/>
          </w:tcPr>
          <w:p w14:paraId="732EE48C" w14:textId="77777777" w:rsidR="00BA0839" w:rsidRPr="003968DD" w:rsidRDefault="00BA0839" w:rsidP="005A06D4">
            <w:pPr>
              <w:pStyle w:val="TCTableBody"/>
              <w:jc w:val="center"/>
              <w:rPr>
                <w:rFonts w:ascii="Times New Roman" w:hAnsi="Times New Roman"/>
                <w:b/>
                <w:bCs/>
                <w:color w:val="000000"/>
                <w:sz w:val="22"/>
                <w:szCs w:val="22"/>
              </w:rPr>
            </w:pPr>
            <w:r>
              <w:rPr>
                <w:b/>
                <w:bCs/>
                <w:color w:val="000000"/>
                <w:sz w:val="22"/>
                <w:szCs w:val="22"/>
              </w:rPr>
              <w:t>Raw fold-change values</w:t>
            </w:r>
          </w:p>
        </w:tc>
        <w:tc>
          <w:tcPr>
            <w:tcW w:w="2050" w:type="dxa"/>
            <w:tcBorders>
              <w:top w:val="single" w:sz="4" w:space="0" w:color="auto"/>
              <w:bottom w:val="single" w:sz="4" w:space="0" w:color="auto"/>
            </w:tcBorders>
            <w:hideMark/>
          </w:tcPr>
          <w:p w14:paraId="6902CF0F" w14:textId="77777777" w:rsidR="00BA0839" w:rsidRPr="003968DD" w:rsidRDefault="00BA0839" w:rsidP="005A06D4">
            <w:pPr>
              <w:pStyle w:val="TCTableBody"/>
              <w:jc w:val="center"/>
              <w:rPr>
                <w:rFonts w:ascii="Times New Roman" w:hAnsi="Times New Roman"/>
                <w:b/>
                <w:bCs/>
                <w:color w:val="000000"/>
                <w:sz w:val="22"/>
                <w:szCs w:val="22"/>
              </w:rPr>
            </w:pPr>
            <w:r>
              <w:rPr>
                <w:b/>
                <w:bCs/>
                <w:color w:val="000000"/>
                <w:sz w:val="22"/>
                <w:szCs w:val="22"/>
              </w:rPr>
              <w:t>Primary source studies</w:t>
            </w:r>
          </w:p>
        </w:tc>
      </w:tr>
      <w:tr w:rsidR="00BA0839" w:rsidRPr="00E536AD" w14:paraId="0F242A6A" w14:textId="77777777" w:rsidTr="005A06D4">
        <w:trPr>
          <w:trHeight w:val="340"/>
        </w:trPr>
        <w:tc>
          <w:tcPr>
            <w:tcW w:w="1206" w:type="dxa"/>
            <w:vMerge w:val="restart"/>
            <w:tcBorders>
              <w:top w:val="single" w:sz="4" w:space="0" w:color="auto"/>
            </w:tcBorders>
            <w:vAlign w:val="center"/>
            <w:hideMark/>
          </w:tcPr>
          <w:p w14:paraId="28DAD04F" w14:textId="77777777" w:rsidR="00BA0839" w:rsidRPr="003968DD" w:rsidRDefault="00BA0839" w:rsidP="005A06D4">
            <w:pPr>
              <w:pStyle w:val="TCTableBody"/>
              <w:jc w:val="center"/>
              <w:rPr>
                <w:rFonts w:ascii="Times New Roman" w:hAnsi="Times New Roman"/>
                <w:b/>
                <w:bCs/>
                <w:i/>
                <w:iCs/>
                <w:color w:val="000000"/>
                <w:sz w:val="22"/>
                <w:szCs w:val="22"/>
              </w:rPr>
            </w:pPr>
            <w:r>
              <w:rPr>
                <w:b/>
                <w:bCs/>
                <w:i/>
                <w:iCs/>
                <w:color w:val="000000"/>
                <w:sz w:val="22"/>
                <w:szCs w:val="22"/>
              </w:rPr>
              <w:t>Susceptible</w:t>
            </w:r>
          </w:p>
        </w:tc>
        <w:tc>
          <w:tcPr>
            <w:tcW w:w="1648" w:type="dxa"/>
            <w:tcBorders>
              <w:top w:val="single" w:sz="4" w:space="0" w:color="auto"/>
            </w:tcBorders>
            <w:hideMark/>
          </w:tcPr>
          <w:p w14:paraId="6D7630CD" w14:textId="77777777"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V106I</w:t>
            </w:r>
          </w:p>
        </w:tc>
        <w:tc>
          <w:tcPr>
            <w:tcW w:w="1504" w:type="dxa"/>
            <w:tcBorders>
              <w:top w:val="single" w:sz="4" w:space="0" w:color="auto"/>
            </w:tcBorders>
            <w:hideMark/>
          </w:tcPr>
          <w:p w14:paraId="6A3B1AF6" w14:textId="77777777"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1.1</w:t>
            </w:r>
          </w:p>
        </w:tc>
        <w:tc>
          <w:tcPr>
            <w:tcW w:w="999" w:type="dxa"/>
            <w:tcBorders>
              <w:top w:val="single" w:sz="4" w:space="0" w:color="auto"/>
            </w:tcBorders>
            <w:hideMark/>
          </w:tcPr>
          <w:p w14:paraId="78863E2F" w14:textId="77777777"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2</w:t>
            </w:r>
          </w:p>
        </w:tc>
        <w:tc>
          <w:tcPr>
            <w:tcW w:w="2151" w:type="dxa"/>
            <w:tcBorders>
              <w:top w:val="single" w:sz="4" w:space="0" w:color="auto"/>
            </w:tcBorders>
            <w:hideMark/>
          </w:tcPr>
          <w:p w14:paraId="510C83B7" w14:textId="77777777"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[0.8, 1.4]</w:t>
            </w:r>
          </w:p>
        </w:tc>
        <w:tc>
          <w:tcPr>
            <w:tcW w:w="2050" w:type="dxa"/>
            <w:tcBorders>
              <w:top w:val="single" w:sz="4" w:space="0" w:color="auto"/>
            </w:tcBorders>
            <w:hideMark/>
          </w:tcPr>
          <w:p w14:paraId="6825D9DF" w14:textId="387CC464"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Lai et al (2014)</w:t>
            </w:r>
            <w:r>
              <w:rPr>
                <w:color w:val="000000"/>
                <w:sz w:val="22"/>
                <w:szCs w:val="22"/>
              </w:rPr>
              <w:fldChar w:fldCharType="begin"/>
            </w:r>
            <w:r>
              <w:rPr>
                <w:color w:val="000000"/>
                <w:sz w:val="22"/>
                <w:szCs w:val="22"/>
              </w:rPr>
              <w:instrText xml:space="preserve"> ADDIN ZOTERO_ITEM CSL_CITATION {"citationID":"fElh6OGk","properties":{"unsorted":false,"formattedCitation":"\\super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w:instrText>
            </w:r>
            <w:r>
              <w:rPr>
                <w:rFonts w:hint="eastAsia"/>
                <w:color w:val="000000"/>
                <w:sz w:val="22"/>
                <w:szCs w:val="22"/>
              </w:rPr>
              <w:instrText>ô</w:instrText>
            </w:r>
            <w:r>
              <w:rPr>
                <w:color w:val="000000"/>
                <w:sz w:val="22"/>
                <w:szCs w:val="22"/>
              </w:rPr>
              <w:instrText>t</w:instrText>
            </w:r>
            <w:r>
              <w:rPr>
                <w:rFonts w:hint="eastAsia"/>
                <w:color w:val="000000"/>
                <w:sz w:val="22"/>
                <w:szCs w:val="22"/>
              </w:rPr>
              <w:instrText>é</w:instrText>
            </w:r>
            <w:r>
              <w:rPr>
                <w:color w:val="000000"/>
                <w:sz w:val="22"/>
                <w:szCs w:val="22"/>
              </w:rPr>
              <w:instrText xml:space="preserve">","given":"Bernard"},{"family":"Asante-Appiah","given":"Ernest"},{"family":"Hazuda","given":"Daria J."},{"family":"Miller","given":"Michael D."}],"issued":{"date-parts":[["2014",12]]}}}],"schema":"https://github.com/citation-style-language/schema/raw/master/csl-citation.json"} </w:instrText>
            </w:r>
            <w:r>
              <w:rPr>
                <w:color w:val="000000"/>
                <w:sz w:val="22"/>
                <w:szCs w:val="22"/>
              </w:rPr>
              <w:fldChar w:fldCharType="separate"/>
            </w:r>
            <w:r>
              <w:rPr>
                <w:color w:val="000000"/>
                <w:sz w:val="22"/>
                <w:szCs w:val="22"/>
                <w:vertAlign w:val="superscript"/>
              </w:rPr>
              <w:t>17</w:t>
            </w:r>
            <w:r>
              <w:rPr>
                <w:color w:val="000000"/>
                <w:sz w:val="22"/>
                <w:szCs w:val="22"/>
              </w:rPr>
              <w:fldChar w:fldCharType="end"/>
            </w:r>
            <w:r>
              <w:rPr>
                <w:color w:val="000000"/>
                <w:sz w:val="22"/>
                <w:szCs w:val="22"/>
              </w:rPr>
              <w:t>; Orkin et al (2026)</w:t>
            </w:r>
            <w:r>
              <w:rPr>
                <w:color w:val="000000"/>
                <w:sz w:val="22"/>
                <w:szCs w:val="22"/>
              </w:rPr>
              <w:fldChar w:fldCharType="begin"/>
            </w:r>
            <w:r w:rsidR="00CC484F">
              <w:rPr>
                <w:color w:val="000000"/>
                <w:sz w:val="22"/>
                <w:szCs w:val="22"/>
              </w:rPr>
              <w:instrText xml:space="preserve"> ADDIN ZOTERO_ITEM CSL_CITATION {"citationID":"du2T48Z8","properties":{"unsorted":false,"formattedCitation":"\\super 57\\nosupersub{}","plainCitation":"57","noteIndex":0},"citationItems":[{"id":382,"uris":["http://zotero.org/users/19404620/items/RD76EN87"],"itemData":{"id":382,"type":"article-journal","abstract":"BACKGROUND: Doravirine is a non-nucleoside reverse transcriptase (RT) inhibitor (NNRTI) designed to address the limitations of other NNRTIs, particularly  resistance due to common RT substitutions including K103N, Y181C, and G190A.  METHODS: This report summarizes the development of genotypic and phenotypic  resistance to doravirine through week 192 of the DRIVE-FORWARD (NCT02275780) and  DRIVE-AHEAD (NCT02403674) phase 3 studies in adults with previously untreated  HIV-1. Participants were randomized (1:1) to the doravirine or comparator regimen  (darunavir/ritonavir or efavirenz) for 96 weeks (double-blind phase), followed by  96 weeks of the doravirine regimen (open-label extension). Resistance was  evaluated in participants with protocol-defined virologic failure (PDVF;  nonresponse or rebound) or treatment discontinuation (d/c) for other reasons and  HIV-1 RNA &gt;400 copies/mL. RESULTS: Of 747 participants randomized to doravirine,  51 (34 PDVF, 17 d/c) met resistance-testing criteria. Doravirine  resistance-associated mutations (RAMs) were detected in 12/51 participants, by  week 48 in 9/12, with phenotypic resistance to doravirine in 10. Of 502  participants who switched from comparator to doravirine, 9 (6 PDVF, 3 d/c) met  resistance-testing criteria: Doravirine RAMs were detected in 4/9, conferring  phenotypic resistance to doravirine in 3. The most common doravirine RAMs were  V106A/I/M and F227C. Common RAMs observed with other NNRTIs (K103N, Y181C, K101E,  E138K, and G190A) were not detected in any participant who met resistance-testing  criteria. CONCLUSIONS: In DRIVE-FORWARD and DRIVE-AHEAD, the development of  resistance to doravirine was uncommon (genotypic 1.3%; phenotypic 1.0%) and  occurred mainly during the first 48 weeks of treatment. Overall, the RAMs  observed with doravirine were distinct from those of other NNRTIs.","container-title":"Journal of acquired immune deficiency syndromes (1999)","DOI":"10.1097/QAI.0000000000003787","ISSN":"1944-7884 1525-4135","issue":"3","journalAbbreviation":"J Acquir Immune Defic Syndr","language":"eng","license":"Copyright (c) 2025 The Author(s). Published by Wolters Kluwer Health, Inc.","page":"308-315","PMID":"41129125","publisher-place":"United States","title":"Doravirine Resistance Patterns Identified Through Week 192 in the DRIVE-FORWARD and DRIVE-AHEAD Phase 3 Clinical Trials.","volume":"101","author":[{"family":"Orkin","given":"Chloe"},{"family":"Kuritzkes","given":"Daniel R."},{"family":"Katlama","given":"Christine"},{"family":"Su","given":"Feng-Hsiu"},{"family":"Plank","given":"Rebeca M."},{"family":"Lahoulou","given":"Rima"},{"family":"Asante-Appiah","given":"Ernest"}],"issued":{"date-parts":[["2026",3,1]]}}}],"schema":"https://github.com/citation-style-language/schema/raw/master/csl-citation.json"} </w:instrText>
            </w:r>
            <w:r>
              <w:rPr>
                <w:color w:val="000000"/>
                <w:sz w:val="22"/>
                <w:szCs w:val="22"/>
              </w:rPr>
              <w:fldChar w:fldCharType="separate"/>
            </w:r>
            <w:r w:rsidR="00CC484F" w:rsidRPr="00CC484F">
              <w:rPr>
                <w:rFonts w:cs="Mangal"/>
                <w:color w:val="000000"/>
                <w:sz w:val="22"/>
                <w:szCs w:val="24"/>
                <w:vertAlign w:val="superscript"/>
                <w:lang w:bidi="hi-IN"/>
              </w:rPr>
              <w:t>57</w:t>
            </w:r>
            <w:r>
              <w:rPr>
                <w:color w:val="000000"/>
                <w:sz w:val="22"/>
                <w:szCs w:val="22"/>
              </w:rPr>
              <w:fldChar w:fldCharType="end"/>
            </w:r>
          </w:p>
        </w:tc>
      </w:tr>
      <w:tr w:rsidR="00BA0839" w:rsidRPr="00E536AD" w14:paraId="5F68DA4B" w14:textId="77777777" w:rsidTr="005A06D4">
        <w:trPr>
          <w:trHeight w:val="340"/>
        </w:trPr>
        <w:tc>
          <w:tcPr>
            <w:tcW w:w="1206" w:type="dxa"/>
            <w:vMerge/>
            <w:hideMark/>
          </w:tcPr>
          <w:p w14:paraId="797BD548" w14:textId="77777777" w:rsidR="00BA0839" w:rsidRPr="003968DD" w:rsidRDefault="00BA0839" w:rsidP="005A06D4">
            <w:pPr>
              <w:rPr>
                <w:rFonts w:ascii="Times New Roman" w:hAnsi="Times New Roman"/>
                <w:color w:val="000000"/>
                <w:sz w:val="22"/>
                <w:szCs w:val="22"/>
              </w:rPr>
            </w:pPr>
          </w:p>
        </w:tc>
        <w:tc>
          <w:tcPr>
            <w:tcW w:w="1648" w:type="dxa"/>
            <w:hideMark/>
          </w:tcPr>
          <w:p w14:paraId="1EB234E0"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K103N</w:t>
            </w:r>
          </w:p>
        </w:tc>
        <w:tc>
          <w:tcPr>
            <w:tcW w:w="1504" w:type="dxa"/>
            <w:hideMark/>
          </w:tcPr>
          <w:p w14:paraId="35A349AC"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1.2</w:t>
            </w:r>
          </w:p>
        </w:tc>
        <w:tc>
          <w:tcPr>
            <w:tcW w:w="999" w:type="dxa"/>
            <w:hideMark/>
          </w:tcPr>
          <w:p w14:paraId="544E0C39"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6</w:t>
            </w:r>
          </w:p>
        </w:tc>
        <w:tc>
          <w:tcPr>
            <w:tcW w:w="2151" w:type="dxa"/>
            <w:hideMark/>
          </w:tcPr>
          <w:p w14:paraId="5137BE26"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[0.6, 1.2, 1.2, 1.3, 2.8, 3.0]</w:t>
            </w:r>
          </w:p>
        </w:tc>
        <w:tc>
          <w:tcPr>
            <w:tcW w:w="2050" w:type="dxa"/>
            <w:hideMark/>
          </w:tcPr>
          <w:p w14:paraId="628690AB" w14:textId="77777777"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Lai et al (2014)</w:t>
            </w:r>
            <w:r>
              <w:rPr>
                <w:color w:val="000000"/>
                <w:sz w:val="22"/>
                <w:szCs w:val="22"/>
              </w:rPr>
              <w:fldChar w:fldCharType="begin"/>
            </w:r>
            <w:r>
              <w:rPr>
                <w:color w:val="000000"/>
                <w:sz w:val="22"/>
                <w:szCs w:val="22"/>
              </w:rPr>
              <w:instrText xml:space="preserve"> ADDIN ZOTERO_ITEM CSL_CITATION {"citationID":"OQAQvJEJ","properties":{"unsorted":false,"formattedCitation":"\\super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w:instrText>
            </w:r>
            <w:r>
              <w:rPr>
                <w:rFonts w:hint="eastAsia"/>
                <w:color w:val="000000"/>
                <w:sz w:val="22"/>
                <w:szCs w:val="22"/>
              </w:rPr>
              <w:instrText>ô</w:instrText>
            </w:r>
            <w:r>
              <w:rPr>
                <w:color w:val="000000"/>
                <w:sz w:val="22"/>
                <w:szCs w:val="22"/>
              </w:rPr>
              <w:instrText>t</w:instrText>
            </w:r>
            <w:r>
              <w:rPr>
                <w:rFonts w:hint="eastAsia"/>
                <w:color w:val="000000"/>
                <w:sz w:val="22"/>
                <w:szCs w:val="22"/>
              </w:rPr>
              <w:instrText>é</w:instrText>
            </w:r>
            <w:r>
              <w:rPr>
                <w:color w:val="000000"/>
                <w:sz w:val="22"/>
                <w:szCs w:val="22"/>
              </w:rPr>
              <w:instrText xml:space="preserve">","given":"Bernard"},{"family":"Asante-Appiah","given":"Ernest"},{"family":"Hazuda","given":"Daria J."},{"family":"Miller","given":"Michael D."}],"issued":{"date-parts":[["2014",12]]}}}],"schema":"https://github.com/citation-style-language/schema/raw/master/csl-citation.json"} </w:instrText>
            </w:r>
            <w:r>
              <w:rPr>
                <w:color w:val="000000"/>
                <w:sz w:val="22"/>
                <w:szCs w:val="22"/>
              </w:rPr>
              <w:fldChar w:fldCharType="separate"/>
            </w:r>
            <w:r>
              <w:rPr>
                <w:color w:val="000000"/>
                <w:sz w:val="22"/>
                <w:szCs w:val="22"/>
                <w:vertAlign w:val="superscript"/>
              </w:rPr>
              <w:t>17</w:t>
            </w:r>
            <w:r>
              <w:rPr>
                <w:color w:val="000000"/>
                <w:sz w:val="22"/>
                <w:szCs w:val="22"/>
              </w:rPr>
              <w:fldChar w:fldCharType="end"/>
            </w:r>
          </w:p>
        </w:tc>
      </w:tr>
      <w:tr w:rsidR="00BA0839" w:rsidRPr="00E536AD" w14:paraId="384A3318" w14:textId="77777777" w:rsidTr="005A06D4">
        <w:trPr>
          <w:trHeight w:val="340"/>
        </w:trPr>
        <w:tc>
          <w:tcPr>
            <w:tcW w:w="1206" w:type="dxa"/>
            <w:vMerge/>
            <w:hideMark/>
          </w:tcPr>
          <w:p w14:paraId="548B57D8" w14:textId="77777777" w:rsidR="00BA0839" w:rsidRPr="003968DD" w:rsidRDefault="00BA0839" w:rsidP="005A06D4">
            <w:pPr>
              <w:rPr>
                <w:rFonts w:ascii="Times New Roman" w:hAnsi="Times New Roman"/>
                <w:color w:val="000000"/>
                <w:sz w:val="22"/>
                <w:szCs w:val="22"/>
              </w:rPr>
            </w:pPr>
          </w:p>
        </w:tc>
        <w:tc>
          <w:tcPr>
            <w:tcW w:w="1648" w:type="dxa"/>
            <w:hideMark/>
          </w:tcPr>
          <w:p w14:paraId="00B5E931"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Y181C</w:t>
            </w:r>
          </w:p>
        </w:tc>
        <w:tc>
          <w:tcPr>
            <w:tcW w:w="1504" w:type="dxa"/>
            <w:hideMark/>
          </w:tcPr>
          <w:p w14:paraId="5DBFA99B"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1.4</w:t>
            </w:r>
          </w:p>
        </w:tc>
        <w:tc>
          <w:tcPr>
            <w:tcW w:w="999" w:type="dxa"/>
            <w:hideMark/>
          </w:tcPr>
          <w:p w14:paraId="1CDA90FA"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4</w:t>
            </w:r>
          </w:p>
        </w:tc>
        <w:tc>
          <w:tcPr>
            <w:tcW w:w="2151" w:type="dxa"/>
            <w:hideMark/>
          </w:tcPr>
          <w:p w14:paraId="07F89AD2"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[1.2, 1.3, 1.5, 6.0]</w:t>
            </w:r>
          </w:p>
        </w:tc>
        <w:tc>
          <w:tcPr>
            <w:tcW w:w="2050" w:type="dxa"/>
            <w:hideMark/>
          </w:tcPr>
          <w:p w14:paraId="67580F27" w14:textId="77777777"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Lai et al (2014)</w:t>
            </w:r>
            <w:r>
              <w:rPr>
                <w:color w:val="000000"/>
                <w:sz w:val="22"/>
                <w:szCs w:val="22"/>
              </w:rPr>
              <w:fldChar w:fldCharType="begin"/>
            </w:r>
            <w:r>
              <w:rPr>
                <w:color w:val="000000"/>
                <w:sz w:val="22"/>
                <w:szCs w:val="22"/>
              </w:rPr>
              <w:instrText xml:space="preserve"> ADDIN ZOTERO_ITEM CSL_CITATION {"citationID":"TUXQIXQi","properties":{"unsorted":false,"formattedCitation":"\\super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w:instrText>
            </w:r>
            <w:r>
              <w:rPr>
                <w:rFonts w:hint="eastAsia"/>
                <w:color w:val="000000"/>
                <w:sz w:val="22"/>
                <w:szCs w:val="22"/>
              </w:rPr>
              <w:instrText>ô</w:instrText>
            </w:r>
            <w:r>
              <w:rPr>
                <w:color w:val="000000"/>
                <w:sz w:val="22"/>
                <w:szCs w:val="22"/>
              </w:rPr>
              <w:instrText>t</w:instrText>
            </w:r>
            <w:r>
              <w:rPr>
                <w:rFonts w:hint="eastAsia"/>
                <w:color w:val="000000"/>
                <w:sz w:val="22"/>
                <w:szCs w:val="22"/>
              </w:rPr>
              <w:instrText>é</w:instrText>
            </w:r>
            <w:r>
              <w:rPr>
                <w:color w:val="000000"/>
                <w:sz w:val="22"/>
                <w:szCs w:val="22"/>
              </w:rPr>
              <w:instrText xml:space="preserve">","given":"Bernard"},{"family":"Asante-Appiah","given":"Ernest"},{"family":"Hazuda","given":"Daria J."},{"family":"Miller","given":"Michael D."}],"issued":{"date-parts":[["2014",12]]}}}],"schema":"https://github.com/citation-style-language/schema/raw/master/csl-citation.json"} </w:instrText>
            </w:r>
            <w:r>
              <w:rPr>
                <w:color w:val="000000"/>
                <w:sz w:val="22"/>
                <w:szCs w:val="22"/>
              </w:rPr>
              <w:fldChar w:fldCharType="separate"/>
            </w:r>
            <w:r>
              <w:rPr>
                <w:color w:val="000000"/>
                <w:sz w:val="22"/>
                <w:szCs w:val="22"/>
                <w:vertAlign w:val="superscript"/>
              </w:rPr>
              <w:t>17</w:t>
            </w:r>
            <w:r>
              <w:rPr>
                <w:color w:val="000000"/>
                <w:sz w:val="22"/>
                <w:szCs w:val="22"/>
              </w:rPr>
              <w:fldChar w:fldCharType="end"/>
            </w:r>
          </w:p>
        </w:tc>
      </w:tr>
      <w:tr w:rsidR="00BA0839" w:rsidRPr="00E536AD" w14:paraId="4BF3D21D" w14:textId="77777777" w:rsidTr="005A06D4">
        <w:trPr>
          <w:trHeight w:val="359"/>
        </w:trPr>
        <w:tc>
          <w:tcPr>
            <w:tcW w:w="1206" w:type="dxa"/>
            <w:vMerge/>
            <w:tcBorders>
              <w:bottom w:val="single" w:sz="4" w:space="0" w:color="auto"/>
            </w:tcBorders>
            <w:hideMark/>
          </w:tcPr>
          <w:p w14:paraId="1196F717" w14:textId="77777777" w:rsidR="00BA0839" w:rsidRPr="003968DD" w:rsidRDefault="00BA0839" w:rsidP="005A06D4">
            <w:pPr>
              <w:rPr>
                <w:rFonts w:ascii="Times New Roman" w:hAnsi="Times New Roman"/>
                <w:color w:val="000000"/>
                <w:sz w:val="22"/>
                <w:szCs w:val="22"/>
              </w:rPr>
            </w:pPr>
          </w:p>
        </w:tc>
        <w:tc>
          <w:tcPr>
            <w:tcW w:w="1648" w:type="dxa"/>
            <w:tcBorders>
              <w:bottom w:val="single" w:sz="4" w:space="0" w:color="auto"/>
            </w:tcBorders>
            <w:hideMark/>
          </w:tcPr>
          <w:p w14:paraId="6791D8E3"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G190A</w:t>
            </w:r>
          </w:p>
        </w:tc>
        <w:tc>
          <w:tcPr>
            <w:tcW w:w="1504" w:type="dxa"/>
            <w:tcBorders>
              <w:bottom w:val="single" w:sz="4" w:space="0" w:color="auto"/>
            </w:tcBorders>
            <w:hideMark/>
          </w:tcPr>
          <w:p w14:paraId="613A6AC2"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2.7</w:t>
            </w:r>
          </w:p>
        </w:tc>
        <w:tc>
          <w:tcPr>
            <w:tcW w:w="999" w:type="dxa"/>
            <w:tcBorders>
              <w:bottom w:val="single" w:sz="4" w:space="0" w:color="auto"/>
            </w:tcBorders>
            <w:hideMark/>
          </w:tcPr>
          <w:p w14:paraId="191E7CB4"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2</w:t>
            </w:r>
          </w:p>
        </w:tc>
        <w:tc>
          <w:tcPr>
            <w:tcW w:w="2151" w:type="dxa"/>
            <w:tcBorders>
              <w:bottom w:val="single" w:sz="4" w:space="0" w:color="auto"/>
            </w:tcBorders>
            <w:hideMark/>
          </w:tcPr>
          <w:p w14:paraId="41A2D244"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[1.8, 3.6]</w:t>
            </w:r>
          </w:p>
        </w:tc>
        <w:tc>
          <w:tcPr>
            <w:tcW w:w="2050" w:type="dxa"/>
            <w:tcBorders>
              <w:bottom w:val="single" w:sz="4" w:space="0" w:color="auto"/>
            </w:tcBorders>
            <w:hideMark/>
          </w:tcPr>
          <w:p w14:paraId="1E69627B" w14:textId="77777777" w:rsidR="00BA0839" w:rsidRPr="003968DD" w:rsidRDefault="00BA0839" w:rsidP="005A06D4">
            <w:pPr>
              <w:pStyle w:val="TCTableBody"/>
              <w:jc w:val="center"/>
              <w:rPr>
                <w:rFonts w:ascii="Times New Roman" w:hAnsi="Times New Roman"/>
                <w:color w:val="000000"/>
                <w:sz w:val="22"/>
                <w:szCs w:val="22"/>
              </w:rPr>
            </w:pPr>
            <w:bookmarkStart w:id="0" w:name="_Hlk230520854"/>
            <w:r>
              <w:rPr>
                <w:color w:val="000000"/>
                <w:sz w:val="22"/>
                <w:szCs w:val="22"/>
              </w:rPr>
              <w:t>Lai et al (2014)</w:t>
            </w:r>
            <w:r>
              <w:rPr>
                <w:color w:val="000000"/>
                <w:sz w:val="22"/>
                <w:szCs w:val="22"/>
              </w:rPr>
              <w:fldChar w:fldCharType="begin"/>
            </w:r>
            <w:r>
              <w:rPr>
                <w:color w:val="000000"/>
                <w:sz w:val="22"/>
                <w:szCs w:val="22"/>
              </w:rPr>
              <w:instrText xml:space="preserve"> ADDIN ZOTERO_ITEM CSL_CITATION {"citationID":"qNCfGXhs","properties":{"unsorted":false,"formattedCitation":"\\super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w:instrText>
            </w:r>
            <w:r>
              <w:rPr>
                <w:rFonts w:hint="eastAsia"/>
                <w:color w:val="000000"/>
                <w:sz w:val="22"/>
                <w:szCs w:val="22"/>
              </w:rPr>
              <w:instrText>ô</w:instrText>
            </w:r>
            <w:r>
              <w:rPr>
                <w:color w:val="000000"/>
                <w:sz w:val="22"/>
                <w:szCs w:val="22"/>
              </w:rPr>
              <w:instrText>t</w:instrText>
            </w:r>
            <w:r>
              <w:rPr>
                <w:rFonts w:hint="eastAsia"/>
                <w:color w:val="000000"/>
                <w:sz w:val="22"/>
                <w:szCs w:val="22"/>
              </w:rPr>
              <w:instrText>é</w:instrText>
            </w:r>
            <w:r>
              <w:rPr>
                <w:color w:val="000000"/>
                <w:sz w:val="22"/>
                <w:szCs w:val="22"/>
              </w:rPr>
              <w:instrText xml:space="preserve">","given":"Bernard"},{"family":"Asante-Appiah","given":"Ernest"},{"family":"Hazuda","given":"Daria J."},{"family":"Miller","given":"Michael D."}],"issued":{"date-parts":[["2014",12]]}}}],"schema":"https://github.com/citation-style-language/schema/raw/master/csl-citation.json"} </w:instrText>
            </w:r>
            <w:r>
              <w:rPr>
                <w:color w:val="000000"/>
                <w:sz w:val="22"/>
                <w:szCs w:val="22"/>
              </w:rPr>
              <w:fldChar w:fldCharType="separate"/>
            </w:r>
            <w:r>
              <w:rPr>
                <w:color w:val="000000"/>
                <w:sz w:val="22"/>
                <w:szCs w:val="22"/>
                <w:vertAlign w:val="superscript"/>
              </w:rPr>
              <w:t>17</w:t>
            </w:r>
            <w:r>
              <w:rPr>
                <w:color w:val="000000"/>
                <w:sz w:val="22"/>
                <w:szCs w:val="22"/>
              </w:rPr>
              <w:fldChar w:fldCharType="end"/>
            </w:r>
            <w:bookmarkEnd w:id="0"/>
          </w:p>
        </w:tc>
      </w:tr>
      <w:tr w:rsidR="00BA0839" w:rsidRPr="00E536AD" w14:paraId="5A702E3D" w14:textId="77777777" w:rsidTr="005A06D4">
        <w:trPr>
          <w:trHeight w:val="340"/>
        </w:trPr>
        <w:tc>
          <w:tcPr>
            <w:tcW w:w="1206" w:type="dxa"/>
            <w:vMerge w:val="restart"/>
            <w:tcBorders>
              <w:top w:val="single" w:sz="4" w:space="0" w:color="auto"/>
            </w:tcBorders>
            <w:vAlign w:val="center"/>
            <w:hideMark/>
          </w:tcPr>
          <w:p w14:paraId="63D07CAC" w14:textId="77777777" w:rsidR="00BA0839" w:rsidRPr="003968DD" w:rsidRDefault="00BA0839" w:rsidP="005A06D4">
            <w:pPr>
              <w:pStyle w:val="TCTableBody"/>
              <w:jc w:val="center"/>
              <w:rPr>
                <w:rFonts w:ascii="Times New Roman" w:hAnsi="Times New Roman"/>
                <w:b/>
                <w:bCs/>
                <w:i/>
                <w:iCs/>
                <w:color w:val="000000"/>
                <w:sz w:val="22"/>
                <w:szCs w:val="22"/>
              </w:rPr>
            </w:pPr>
            <w:r>
              <w:rPr>
                <w:b/>
                <w:bCs/>
                <w:i/>
                <w:iCs/>
                <w:color w:val="000000"/>
                <w:sz w:val="22"/>
                <w:szCs w:val="22"/>
              </w:rPr>
              <w:t>Resistant</w:t>
            </w:r>
          </w:p>
        </w:tc>
        <w:tc>
          <w:tcPr>
            <w:tcW w:w="1648" w:type="dxa"/>
            <w:tcBorders>
              <w:top w:val="single" w:sz="4" w:space="0" w:color="auto"/>
            </w:tcBorders>
            <w:hideMark/>
          </w:tcPr>
          <w:p w14:paraId="504BC007"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Y318F</w:t>
            </w:r>
          </w:p>
        </w:tc>
        <w:tc>
          <w:tcPr>
            <w:tcW w:w="1504" w:type="dxa"/>
            <w:tcBorders>
              <w:top w:val="single" w:sz="4" w:space="0" w:color="auto"/>
            </w:tcBorders>
            <w:hideMark/>
          </w:tcPr>
          <w:p w14:paraId="0512BBD1"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11</w:t>
            </w:r>
          </w:p>
        </w:tc>
        <w:tc>
          <w:tcPr>
            <w:tcW w:w="999" w:type="dxa"/>
            <w:tcBorders>
              <w:top w:val="single" w:sz="4" w:space="0" w:color="auto"/>
            </w:tcBorders>
            <w:hideMark/>
          </w:tcPr>
          <w:p w14:paraId="3ABBEA49"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3</w:t>
            </w:r>
          </w:p>
        </w:tc>
        <w:tc>
          <w:tcPr>
            <w:tcW w:w="2151" w:type="dxa"/>
            <w:tcBorders>
              <w:top w:val="single" w:sz="4" w:space="0" w:color="auto"/>
            </w:tcBorders>
            <w:hideMark/>
          </w:tcPr>
          <w:p w14:paraId="5617D68C"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Unavailable (see Table 2 in source study)</w:t>
            </w:r>
          </w:p>
        </w:tc>
        <w:tc>
          <w:tcPr>
            <w:tcW w:w="2050" w:type="dxa"/>
            <w:tcBorders>
              <w:top w:val="single" w:sz="4" w:space="0" w:color="auto"/>
            </w:tcBorders>
            <w:hideMark/>
          </w:tcPr>
          <w:p w14:paraId="6B8EA581" w14:textId="22BFAC93"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Asante-Appiah et al (2021)</w:t>
            </w:r>
            <w:r>
              <w:rPr>
                <w:color w:val="000000"/>
                <w:sz w:val="22"/>
                <w:szCs w:val="22"/>
              </w:rPr>
              <w:fldChar w:fldCharType="begin"/>
            </w:r>
            <w:r w:rsidR="00CC484F">
              <w:rPr>
                <w:color w:val="000000"/>
                <w:sz w:val="22"/>
                <w:szCs w:val="22"/>
              </w:rPr>
              <w:instrText xml:space="preserve"> ADDIN ZOTERO_ITEM CSL_CITATION {"citationID":"EX1gvYm7","properties":{"unsorted":false,"formattedCitation":"\\super 58\\nosupersub{}","plainCitation":"58","noteIndex":0},"citationItems":[{"id":131,"uris":["http://zotero.org/users/19404620/items/B8KKE9VH"],"itemData":{"id":131,"type":"article-journal","abstract":"Clinical management of human immunodeficiency virus type-1 (HIV-1) infection may be negatively impacted by either acquired or transmitted drug resistance. Here, we aim to extend our understanding of the impact of resistance-associated mutations (RAMs) on the susceptibility of clinical isolates to the nonnucleoside reverse transcriptase inhibitor (NNRTI) doravirine. Clinical isolates from people living with HIV-1 undergoing routine testing for susceptibility to doravirine and other approved NNRTIs (etravirine, rilpivirine, efavirenz, and nevirapine) were collected from August 2018 to August 2019. Susceptibility in the presence/absence of NNRTI and nucleos(t)ide reverse transcriptase inhibitor (NRTI) mutations was determined using cutoffs for relative fold change in inhibition (ratio of the 50% inhibitory concentration [IC50] of patient virus compared with the IC50 of a wild-type reference strain). Biological cutoffs of 3- to 15-fold change were investigated for doravirine, with preestablished cutoffs used for the other NNRTIs. Of 4,070 clinical isolates, 42.9% had ≥1 NNRTI RAM. More isolates were susceptible to doravirine (92.5</w:instrText>
            </w:r>
            <w:r w:rsidR="00CC484F">
              <w:rPr>
                <w:rFonts w:hint="eastAsia"/>
                <w:color w:val="000000"/>
                <w:sz w:val="22"/>
                <w:szCs w:val="22"/>
              </w:rPr>
              <w:instrText>–</w:instrText>
            </w:r>
            <w:r w:rsidR="00CC484F">
              <w:rPr>
                <w:color w:val="000000"/>
                <w:sz w:val="22"/>
                <w:szCs w:val="22"/>
              </w:rPr>
              <w:instrText>96.7%) than to etravirine (91.5%), rilpivirine (89.5%), efavirenz (81.5%), or nevirapine (77.5%). Based on a 3-fold cutoff, doravirine susceptibility was retained in 44.7</w:instrText>
            </w:r>
            <w:r w:rsidR="00CC484F">
              <w:rPr>
                <w:rFonts w:hint="eastAsia"/>
                <w:color w:val="000000"/>
                <w:sz w:val="22"/>
                <w:szCs w:val="22"/>
              </w:rPr>
              <w:instrText>–</w:instrText>
            </w:r>
            <w:r w:rsidR="00CC484F">
              <w:rPr>
                <w:color w:val="000000"/>
                <w:sz w:val="22"/>
                <w:szCs w:val="22"/>
              </w:rPr>
              <w:instrText xml:space="preserve">65.8% of isolates resistant to another NNRTI and 28.5% of isolates resistant to all other tested NNRTIs. The presence of NRTI RAMs, including thymidine analog mutations, was associated with doravirine hypersusceptibility in some isolates, particularly in the absence of NNRTI RAMs. These results support the favorable resistance profile of doravirine and are of particular importance given the challenge posed by both acquired and transmitted resistance.","container-title":"Antimicrobial Agents and Chemotherapy","DOI":"10.1128/aac.01216-21","issue":"12","page":"10.1128/aac.01216-21","publisher":"American Society for Microbiology","source":"journals-asm-org.stanford.idm.oclc.org (Atypon)","title":"Impact of HIV-1 Resistance-Associated Mutations on Susceptibility to Doravirine: Analysis of Real-World Clinical Isolates","title-short":"Impact of HIV-1 Resistance-Associated Mutations on Susceptibility to Doravirine","volume":"65","author":[{"family":"Asante-Appiah","given":"Ernest"},{"family":"Lai","given":"Johnny"},{"family":"Wan","given":"Hong"},{"family":"Yang","given":"Dongmei"},{"family":"Martin","given":"Elizabeth Anne"},{"family":"Sklar","given":"Peter"},{"family":"Hazuda","given":"Daria"},{"family":"Petropoulos","given":"Christos J."},{"family":"Walworth","given":"Charles"},{"family":"Grobler","given":"Jay A."}],"issued":{"date-parts":[["2021",11,17]]}}}],"schema":"https://github.com/citation-style-language/schema/raw/master/csl-citation.json"} </w:instrText>
            </w:r>
            <w:r>
              <w:rPr>
                <w:color w:val="000000"/>
                <w:sz w:val="22"/>
                <w:szCs w:val="22"/>
              </w:rPr>
              <w:fldChar w:fldCharType="separate"/>
            </w:r>
            <w:r w:rsidR="00CC484F" w:rsidRPr="00CC484F">
              <w:rPr>
                <w:rFonts w:cs="Mangal"/>
                <w:color w:val="000000"/>
                <w:sz w:val="22"/>
                <w:szCs w:val="24"/>
                <w:vertAlign w:val="superscript"/>
                <w:lang w:bidi="hi-IN"/>
              </w:rPr>
              <w:t>58</w:t>
            </w:r>
            <w:r>
              <w:rPr>
                <w:color w:val="000000"/>
                <w:sz w:val="22"/>
                <w:szCs w:val="22"/>
              </w:rPr>
              <w:fldChar w:fldCharType="end"/>
            </w:r>
          </w:p>
        </w:tc>
      </w:tr>
      <w:tr w:rsidR="00BA0839" w:rsidRPr="00E536AD" w14:paraId="69E11E68" w14:textId="77777777" w:rsidTr="005A06D4">
        <w:trPr>
          <w:trHeight w:val="340"/>
        </w:trPr>
        <w:tc>
          <w:tcPr>
            <w:tcW w:w="1206" w:type="dxa"/>
            <w:vMerge/>
            <w:hideMark/>
          </w:tcPr>
          <w:p w14:paraId="1CAAB50D" w14:textId="77777777" w:rsidR="00BA0839" w:rsidRPr="003968DD" w:rsidRDefault="00BA0839" w:rsidP="005A06D4">
            <w:pPr>
              <w:rPr>
                <w:rFonts w:ascii="Times New Roman" w:hAnsi="Times New Roman"/>
                <w:color w:val="000000"/>
                <w:sz w:val="22"/>
                <w:szCs w:val="22"/>
              </w:rPr>
            </w:pPr>
          </w:p>
        </w:tc>
        <w:tc>
          <w:tcPr>
            <w:tcW w:w="1648" w:type="dxa"/>
            <w:hideMark/>
          </w:tcPr>
          <w:p w14:paraId="5BF073DC"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V106A</w:t>
            </w:r>
          </w:p>
        </w:tc>
        <w:tc>
          <w:tcPr>
            <w:tcW w:w="1504" w:type="dxa"/>
            <w:hideMark/>
          </w:tcPr>
          <w:p w14:paraId="3299AB58"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9.6</w:t>
            </w:r>
          </w:p>
        </w:tc>
        <w:tc>
          <w:tcPr>
            <w:tcW w:w="999" w:type="dxa"/>
            <w:hideMark/>
          </w:tcPr>
          <w:p w14:paraId="4C4F2270" w14:textId="77777777" w:rsidR="00BA0839" w:rsidRPr="003968DD" w:rsidRDefault="00F16D60" w:rsidP="005A06D4">
            <w:pPr>
              <w:pStyle w:val="TCTableBody"/>
              <w:jc w:val="center"/>
              <w:rPr>
                <w:rFonts w:ascii="Times New Roman" w:hAnsi="Times New Roman"/>
                <w:color w:val="000000"/>
                <w:sz w:val="22"/>
                <w:szCs w:val="22"/>
              </w:rPr>
            </w:pPr>
            <w:r>
              <w:rPr>
                <w:color w:val="000000"/>
                <w:sz w:val="22"/>
                <w:szCs w:val="22"/>
              </w:rPr>
              <w:t>3</w:t>
            </w:r>
          </w:p>
        </w:tc>
        <w:tc>
          <w:tcPr>
            <w:tcW w:w="2151" w:type="dxa"/>
            <w:hideMark/>
          </w:tcPr>
          <w:p w14:paraId="12E909DE"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[7.1, 9.6, 28]</w:t>
            </w:r>
          </w:p>
        </w:tc>
        <w:tc>
          <w:tcPr>
            <w:tcW w:w="2050" w:type="dxa"/>
            <w:hideMark/>
          </w:tcPr>
          <w:p w14:paraId="112C41B3" w14:textId="77777777"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Lai et al (2014)</w:t>
            </w:r>
            <w:r>
              <w:rPr>
                <w:color w:val="000000"/>
                <w:sz w:val="22"/>
                <w:szCs w:val="22"/>
              </w:rPr>
              <w:fldChar w:fldCharType="begin"/>
            </w:r>
            <w:r>
              <w:rPr>
                <w:color w:val="000000"/>
                <w:sz w:val="22"/>
                <w:szCs w:val="22"/>
              </w:rPr>
              <w:instrText xml:space="preserve"> ADDIN ZOTERO_ITEM CSL_CITATION {"citationID":"PF84jPK8","properties":{"unsorted":false,"formattedCitation":"\\super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w:instrText>
            </w:r>
            <w:r>
              <w:rPr>
                <w:rFonts w:hint="eastAsia"/>
                <w:color w:val="000000"/>
                <w:sz w:val="22"/>
                <w:szCs w:val="22"/>
              </w:rPr>
              <w:instrText>ô</w:instrText>
            </w:r>
            <w:r>
              <w:rPr>
                <w:color w:val="000000"/>
                <w:sz w:val="22"/>
                <w:szCs w:val="22"/>
              </w:rPr>
              <w:instrText>t</w:instrText>
            </w:r>
            <w:r>
              <w:rPr>
                <w:rFonts w:hint="eastAsia"/>
                <w:color w:val="000000"/>
                <w:sz w:val="22"/>
                <w:szCs w:val="22"/>
              </w:rPr>
              <w:instrText>é</w:instrText>
            </w:r>
            <w:r>
              <w:rPr>
                <w:color w:val="000000"/>
                <w:sz w:val="22"/>
                <w:szCs w:val="22"/>
              </w:rPr>
              <w:instrText xml:space="preserve">","given":"Bernard"},{"family":"Asante-Appiah","given":"Ernest"},{"family":"Hazuda","given":"Daria J."},{"family":"Miller","given":"Michael D."}],"issued":{"date-parts":[["2014",12]]}}}],"schema":"https://github.com/citation-style-language/schema/raw/master/csl-citation.json"} </w:instrText>
            </w:r>
            <w:r>
              <w:rPr>
                <w:color w:val="000000"/>
                <w:sz w:val="22"/>
                <w:szCs w:val="22"/>
              </w:rPr>
              <w:fldChar w:fldCharType="separate"/>
            </w:r>
            <w:r>
              <w:rPr>
                <w:color w:val="000000"/>
                <w:sz w:val="22"/>
                <w:szCs w:val="22"/>
                <w:vertAlign w:val="superscript"/>
              </w:rPr>
              <w:t>17</w:t>
            </w:r>
            <w:r>
              <w:rPr>
                <w:color w:val="000000"/>
                <w:sz w:val="22"/>
                <w:szCs w:val="22"/>
              </w:rPr>
              <w:fldChar w:fldCharType="end"/>
            </w:r>
            <w:r>
              <w:rPr>
                <w:color w:val="000000"/>
                <w:sz w:val="22"/>
                <w:szCs w:val="22"/>
              </w:rPr>
              <w:t>; Feng et al (2015)</w:t>
            </w:r>
            <w:r>
              <w:rPr>
                <w:color w:val="000000"/>
                <w:sz w:val="22"/>
                <w:szCs w:val="22"/>
              </w:rPr>
              <w:fldChar w:fldCharType="begin"/>
            </w:r>
            <w:r>
              <w:rPr>
                <w:color w:val="000000"/>
                <w:sz w:val="22"/>
                <w:szCs w:val="22"/>
              </w:rPr>
              <w:instrText xml:space="preserve"> ADDIN ZOTERO_ITEM CSL_CITATION {"citationID":"Yngmo9Y2","properties":{"unsorted":false,"formattedCitation":"\\super 16\\nosupersub{}","plainCitation":"16","noteIndex":0},"citationItems":[{"id":200,"uris":["http://zotero.org/users/19404620/items/3N7LAJL2"],"itemData":{"id":200,"type":"article-journal","abstract":"Doravirine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w:instrText>
            </w:r>
            <w:r>
              <w:rPr>
                <w:rFonts w:hint="eastAsia"/>
                <w:color w:val="000000"/>
                <w:sz w:val="22"/>
                <w:szCs w:val="22"/>
              </w:rPr>
              <w:instrText>×</w:instrText>
            </w:r>
            <w:r>
              <w:rPr>
                <w:color w:val="000000"/>
                <w:sz w:val="22"/>
                <w:szCs w:val="22"/>
              </w:rPr>
              <w:instrText xml:space="preserve"> EC95) to 1,000</w:instrText>
            </w:r>
            <w:r>
              <w:rPr>
                <w:rFonts w:hint="eastAsia"/>
                <w:color w:val="000000"/>
                <w:sz w:val="22"/>
                <w:szCs w:val="22"/>
              </w:rPr>
              <w:instrText>×</w:instrText>
            </w:r>
            <w:r>
              <w:rPr>
                <w:color w:val="000000"/>
                <w:sz w:val="22"/>
                <w:szCs w:val="22"/>
              </w:rPr>
              <w:instrText xml:space="preserve">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D."},{"family":"Lai","given":"Ming-Tain"}],"issued":{"date-parts":[["2015",1]]}}}],"schema":"https://github.com/citation-style-language/schema/raw/master/csl-citation.json"} </w:instrText>
            </w:r>
            <w:r>
              <w:rPr>
                <w:color w:val="000000"/>
                <w:sz w:val="22"/>
                <w:szCs w:val="22"/>
              </w:rPr>
              <w:fldChar w:fldCharType="separate"/>
            </w:r>
            <w:r>
              <w:rPr>
                <w:color w:val="000000"/>
                <w:sz w:val="22"/>
                <w:szCs w:val="22"/>
                <w:vertAlign w:val="superscript"/>
              </w:rPr>
              <w:t>16</w:t>
            </w:r>
            <w:r>
              <w:rPr>
                <w:color w:val="000000"/>
                <w:sz w:val="22"/>
                <w:szCs w:val="22"/>
              </w:rPr>
              <w:fldChar w:fldCharType="end"/>
            </w:r>
          </w:p>
        </w:tc>
      </w:tr>
      <w:tr w:rsidR="00BA0839" w:rsidRPr="00E536AD" w14:paraId="0353CE97" w14:textId="77777777" w:rsidTr="005A06D4">
        <w:trPr>
          <w:trHeight w:val="340"/>
        </w:trPr>
        <w:tc>
          <w:tcPr>
            <w:tcW w:w="1206" w:type="dxa"/>
            <w:vMerge/>
            <w:hideMark/>
          </w:tcPr>
          <w:p w14:paraId="7C586653" w14:textId="77777777" w:rsidR="00BA0839" w:rsidRPr="003968DD" w:rsidRDefault="00BA0839" w:rsidP="005A06D4">
            <w:pPr>
              <w:rPr>
                <w:rFonts w:ascii="Times New Roman" w:hAnsi="Times New Roman"/>
                <w:color w:val="000000"/>
                <w:sz w:val="22"/>
                <w:szCs w:val="22"/>
              </w:rPr>
            </w:pPr>
          </w:p>
        </w:tc>
        <w:tc>
          <w:tcPr>
            <w:tcW w:w="1648" w:type="dxa"/>
            <w:hideMark/>
          </w:tcPr>
          <w:p w14:paraId="665A8998"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A98G+F227C</w:t>
            </w:r>
          </w:p>
        </w:tc>
        <w:tc>
          <w:tcPr>
            <w:tcW w:w="1504" w:type="dxa"/>
            <w:hideMark/>
          </w:tcPr>
          <w:p w14:paraId="3A5D6768"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93</w:t>
            </w:r>
          </w:p>
        </w:tc>
        <w:tc>
          <w:tcPr>
            <w:tcW w:w="999" w:type="dxa"/>
            <w:hideMark/>
          </w:tcPr>
          <w:p w14:paraId="2C54DCCB"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w:t>
            </w:r>
          </w:p>
        </w:tc>
        <w:tc>
          <w:tcPr>
            <w:tcW w:w="2151" w:type="dxa"/>
            <w:hideMark/>
          </w:tcPr>
          <w:p w14:paraId="4EA733AF"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[93]</w:t>
            </w:r>
          </w:p>
        </w:tc>
        <w:tc>
          <w:tcPr>
            <w:tcW w:w="2050" w:type="dxa"/>
            <w:hideMark/>
          </w:tcPr>
          <w:p w14:paraId="7F76958A" w14:textId="16084F07"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Lai et al (2018)</w:t>
            </w:r>
            <w:r>
              <w:rPr>
                <w:color w:val="000000"/>
                <w:sz w:val="22"/>
                <w:szCs w:val="22"/>
              </w:rPr>
              <w:fldChar w:fldCharType="begin"/>
            </w:r>
            <w:r w:rsidR="00CC484F">
              <w:rPr>
                <w:color w:val="000000"/>
                <w:sz w:val="22"/>
                <w:szCs w:val="22"/>
              </w:rPr>
              <w:instrText xml:space="preserve"> ADDIN ZOTERO_ITEM CSL_CITATION {"citationID":"A8Oinhsw","properties":{"unsorted":false,"formattedCitation":"\\super 59\\nosupersub{}","plainCitation":"59","noteIndex":0},"citationItems":[{"id":208,"uris":["http://zotero.org/users/19404620/items/UIKXA4PH"],"itemData":{"id":208,"type":"webpage","publisher":"John Wiley &amp; Sons Ltd.","title":"Characterization of Doravirine-Selected Resistance Patterns From Participants in Treatment-Na</w:instrText>
            </w:r>
            <w:r w:rsidR="00CC484F">
              <w:rPr>
                <w:rFonts w:hint="eastAsia"/>
                <w:color w:val="000000"/>
                <w:sz w:val="22"/>
                <w:szCs w:val="22"/>
              </w:rPr>
              <w:instrText>ï</w:instrText>
            </w:r>
            <w:r w:rsidR="00CC484F">
              <w:rPr>
                <w:color w:val="000000"/>
                <w:sz w:val="22"/>
                <w:szCs w:val="22"/>
              </w:rPr>
              <w:instrText xml:space="preserve">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Pr>
                <w:color w:val="000000"/>
                <w:sz w:val="22"/>
                <w:szCs w:val="22"/>
              </w:rPr>
              <w:fldChar w:fldCharType="separate"/>
            </w:r>
            <w:r w:rsidR="00CC484F" w:rsidRPr="00CC484F">
              <w:rPr>
                <w:rFonts w:cs="Mangal"/>
                <w:color w:val="000000"/>
                <w:sz w:val="22"/>
                <w:szCs w:val="24"/>
                <w:vertAlign w:val="superscript"/>
                <w:lang w:bidi="hi-IN"/>
              </w:rPr>
              <w:t>59</w:t>
            </w:r>
            <w:r>
              <w:rPr>
                <w:color w:val="000000"/>
                <w:sz w:val="22"/>
                <w:szCs w:val="22"/>
              </w:rPr>
              <w:fldChar w:fldCharType="end"/>
            </w:r>
          </w:p>
        </w:tc>
      </w:tr>
      <w:tr w:rsidR="00BA0839" w:rsidRPr="00E536AD" w14:paraId="6D25FEAA" w14:textId="77777777" w:rsidTr="005A06D4">
        <w:trPr>
          <w:trHeight w:val="340"/>
        </w:trPr>
        <w:tc>
          <w:tcPr>
            <w:tcW w:w="1206" w:type="dxa"/>
            <w:vMerge/>
            <w:hideMark/>
          </w:tcPr>
          <w:p w14:paraId="41292948" w14:textId="77777777" w:rsidR="00BA0839" w:rsidRPr="003968DD" w:rsidRDefault="00BA0839" w:rsidP="005A06D4">
            <w:pPr>
              <w:rPr>
                <w:rFonts w:ascii="Times New Roman" w:hAnsi="Times New Roman"/>
                <w:color w:val="000000"/>
                <w:sz w:val="22"/>
                <w:szCs w:val="22"/>
              </w:rPr>
            </w:pPr>
          </w:p>
        </w:tc>
        <w:tc>
          <w:tcPr>
            <w:tcW w:w="1648" w:type="dxa"/>
            <w:hideMark/>
          </w:tcPr>
          <w:p w14:paraId="6321925D"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V106I+F227C</w:t>
            </w:r>
          </w:p>
        </w:tc>
        <w:tc>
          <w:tcPr>
            <w:tcW w:w="1504" w:type="dxa"/>
            <w:hideMark/>
          </w:tcPr>
          <w:p w14:paraId="19F8D726"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105</w:t>
            </w:r>
          </w:p>
        </w:tc>
        <w:tc>
          <w:tcPr>
            <w:tcW w:w="999" w:type="dxa"/>
            <w:hideMark/>
          </w:tcPr>
          <w:p w14:paraId="7A628CB7"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w:t>
            </w:r>
          </w:p>
        </w:tc>
        <w:tc>
          <w:tcPr>
            <w:tcW w:w="2151" w:type="dxa"/>
            <w:hideMark/>
          </w:tcPr>
          <w:p w14:paraId="31BD465C"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[105]</w:t>
            </w:r>
          </w:p>
        </w:tc>
        <w:tc>
          <w:tcPr>
            <w:tcW w:w="2050" w:type="dxa"/>
            <w:hideMark/>
          </w:tcPr>
          <w:p w14:paraId="45411741" w14:textId="009D900E"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Lai et al (2018)</w:t>
            </w:r>
            <w:r>
              <w:rPr>
                <w:color w:val="000000"/>
                <w:sz w:val="22"/>
                <w:szCs w:val="22"/>
              </w:rPr>
              <w:fldChar w:fldCharType="begin"/>
            </w:r>
            <w:r w:rsidR="00CC484F">
              <w:rPr>
                <w:color w:val="000000"/>
                <w:sz w:val="22"/>
                <w:szCs w:val="22"/>
              </w:rPr>
              <w:instrText xml:space="preserve"> ADDIN ZOTERO_ITEM CSL_CITATION {"citationID":"lcT7Ijjb","properties":{"unsorted":false,"formattedCitation":"\\super 59\\nosupersub{}","plainCitation":"59","noteIndex":0},"citationItems":[{"id":208,"uris":["http://zotero.org/users/19404620/items/UIKXA4PH"],"itemData":{"id":208,"type":"webpage","publisher":"John Wiley &amp; Sons Ltd.","title":"Characterization of Doravirine-Selected Resistance Patterns From Participants in Treatment-Na</w:instrText>
            </w:r>
            <w:r w:rsidR="00CC484F">
              <w:rPr>
                <w:rFonts w:hint="eastAsia"/>
                <w:color w:val="000000"/>
                <w:sz w:val="22"/>
                <w:szCs w:val="22"/>
              </w:rPr>
              <w:instrText>ï</w:instrText>
            </w:r>
            <w:r w:rsidR="00CC484F">
              <w:rPr>
                <w:color w:val="000000"/>
                <w:sz w:val="22"/>
                <w:szCs w:val="22"/>
              </w:rPr>
              <w:instrText xml:space="preserve">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Pr>
                <w:color w:val="000000"/>
                <w:sz w:val="22"/>
                <w:szCs w:val="22"/>
              </w:rPr>
              <w:fldChar w:fldCharType="separate"/>
            </w:r>
            <w:r w:rsidR="00CC484F" w:rsidRPr="00CC484F">
              <w:rPr>
                <w:rFonts w:cs="Mangal"/>
                <w:color w:val="000000"/>
                <w:sz w:val="22"/>
                <w:szCs w:val="24"/>
                <w:vertAlign w:val="superscript"/>
                <w:lang w:bidi="hi-IN"/>
              </w:rPr>
              <w:t>59</w:t>
            </w:r>
            <w:r>
              <w:rPr>
                <w:color w:val="000000"/>
                <w:sz w:val="22"/>
                <w:szCs w:val="22"/>
              </w:rPr>
              <w:fldChar w:fldCharType="end"/>
            </w:r>
          </w:p>
        </w:tc>
      </w:tr>
      <w:tr w:rsidR="00BA0839" w:rsidRPr="00E536AD" w14:paraId="5386A42F" w14:textId="77777777" w:rsidTr="005A06D4">
        <w:trPr>
          <w:trHeight w:val="340"/>
        </w:trPr>
        <w:tc>
          <w:tcPr>
            <w:tcW w:w="1206" w:type="dxa"/>
            <w:vMerge/>
            <w:hideMark/>
          </w:tcPr>
          <w:p w14:paraId="65A7A8BB" w14:textId="77777777" w:rsidR="00BA0839" w:rsidRPr="003968DD" w:rsidRDefault="00BA0839" w:rsidP="005A06D4">
            <w:pPr>
              <w:rPr>
                <w:rFonts w:ascii="Times New Roman" w:hAnsi="Times New Roman"/>
                <w:color w:val="000000"/>
                <w:sz w:val="22"/>
                <w:szCs w:val="22"/>
              </w:rPr>
            </w:pPr>
          </w:p>
        </w:tc>
        <w:tc>
          <w:tcPr>
            <w:tcW w:w="1648" w:type="dxa"/>
            <w:hideMark/>
          </w:tcPr>
          <w:p w14:paraId="6C00FA34"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V106A+F227L</w:t>
            </w:r>
          </w:p>
        </w:tc>
        <w:tc>
          <w:tcPr>
            <w:tcW w:w="1504" w:type="dxa"/>
            <w:hideMark/>
          </w:tcPr>
          <w:p w14:paraId="7C8B88C9"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106</w:t>
            </w:r>
          </w:p>
        </w:tc>
        <w:tc>
          <w:tcPr>
            <w:tcW w:w="999" w:type="dxa"/>
            <w:hideMark/>
          </w:tcPr>
          <w:p w14:paraId="100B7671"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w:t>
            </w:r>
          </w:p>
        </w:tc>
        <w:tc>
          <w:tcPr>
            <w:tcW w:w="2151" w:type="dxa"/>
            <w:hideMark/>
          </w:tcPr>
          <w:p w14:paraId="22CB846D"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[106]</w:t>
            </w:r>
          </w:p>
        </w:tc>
        <w:tc>
          <w:tcPr>
            <w:tcW w:w="2050" w:type="dxa"/>
            <w:hideMark/>
          </w:tcPr>
          <w:p w14:paraId="74A405FD" w14:textId="07FB523D"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Orkin et al (2026)</w:t>
            </w:r>
            <w:r>
              <w:rPr>
                <w:color w:val="000000"/>
                <w:sz w:val="22"/>
                <w:szCs w:val="22"/>
              </w:rPr>
              <w:fldChar w:fldCharType="begin"/>
            </w:r>
            <w:r w:rsidR="00CC484F">
              <w:rPr>
                <w:color w:val="000000"/>
                <w:sz w:val="22"/>
                <w:szCs w:val="22"/>
              </w:rPr>
              <w:instrText xml:space="preserve"> ADDIN ZOTERO_ITEM CSL_CITATION {"citationID":"nW736a0j","properties":{"unsorted":false,"formattedCitation":"\\super 57\\nosupersub{}","plainCitation":"57","noteIndex":0},"citationItems":[{"id":382,"uris":["http://zotero.org/users/19404620/items/RD76EN87"],"itemData":{"id":382,"type":"article-journal","abstract":"BACKGROUND: Doravirine is a non-nucleoside reverse transcriptase (RT) inhibitor (NNRTI) designed to address the limitations of other NNRTIs, particularly  resistance due to common RT substitutions including K103N, Y181C, and G190A.  METHODS: This report summarizes the development of genotypic and phenotypic  resistance to doravirine through week 192 of the DRIVE-FORWARD (NCT02275780) and  DRIVE-AHEAD (NCT02403674) phase 3 studies in adults with previously untreated  HIV-1. Participants were randomized (1:1) to the doravirine or comparator regimen  (darunavir/ritonavir or efavirenz) for 96 weeks (double-blind phase), followed by  96 weeks of the doravirine regimen (open-label extension). Resistance was  evaluated in participants with protocol-defined virologic failure (PDVF;  nonresponse or rebound) or treatment discontinuation (d/c) for other reasons and  HIV-1 RNA &gt;400 copies/mL. RESULTS: Of 747 participants randomized to doravirine,  51 (34 PDVF, 17 d/c) met resistance-testing criteria. Doravirine  resistance-associated mutations (RAMs) were detected in 12/51 participants, by  week 48 in 9/12, with phenotypic resistance to doravirine in 10. Of 502  participants who switched from comparator to doravirine, 9 (6 PDVF, 3 d/c) met  resistance-testing criteria: Doravirine RAMs were detected in 4/9, conferring  phenotypic resistance to doravirine in 3. The most common doravirine RAMs were  V106A/I/M and F227C. Common RAMs observed with other NNRTIs (K103N, Y181C, K101E,  E138K, and G190A) were not detected in any participant who met resistance-testing  criteria. CONCLUSIONS: In DRIVE-FORWARD and DRIVE-AHEAD, the development of  resistance to doravirine was uncommon (genotypic 1.3%; phenotypic 1.0%) and  occurred mainly during the first 48 weeks of treatment. Overall, the RAMs  observed with doravirine were distinct from those of other NNRTIs.","container-title":"Journal of acquired immune deficiency syndromes (1999)","DOI":"10.1097/QAI.0000000000003787","ISSN":"1944-7884 1525-4135","issue":"3","journalAbbreviation":"J Acquir Immune Defic Syndr","language":"eng","license":"Copyright (c) 2025 The Author(s). Published by Wolters Kluwer Health, Inc.","page":"308-315","PMID":"41129125","publisher-place":"United States","title":"Doravirine Resistance Patterns Identified Through Week 192 in the DRIVE-FORWARD and DRIVE-AHEAD Phase 3 Clinical Trials.","volume":"101","author":[{"family":"Orkin","given":"Chloe"},{"family":"Kuritzkes","given":"Daniel R."},{"family":"Katlama","given":"Christine"},{"family":"Su","given":"Feng-Hsiu"},{"family":"Plank","given":"Rebeca M."},{"family":"Lahoulou","given":"Rima"},{"family":"Asante-Appiah","given":"Ernest"}],"issued":{"date-parts":[["2026",3,1]]}}}],"schema":"https://github.com/citation-style-language/schema/raw/master/csl-citation.json"} </w:instrText>
            </w:r>
            <w:r>
              <w:rPr>
                <w:color w:val="000000"/>
                <w:sz w:val="22"/>
                <w:szCs w:val="22"/>
              </w:rPr>
              <w:fldChar w:fldCharType="separate"/>
            </w:r>
            <w:r w:rsidR="00CC484F" w:rsidRPr="00CC484F">
              <w:rPr>
                <w:rFonts w:cs="Mangal"/>
                <w:color w:val="000000"/>
                <w:sz w:val="22"/>
                <w:szCs w:val="24"/>
                <w:vertAlign w:val="superscript"/>
                <w:lang w:bidi="hi-IN"/>
              </w:rPr>
              <w:t>57</w:t>
            </w:r>
            <w:r>
              <w:rPr>
                <w:color w:val="000000"/>
                <w:sz w:val="22"/>
                <w:szCs w:val="22"/>
              </w:rPr>
              <w:fldChar w:fldCharType="end"/>
            </w:r>
          </w:p>
        </w:tc>
      </w:tr>
      <w:tr w:rsidR="00BA0839" w:rsidRPr="00E536AD" w14:paraId="3D938778" w14:textId="77777777" w:rsidTr="005A06D4">
        <w:trPr>
          <w:trHeight w:val="340"/>
        </w:trPr>
        <w:tc>
          <w:tcPr>
            <w:tcW w:w="1206" w:type="dxa"/>
            <w:vMerge/>
            <w:hideMark/>
          </w:tcPr>
          <w:p w14:paraId="6F5580DA" w14:textId="77777777" w:rsidR="00BA0839" w:rsidRPr="003968DD" w:rsidRDefault="00BA0839" w:rsidP="005A06D4">
            <w:pPr>
              <w:rPr>
                <w:rFonts w:ascii="Times New Roman" w:hAnsi="Times New Roman"/>
                <w:color w:val="000000"/>
                <w:sz w:val="22"/>
                <w:szCs w:val="22"/>
              </w:rPr>
            </w:pPr>
          </w:p>
        </w:tc>
        <w:tc>
          <w:tcPr>
            <w:tcW w:w="1648" w:type="dxa"/>
            <w:hideMark/>
          </w:tcPr>
          <w:p w14:paraId="3E3D2CF9"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Y188L</w:t>
            </w:r>
          </w:p>
        </w:tc>
        <w:tc>
          <w:tcPr>
            <w:tcW w:w="1504" w:type="dxa"/>
            <w:hideMark/>
          </w:tcPr>
          <w:p w14:paraId="4BF31703"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149</w:t>
            </w:r>
          </w:p>
        </w:tc>
        <w:tc>
          <w:tcPr>
            <w:tcW w:w="999" w:type="dxa"/>
            <w:hideMark/>
          </w:tcPr>
          <w:p w14:paraId="47C69DAA"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6</w:t>
            </w:r>
          </w:p>
        </w:tc>
        <w:tc>
          <w:tcPr>
            <w:tcW w:w="2151" w:type="dxa"/>
            <w:hideMark/>
          </w:tcPr>
          <w:p w14:paraId="299B58DA"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[95, 116, 116, 181, 181, 182]</w:t>
            </w:r>
          </w:p>
        </w:tc>
        <w:tc>
          <w:tcPr>
            <w:tcW w:w="2050" w:type="dxa"/>
            <w:hideMark/>
          </w:tcPr>
          <w:p w14:paraId="47AC71B8" w14:textId="6AF5B80C"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Lai et al (2014)</w:t>
            </w:r>
            <w:r>
              <w:rPr>
                <w:color w:val="000000"/>
                <w:sz w:val="22"/>
                <w:szCs w:val="22"/>
              </w:rPr>
              <w:fldChar w:fldCharType="begin"/>
            </w:r>
            <w:r>
              <w:rPr>
                <w:color w:val="000000"/>
                <w:sz w:val="22"/>
                <w:szCs w:val="22"/>
              </w:rPr>
              <w:instrText xml:space="preserve"> ADDIN ZOTERO_ITEM CSL_CITATION {"citationID":"SNOn14BB","properties":{"unsorted":false,"formattedCitation":"\\super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w:instrText>
            </w:r>
            <w:r>
              <w:rPr>
                <w:rFonts w:hint="eastAsia"/>
                <w:color w:val="000000"/>
                <w:sz w:val="22"/>
                <w:szCs w:val="22"/>
              </w:rPr>
              <w:instrText>ô</w:instrText>
            </w:r>
            <w:r>
              <w:rPr>
                <w:color w:val="000000"/>
                <w:sz w:val="22"/>
                <w:szCs w:val="22"/>
              </w:rPr>
              <w:instrText>t</w:instrText>
            </w:r>
            <w:r>
              <w:rPr>
                <w:rFonts w:hint="eastAsia"/>
                <w:color w:val="000000"/>
                <w:sz w:val="22"/>
                <w:szCs w:val="22"/>
              </w:rPr>
              <w:instrText>é</w:instrText>
            </w:r>
            <w:r>
              <w:rPr>
                <w:color w:val="000000"/>
                <w:sz w:val="22"/>
                <w:szCs w:val="22"/>
              </w:rPr>
              <w:instrText xml:space="preserve">","given":"Bernard"},{"family":"Asante-Appiah","given":"Ernest"},{"family":"Hazuda","given":"Daria J."},{"family":"Miller","given":"Michael D."}],"issued":{"date-parts":[["2014",12]]}}}],"schema":"https://github.com/citation-style-language/schema/raw/master/csl-citation.json"} </w:instrText>
            </w:r>
            <w:r>
              <w:rPr>
                <w:color w:val="000000"/>
                <w:sz w:val="22"/>
                <w:szCs w:val="22"/>
              </w:rPr>
              <w:fldChar w:fldCharType="separate"/>
            </w:r>
            <w:r>
              <w:rPr>
                <w:color w:val="000000"/>
                <w:sz w:val="22"/>
                <w:szCs w:val="22"/>
                <w:vertAlign w:val="superscript"/>
              </w:rPr>
              <w:t>17</w:t>
            </w:r>
            <w:r>
              <w:rPr>
                <w:color w:val="000000"/>
                <w:sz w:val="22"/>
                <w:szCs w:val="22"/>
              </w:rPr>
              <w:fldChar w:fldCharType="end"/>
            </w:r>
            <w:r>
              <w:rPr>
                <w:color w:val="000000"/>
                <w:sz w:val="22"/>
                <w:szCs w:val="22"/>
              </w:rPr>
              <w:t>; Hazuda et al (2018)</w:t>
            </w:r>
            <w:r>
              <w:rPr>
                <w:color w:val="000000"/>
                <w:sz w:val="22"/>
                <w:szCs w:val="22"/>
              </w:rPr>
              <w:fldChar w:fldCharType="begin"/>
            </w:r>
            <w:r w:rsidR="00CC484F">
              <w:rPr>
                <w:color w:val="000000"/>
                <w:sz w:val="22"/>
                <w:szCs w:val="22"/>
              </w:rPr>
              <w:instrText xml:space="preserve"> ADDIN ZOTERO_ITEM CSL_CITATION {"citationID":"iEuvspek","properties":{"unsorted":false,"formattedCitation":"\\super 60\\nosupersub{}","plainCitation":"60","noteIndex":0},"citationItems":[{"id":210,"uris":["http://zotero.org/users/19404620/items/JW4TMFXK"],"itemData":{"id":210,"type":"webpage","publisher":"22nd International AIDS Conference","title":"Understanding the Resistance Profile of the HIV-1 NNRTI Doravirine in Combination With the Novel NRTTI MK-8591","URL":"https://www.natap.org/2018/IAC/IAC_48.htm","author":[{"family":"Hazuda","given":"Daria J."},{"family":"Xu","given":"Min"},{"family":"Ngo","given":"Winnie"},{"family":"Feng","given":"Meizhen"},{"family":"Hwang","given":"Carey"},{"family":"Grobler","given":"Jay A."},{"family":"Lai","given":"Ming-Tain"}],"accessed":{"date-parts":[["2026",5,24]]},"issued":{"date-parts":[["2018",7,23]]}}}],"schema":"https://github.com/citation-style-language/schema/raw/master/csl-citation.json"} </w:instrText>
            </w:r>
            <w:r>
              <w:rPr>
                <w:color w:val="000000"/>
                <w:sz w:val="22"/>
                <w:szCs w:val="22"/>
              </w:rPr>
              <w:fldChar w:fldCharType="separate"/>
            </w:r>
            <w:r w:rsidR="00CC484F" w:rsidRPr="00CC484F">
              <w:rPr>
                <w:rFonts w:cs="Mangal"/>
                <w:color w:val="000000"/>
                <w:sz w:val="22"/>
                <w:szCs w:val="24"/>
                <w:vertAlign w:val="superscript"/>
                <w:lang w:bidi="hi-IN"/>
              </w:rPr>
              <w:t>60</w:t>
            </w:r>
            <w:r>
              <w:rPr>
                <w:color w:val="000000"/>
                <w:sz w:val="22"/>
                <w:szCs w:val="22"/>
              </w:rPr>
              <w:fldChar w:fldCharType="end"/>
            </w:r>
            <w:r>
              <w:rPr>
                <w:color w:val="000000"/>
                <w:sz w:val="22"/>
                <w:szCs w:val="22"/>
              </w:rPr>
              <w:t>; Lai et al (2018)</w:t>
            </w:r>
            <w:r>
              <w:rPr>
                <w:color w:val="000000"/>
                <w:sz w:val="22"/>
                <w:szCs w:val="22"/>
              </w:rPr>
              <w:fldChar w:fldCharType="begin"/>
            </w:r>
            <w:r w:rsidR="00CC484F">
              <w:rPr>
                <w:color w:val="000000"/>
                <w:sz w:val="22"/>
                <w:szCs w:val="22"/>
              </w:rPr>
              <w:instrText xml:space="preserve"> ADDIN ZOTERO_ITEM CSL_CITATION {"citationID":"r5HkVSPs","properties":{"unsorted":false,"formattedCitation":"\\super 59\\nosupersub{}","plainCitation":"59","noteIndex":0},"citationItems":[{"id":208,"uris":["http://zotero.org/users/19404620/items/UIKXA4PH"],"itemData":{"id":208,"type":"webpage","publisher":"John Wiley &amp; Sons Ltd.","title":"Characterization of Doravirine-Selected Resistance Patterns From Participants in Treatment-Na</w:instrText>
            </w:r>
            <w:r w:rsidR="00CC484F">
              <w:rPr>
                <w:rFonts w:hint="eastAsia"/>
                <w:color w:val="000000"/>
                <w:sz w:val="22"/>
                <w:szCs w:val="22"/>
              </w:rPr>
              <w:instrText>ï</w:instrText>
            </w:r>
            <w:r w:rsidR="00CC484F">
              <w:rPr>
                <w:color w:val="000000"/>
                <w:sz w:val="22"/>
                <w:szCs w:val="22"/>
              </w:rPr>
              <w:instrText xml:space="preserve">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Pr>
                <w:color w:val="000000"/>
                <w:sz w:val="22"/>
                <w:szCs w:val="22"/>
              </w:rPr>
              <w:fldChar w:fldCharType="separate"/>
            </w:r>
            <w:r w:rsidR="00CC484F" w:rsidRPr="00CC484F">
              <w:rPr>
                <w:rFonts w:cs="Mangal"/>
                <w:color w:val="000000"/>
                <w:sz w:val="22"/>
                <w:szCs w:val="24"/>
                <w:vertAlign w:val="superscript"/>
                <w:lang w:bidi="hi-IN"/>
              </w:rPr>
              <w:t>59</w:t>
            </w:r>
            <w:r>
              <w:rPr>
                <w:color w:val="000000"/>
                <w:sz w:val="22"/>
                <w:szCs w:val="22"/>
              </w:rPr>
              <w:fldChar w:fldCharType="end"/>
            </w:r>
            <w:r>
              <w:rPr>
                <w:color w:val="000000"/>
                <w:sz w:val="22"/>
                <w:szCs w:val="22"/>
              </w:rPr>
              <w:t>; Orkin et al (2026)</w:t>
            </w:r>
            <w:r>
              <w:rPr>
                <w:color w:val="000000"/>
                <w:sz w:val="22"/>
                <w:szCs w:val="22"/>
              </w:rPr>
              <w:fldChar w:fldCharType="begin"/>
            </w:r>
            <w:r w:rsidR="00CC484F">
              <w:rPr>
                <w:color w:val="000000"/>
                <w:sz w:val="22"/>
                <w:szCs w:val="22"/>
              </w:rPr>
              <w:instrText xml:space="preserve"> ADDIN ZOTERO_ITEM CSL_CITATION {"citationID":"VCuZmtqv","properties":{"unsorted":false,"formattedCitation":"\\super 57\\nosupersub{}","plainCitation":"57","noteIndex":0},"citationItems":[{"id":382,"uris":["http://zotero.org/users/19404620/items/RD76EN87"],"itemData":{"id":382,"type":"article-journal","abstract":"BACKGROUND: Doravirine is a non-nucleoside reverse transcriptase (RT) inhibitor (NNRTI) designed to address the limitations of other NNRTIs, particularly  resistance due to common RT substitutions including K103N, Y181C, and G190A.  METHODS: This report summarizes the development of genotypic and phenotypic  resistance to doravirine through week 192 of the DRIVE-FORWARD (NCT02275780) and  DRIVE-AHEAD (NCT02403674) phase 3 studies in adults with previously untreated  HIV-1. Participants were randomized (1:1) to the doravirine or comparator regimen  (darunavir/ritonavir or efavirenz) for 96 weeks (double-blind phase), followed by  96 weeks of the doravirine regimen (open-label extension). Resistance was  evaluated in participants with protocol-defined virologic failure (PDVF;  nonresponse or rebound) or treatment discontinuation (d/c) for other reasons and  HIV-1 RNA &gt;400 copies/mL. RESULTS: Of 747 participants randomized to doravirine,  51 (34 PDVF, 17 d/c) met resistance-testing criteria. Doravirine  resistance-associated mutations (RAMs) were detected in 12/51 participants, by  week 48 in 9/12, with phenotypic resistance to doravirine in 10. Of 502  participants who switched from comparator to doravirine, 9 (6 PDVF, 3 d/c) met  resistance-testing criteria: Doravirine RAMs were detected in 4/9, conferring  phenotypic resistance to doravirine in 3. The most common doravirine RAMs were  V106A/I/M and F227C. Common RAMs observed with other NNRTIs (K103N, Y181C, K101E,  E138K, and G190A) were not detected in any participant who met resistance-testing  criteria. CONCLUSIONS: In DRIVE-FORWARD and DRIVE-AHEAD, the development of  resistance to doravirine was uncommon (genotypic 1.3%; phenotypic 1.0%) and  occurred mainly during the first 48 weeks of treatment. Overall, the RAMs  observed with doravirine were distinct from those of other NNRTIs.","container-title":"Journal of acquired immune deficiency syndromes (1999)","DOI":"10.1097/QAI.0000000000003787","ISSN":"1944-7884 1525-4135","issue":"3","journalAbbreviation":"J Acquir Immune Defic Syndr","language":"eng","license":"Copyright (c) 2025 The Author(s). Published by Wolters Kluwer Health, Inc.","page":"308-315","PMID":"41129125","publisher-place":"United States","title":"Doravirine Resistance Patterns Identified Through Week 192 in the DRIVE-FORWARD and DRIVE-AHEAD Phase 3 Clinical Trials.","volume":"101","author":[{"family":"Orkin","given":"Chloe"},{"family":"Kuritzkes","given":"Daniel R."},{"family":"Katlama","given":"Christine"},{"family":"Su","given":"Feng-Hsiu"},{"family":"Plank","given":"Rebeca M."},{"family":"Lahoulou","given":"Rima"},{"family":"Asante-Appiah","given":"Ernest"}],"issued":{"date-parts":[["2026",3,1]]}}}],"schema":"https://github.com/citation-style-language/schema/raw/master/csl-citation.json"} </w:instrText>
            </w:r>
            <w:r>
              <w:rPr>
                <w:color w:val="000000"/>
                <w:sz w:val="22"/>
                <w:szCs w:val="22"/>
              </w:rPr>
              <w:fldChar w:fldCharType="separate"/>
            </w:r>
            <w:r w:rsidR="00CC484F" w:rsidRPr="00CC484F">
              <w:rPr>
                <w:rFonts w:cs="Mangal"/>
                <w:color w:val="000000"/>
                <w:sz w:val="22"/>
                <w:szCs w:val="24"/>
                <w:vertAlign w:val="superscript"/>
                <w:lang w:bidi="hi-IN"/>
              </w:rPr>
              <w:t>57</w:t>
            </w:r>
            <w:r>
              <w:rPr>
                <w:color w:val="000000"/>
                <w:sz w:val="22"/>
                <w:szCs w:val="22"/>
              </w:rPr>
              <w:fldChar w:fldCharType="end"/>
            </w:r>
          </w:p>
        </w:tc>
      </w:tr>
      <w:tr w:rsidR="00BA0839" w:rsidRPr="00E536AD" w14:paraId="3B5A739D" w14:textId="77777777" w:rsidTr="005A06D4">
        <w:trPr>
          <w:trHeight w:val="340"/>
        </w:trPr>
        <w:tc>
          <w:tcPr>
            <w:tcW w:w="1206" w:type="dxa"/>
            <w:vMerge/>
            <w:hideMark/>
          </w:tcPr>
          <w:p w14:paraId="5FC0E873" w14:textId="77777777" w:rsidR="00BA0839" w:rsidRPr="003968DD" w:rsidRDefault="00BA0839" w:rsidP="005A06D4">
            <w:pPr>
              <w:rPr>
                <w:rFonts w:ascii="Times New Roman" w:hAnsi="Times New Roman"/>
                <w:color w:val="000000"/>
                <w:sz w:val="22"/>
                <w:szCs w:val="22"/>
              </w:rPr>
            </w:pPr>
          </w:p>
        </w:tc>
        <w:tc>
          <w:tcPr>
            <w:tcW w:w="1648" w:type="dxa"/>
            <w:hideMark/>
          </w:tcPr>
          <w:p w14:paraId="06A26629"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V106A+P225H</w:t>
            </w:r>
          </w:p>
        </w:tc>
        <w:tc>
          <w:tcPr>
            <w:tcW w:w="1504" w:type="dxa"/>
            <w:hideMark/>
          </w:tcPr>
          <w:p w14:paraId="1F35F954"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153</w:t>
            </w:r>
          </w:p>
        </w:tc>
        <w:tc>
          <w:tcPr>
            <w:tcW w:w="999" w:type="dxa"/>
            <w:hideMark/>
          </w:tcPr>
          <w:p w14:paraId="74AADB76"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2</w:t>
            </w:r>
          </w:p>
        </w:tc>
        <w:tc>
          <w:tcPr>
            <w:tcW w:w="2151" w:type="dxa"/>
            <w:hideMark/>
          </w:tcPr>
          <w:p w14:paraId="59B236CD"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[95, 210]</w:t>
            </w:r>
          </w:p>
        </w:tc>
        <w:tc>
          <w:tcPr>
            <w:tcW w:w="2050" w:type="dxa"/>
            <w:hideMark/>
          </w:tcPr>
          <w:p w14:paraId="24ED36C2" w14:textId="177C90AA"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Lai et al (2018)</w:t>
            </w:r>
            <w:r>
              <w:rPr>
                <w:color w:val="000000"/>
                <w:sz w:val="22"/>
                <w:szCs w:val="22"/>
              </w:rPr>
              <w:fldChar w:fldCharType="begin"/>
            </w:r>
            <w:r w:rsidR="00CC484F">
              <w:rPr>
                <w:color w:val="000000"/>
                <w:sz w:val="22"/>
                <w:szCs w:val="22"/>
              </w:rPr>
              <w:instrText xml:space="preserve"> ADDIN ZOTERO_ITEM CSL_CITATION {"citationID":"y9MGbkL3","properties":{"unsorted":false,"formattedCitation":"\\super 59\\nosupersub{}","plainCitation":"59","noteIndex":0},"citationItems":[{"id":208,"uris":["http://zotero.org/users/19404620/items/UIKXA4PH"],"itemData":{"id":208,"type":"webpage","publisher":"John Wiley &amp; Sons Ltd.","title":"Characterization of Doravirine-Selected Resistance Patterns From Participants in Treatment-Na</w:instrText>
            </w:r>
            <w:r w:rsidR="00CC484F">
              <w:rPr>
                <w:rFonts w:hint="eastAsia"/>
                <w:color w:val="000000"/>
                <w:sz w:val="22"/>
                <w:szCs w:val="22"/>
              </w:rPr>
              <w:instrText>ï</w:instrText>
            </w:r>
            <w:r w:rsidR="00CC484F">
              <w:rPr>
                <w:color w:val="000000"/>
                <w:sz w:val="22"/>
                <w:szCs w:val="22"/>
              </w:rPr>
              <w:instrText xml:space="preserve">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Pr>
                <w:color w:val="000000"/>
                <w:sz w:val="22"/>
                <w:szCs w:val="22"/>
              </w:rPr>
              <w:fldChar w:fldCharType="separate"/>
            </w:r>
            <w:r w:rsidR="00CC484F" w:rsidRPr="00CC484F">
              <w:rPr>
                <w:rFonts w:cs="Mangal"/>
                <w:color w:val="000000"/>
                <w:sz w:val="22"/>
                <w:szCs w:val="24"/>
                <w:vertAlign w:val="superscript"/>
                <w:lang w:bidi="hi-IN"/>
              </w:rPr>
              <w:t>59</w:t>
            </w:r>
            <w:r>
              <w:rPr>
                <w:color w:val="000000"/>
                <w:sz w:val="22"/>
                <w:szCs w:val="22"/>
              </w:rPr>
              <w:fldChar w:fldCharType="end"/>
            </w:r>
            <w:r>
              <w:rPr>
                <w:color w:val="000000"/>
                <w:sz w:val="22"/>
                <w:szCs w:val="22"/>
              </w:rPr>
              <w:t>; Orkin et al (2026)</w:t>
            </w:r>
            <w:r>
              <w:rPr>
                <w:color w:val="000000"/>
                <w:sz w:val="22"/>
                <w:szCs w:val="22"/>
              </w:rPr>
              <w:fldChar w:fldCharType="begin"/>
            </w:r>
            <w:r w:rsidR="00CC484F">
              <w:rPr>
                <w:color w:val="000000"/>
                <w:sz w:val="22"/>
                <w:szCs w:val="22"/>
              </w:rPr>
              <w:instrText xml:space="preserve"> ADDIN ZOTERO_ITEM CSL_CITATION {"citationID":"AGv01cke","properties":{"unsorted":false,"formattedCitation":"\\super 57\\nosupersub{}","plainCitation":"57","noteIndex":0},"citationItems":[{"id":382,"uris":["http://zotero.org/users/19404620/items/RD76EN87"],"itemData":{"id":382,"type":"article-journal","abstract":"BACKGROUND: Doravirine is a non-nucleoside reverse transcriptase (RT) inhibitor (NNRTI) designed to address the limitations of other NNRTIs, particularly  resistance due to common RT substitutions including K103N, Y181C, and G190A.  METHODS: This report summarizes the development of genotypic and phenotypic  resistance to doravirine through week 192 of the DRIVE-FORWARD (NCT02275780) and  DRIVE-AHEAD (NCT02403674) phase 3 studies in adults with previously untreated  HIV-1. Participants were randomized (1:1) to the doravirine or comparator regimen  (darunavir/ritonavir or efavirenz) for 96 weeks (double-blind phase), followed by  96 weeks of the doravirine regimen (open-label extension). Resistance was  evaluated in participants with protocol-defined virologic failure (PDVF;  nonresponse or rebound) or treatment discontinuation (d/c) for other reasons and  HIV-1 RNA &gt;400 copies/mL. RESULTS: Of 747 participants randomized to doravirine,  51 (34 PDVF, 17 d/c) met resistance-testing criteria. Doravirine  resistance-associated mutations (RAMs) were detected in 12/51 participants, by  week 48 in 9/12, with phenotypic resistance to doravirine in 10. Of 502  participants who switched from comparator to doravirine, 9 (6 PDVF, 3 d/c) met  resistance-testing criteria: Doravirine RAMs were detected in 4/9, conferring  phenotypic resistance to doravirine in 3. The most common doravirine RAMs were  V106A/I/M and F227C. Common RAMs observed with other NNRTIs (K103N, Y181C, K101E,  E138K, and G190A) were not detected in any participant who met resistance-testing  criteria. CONCLUSIONS: In DRIVE-FORWARD and DRIVE-AHEAD, the development of  resistance to doravirine was uncommon (genotypic 1.3%; phenotypic 1.0%) and  occurred mainly during the first 48 weeks of treatment. Overall, the RAMs  observed with doravirine were distinct from those of other NNRTIs.","container-title":"Journal of acquired immune deficiency syndromes (1999)","DOI":"10.1097/QAI.0000000000003787","ISSN":"1944-7884 1525-4135","issue":"3","journalAbbreviation":"J Acquir Immune Defic Syndr","language":"eng","license":"Copyright (c) 2025 The Author(s). Published by Wolters Kluwer Health, Inc.","page":"308-315","PMID":"41129125","publisher-place":"United States","title":"Doravirine Resistance Patterns Identified Through Week 192 in the DRIVE-FORWARD and DRIVE-AHEAD Phase 3 Clinical Trials.","volume":"101","author":[{"family":"Orkin","given":"Chloe"},{"family":"Kuritzkes","given":"Daniel R."},{"family":"Katlama","given":"Christine"},{"family":"Su","given":"Feng-Hsiu"},{"family":"Plank","given":"Rebeca M."},{"family":"Lahoulou","given":"Rima"},{"family":"Asante-Appiah","given":"Ernest"}],"issued":{"date-parts":[["2026",3,1]]}}}],"schema":"https://github.com/citation-style-language/schema/raw/master/csl-citation.json"} </w:instrText>
            </w:r>
            <w:r>
              <w:rPr>
                <w:color w:val="000000"/>
                <w:sz w:val="22"/>
                <w:szCs w:val="22"/>
              </w:rPr>
              <w:fldChar w:fldCharType="separate"/>
            </w:r>
            <w:r w:rsidR="00CC484F" w:rsidRPr="00CC484F">
              <w:rPr>
                <w:rFonts w:cs="Mangal"/>
                <w:color w:val="000000"/>
                <w:sz w:val="22"/>
                <w:szCs w:val="24"/>
                <w:vertAlign w:val="superscript"/>
                <w:lang w:bidi="hi-IN"/>
              </w:rPr>
              <w:t>57</w:t>
            </w:r>
            <w:r>
              <w:rPr>
                <w:color w:val="000000"/>
                <w:sz w:val="22"/>
                <w:szCs w:val="22"/>
              </w:rPr>
              <w:fldChar w:fldCharType="end"/>
            </w:r>
          </w:p>
        </w:tc>
      </w:tr>
      <w:tr w:rsidR="00BA0839" w:rsidRPr="00E536AD" w14:paraId="72FED959" w14:textId="77777777" w:rsidTr="005A06D4">
        <w:trPr>
          <w:trHeight w:val="386"/>
        </w:trPr>
        <w:tc>
          <w:tcPr>
            <w:tcW w:w="1206" w:type="dxa"/>
            <w:vMerge/>
            <w:hideMark/>
          </w:tcPr>
          <w:p w14:paraId="18121E49" w14:textId="77777777" w:rsidR="00BA0839" w:rsidRPr="003968DD" w:rsidRDefault="00BA0839" w:rsidP="005A06D4">
            <w:pPr>
              <w:rPr>
                <w:rFonts w:ascii="Times New Roman" w:hAnsi="Times New Roman"/>
                <w:color w:val="000000"/>
                <w:sz w:val="22"/>
                <w:szCs w:val="22"/>
              </w:rPr>
            </w:pPr>
          </w:p>
        </w:tc>
        <w:tc>
          <w:tcPr>
            <w:tcW w:w="1648" w:type="dxa"/>
            <w:hideMark/>
          </w:tcPr>
          <w:p w14:paraId="0A209E9B"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V106A+L234I</w:t>
            </w:r>
          </w:p>
        </w:tc>
        <w:tc>
          <w:tcPr>
            <w:tcW w:w="1504" w:type="dxa"/>
            <w:hideMark/>
          </w:tcPr>
          <w:p w14:paraId="207149BF"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161</w:t>
            </w:r>
          </w:p>
        </w:tc>
        <w:tc>
          <w:tcPr>
            <w:tcW w:w="999" w:type="dxa"/>
            <w:hideMark/>
          </w:tcPr>
          <w:p w14:paraId="3526E906"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2</w:t>
            </w:r>
          </w:p>
        </w:tc>
        <w:tc>
          <w:tcPr>
            <w:tcW w:w="2151" w:type="dxa"/>
            <w:hideMark/>
          </w:tcPr>
          <w:p w14:paraId="30C64D58"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[150, 173]</w:t>
            </w:r>
          </w:p>
        </w:tc>
        <w:tc>
          <w:tcPr>
            <w:tcW w:w="2050" w:type="dxa"/>
            <w:hideMark/>
          </w:tcPr>
          <w:p w14:paraId="4291EB5B" w14:textId="0A6E2D9E"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Feng et al (2015)</w:t>
            </w:r>
            <w:r>
              <w:rPr>
                <w:color w:val="000000"/>
                <w:sz w:val="22"/>
                <w:szCs w:val="22"/>
              </w:rPr>
              <w:fldChar w:fldCharType="begin"/>
            </w:r>
            <w:r>
              <w:rPr>
                <w:color w:val="000000"/>
                <w:sz w:val="22"/>
                <w:szCs w:val="22"/>
              </w:rPr>
              <w:instrText xml:space="preserve"> ADDIN ZOTERO_ITEM CSL_CITATION {"citationID":"5evxZ70M","properties":{"unsorted":false,"formattedCitation":"\\super 16\\nosupersub{}","plainCitation":"16","noteIndex":0},"citationItems":[{"id":200,"uris":["http://zotero.org/users/19404620/items/3N7LAJL2"],"itemData":{"id":200,"type":"article-journal","abstract":"Doravirine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w:instrText>
            </w:r>
            <w:r>
              <w:rPr>
                <w:rFonts w:hint="eastAsia"/>
                <w:color w:val="000000"/>
                <w:sz w:val="22"/>
                <w:szCs w:val="22"/>
              </w:rPr>
              <w:instrText>×</w:instrText>
            </w:r>
            <w:r>
              <w:rPr>
                <w:color w:val="000000"/>
                <w:sz w:val="22"/>
                <w:szCs w:val="22"/>
              </w:rPr>
              <w:instrText xml:space="preserve"> EC95) to 1,000</w:instrText>
            </w:r>
            <w:r>
              <w:rPr>
                <w:rFonts w:hint="eastAsia"/>
                <w:color w:val="000000"/>
                <w:sz w:val="22"/>
                <w:szCs w:val="22"/>
              </w:rPr>
              <w:instrText>×</w:instrText>
            </w:r>
            <w:r>
              <w:rPr>
                <w:color w:val="000000"/>
                <w:sz w:val="22"/>
                <w:szCs w:val="22"/>
              </w:rPr>
              <w:instrText xml:space="preserve">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D."},{"family":"Lai","given":"Ming-Tain"}],"issued":{"date-parts":[["2015",1]]}}}],"schema":"https://github.com/citation-style-language/schema/raw/master/csl-citation.json"} </w:instrText>
            </w:r>
            <w:r>
              <w:rPr>
                <w:color w:val="000000"/>
                <w:sz w:val="22"/>
                <w:szCs w:val="22"/>
              </w:rPr>
              <w:fldChar w:fldCharType="separate"/>
            </w:r>
            <w:r>
              <w:rPr>
                <w:rFonts w:cs="Mangal"/>
                <w:color w:val="000000"/>
                <w:sz w:val="22"/>
                <w:szCs w:val="24"/>
                <w:vertAlign w:val="superscript"/>
                <w:lang w:bidi="hi-IN"/>
              </w:rPr>
              <w:t>16</w:t>
            </w:r>
            <w:r>
              <w:rPr>
                <w:color w:val="000000"/>
                <w:sz w:val="22"/>
                <w:szCs w:val="22"/>
              </w:rPr>
              <w:fldChar w:fldCharType="end"/>
            </w:r>
            <w:r>
              <w:rPr>
                <w:color w:val="000000"/>
                <w:sz w:val="22"/>
                <w:szCs w:val="22"/>
              </w:rPr>
              <w:t>; Smith et al (2016)</w:t>
            </w:r>
            <w:r>
              <w:rPr>
                <w:color w:val="000000"/>
                <w:sz w:val="22"/>
                <w:szCs w:val="22"/>
              </w:rPr>
              <w:fldChar w:fldCharType="begin"/>
            </w:r>
            <w:r w:rsidR="00CC484F">
              <w:rPr>
                <w:color w:val="000000"/>
                <w:sz w:val="22"/>
                <w:szCs w:val="22"/>
              </w:rPr>
              <w:instrText xml:space="preserve"> ADDIN ZOTERO_ITEM CSL_CITATION {"citationID":"jt8k6vke","properties":{"unsorted":false,"formattedCitation":"\\super 61\\nosupersub{}","plainCitation":"61","noteIndex":0},"citationItems":[{"id":212,"uris":["http://zotero.org/users/19404620/items/HLTMG9NM"],"itemData":{"id":212,"type":"article-journal","abstract":"Background:</w:instrText>
            </w:r>
            <w:r w:rsidR="00CC484F">
              <w:rPr>
                <w:rFonts w:hint="eastAsia"/>
                <w:color w:val="000000"/>
                <w:sz w:val="22"/>
                <w:szCs w:val="22"/>
              </w:rPr>
              <w:instrText> </w:instrText>
            </w:r>
            <w:r w:rsidR="00CC484F">
              <w:rPr>
                <w:color w:val="000000"/>
                <w:sz w:val="22"/>
                <w:szCs w:val="22"/>
              </w:rPr>
              <w:instrText xml:space="preserve">\n          Rilpivirine (RPV) is the latest non-nucleoside reverse transcriptase inhibitor (NNRTI) to be approved by Food and Drug Administration to combat HIV-1 infections. NNRTIs inhibit the chemical step in viral DNA synthesis by binding to an allosteric site located about 10 </w:instrText>
            </w:r>
            <w:r w:rsidR="00CC484F">
              <w:rPr>
                <w:rFonts w:hint="eastAsia"/>
                <w:color w:val="000000"/>
                <w:sz w:val="22"/>
                <w:szCs w:val="22"/>
              </w:rPr>
              <w:instrText>Å</w:instrText>
            </w:r>
            <w:r w:rsidR="00CC484F">
              <w:rPr>
                <w:color w:val="000000"/>
                <w:sz w:val="22"/>
                <w:szCs w:val="22"/>
              </w:rPr>
              <w:instrText xml:space="preserve"> from the polymerase active site of reverse transcriptase (RT). Although NNRTIs potently inhibit the replication of wild-type HIV-1, the binding site is not conserved, and mutations arise in the binding pocket. Doravirine (DOR) is a new NNRTI in phase III clinical trials.\n          Methods:</w:instrText>
            </w:r>
            <w:r w:rsidR="00CC484F">
              <w:rPr>
                <w:rFonts w:hint="eastAsia"/>
                <w:color w:val="000000"/>
                <w:sz w:val="22"/>
                <w:szCs w:val="22"/>
              </w:rPr>
              <w:instrText> </w:instrText>
            </w:r>
            <w:r w:rsidR="00CC484F">
              <w:rPr>
                <w:color w:val="000000"/>
                <w:sz w:val="22"/>
                <w:szCs w:val="22"/>
              </w:rPr>
              <w:instrText>\n          Using a single round HIV-1 infection assay, we tested RPV and DOR against a broad panel of NNRTI-resistant mutants to determine their respective activities. We also used molecular modeling to determine if the susceptibility profile of each compound was related to how they bind RT.\n          Results:</w:instrText>
            </w:r>
            <w:r w:rsidR="00CC484F">
              <w:rPr>
                <w:rFonts w:hint="eastAsia"/>
                <w:color w:val="000000"/>
                <w:sz w:val="22"/>
                <w:szCs w:val="22"/>
              </w:rPr>
              <w:instrText> </w:instrText>
            </w:r>
            <w:r w:rsidR="00CC484F">
              <w:rPr>
                <w:color w:val="000000"/>
                <w:sz w:val="22"/>
                <w:szCs w:val="22"/>
              </w:rPr>
              <w:instrText>\n          Several mutants displayed decreased susceptibility to DOR. However, with the exception of E138K, our data suggest that the mutations that reduce the potency of DOR and RPV are non-overlapping. Thus, these 2 NNRTIs have the potential to be used together in combination therapy. We also show that the location at which DOR and RPV bind with the NNRTI binding pocket of RT correlates with the differences in their respective susceptibility to the panel of NNRTI-resistance mutations.\n          Conclusions:</w:instrText>
            </w:r>
            <w:r w:rsidR="00CC484F">
              <w:rPr>
                <w:rFonts w:hint="eastAsia"/>
                <w:color w:val="000000"/>
                <w:sz w:val="22"/>
                <w:szCs w:val="22"/>
              </w:rPr>
              <w:instrText> </w:instrText>
            </w:r>
            <w:r w:rsidR="00CC484F">
              <w:rPr>
                <w:color w:val="000000"/>
                <w:sz w:val="22"/>
                <w:szCs w:val="22"/>
              </w:rPr>
              <w:instrText xml:space="preserve">\n          This shows that (1) DOR is susceptible to a number of well-known NNRTI resistance mutations and (2) an understanding of the mutational susceptibilities and binding interactions of NNRTIs with RT could be used to develop pairs of compounds with non-overlapping mutational susceptibilities.","container-title":"JAIDS Journal of Acquired Immune Deficiency Syndromes","DOI":"10.1097/QAI.0000000000001031","ISSN":"1525-4135","issue":"5","language":"en-US","page":"485","source":"journals.lww.com","title":"Rilpivirine and Doravirine Have Complementary Efficacies Against NNRTI-Resistant HIV-1 Mutants","volume":"72","author":[{"family":"Smith","given":"Steven J."},{"family":"Pauly","given":"Gary T."},{"family":"Akram","given":"Aamir"},{"family":"Melody","given":"Kevin"},{"family":"Ambrose","given":"Zandrea"},{"family":"Schneider","given":"Joel P."},{"family":"Hughes","given":"Stephen H."}],"issued":{"date-parts":[["2016",8,15]]}}}],"schema":"https://github.com/citation-style-language/schema/raw/master/csl-citation.json"} </w:instrText>
            </w:r>
            <w:r>
              <w:rPr>
                <w:color w:val="000000"/>
                <w:sz w:val="22"/>
                <w:szCs w:val="22"/>
              </w:rPr>
              <w:fldChar w:fldCharType="separate"/>
            </w:r>
            <w:r w:rsidR="00CC484F" w:rsidRPr="00CC484F">
              <w:rPr>
                <w:rFonts w:cs="Mangal"/>
                <w:color w:val="000000"/>
                <w:sz w:val="22"/>
                <w:szCs w:val="24"/>
                <w:vertAlign w:val="superscript"/>
                <w:lang w:bidi="hi-IN"/>
              </w:rPr>
              <w:t>61</w:t>
            </w:r>
            <w:r>
              <w:rPr>
                <w:color w:val="000000"/>
                <w:sz w:val="22"/>
                <w:szCs w:val="22"/>
              </w:rPr>
              <w:fldChar w:fldCharType="end"/>
            </w:r>
          </w:p>
        </w:tc>
      </w:tr>
      <w:tr w:rsidR="00BA0839" w:rsidRPr="00E536AD" w14:paraId="3F9F39E3" w14:textId="77777777" w:rsidTr="005A06D4">
        <w:trPr>
          <w:trHeight w:val="386"/>
        </w:trPr>
        <w:tc>
          <w:tcPr>
            <w:tcW w:w="1206" w:type="dxa"/>
            <w:tcBorders>
              <w:bottom w:val="single" w:sz="4" w:space="0" w:color="auto"/>
            </w:tcBorders>
          </w:tcPr>
          <w:p w14:paraId="35E51CA0" w14:textId="77777777" w:rsidR="00BA0839" w:rsidRPr="003968DD" w:rsidRDefault="00BA0839" w:rsidP="005A06D4">
            <w:pPr>
              <w:pStyle w:val="TCTableBody"/>
              <w:rPr>
                <w:rFonts w:ascii="Times New Roman" w:hAnsi="Times New Roman"/>
                <w:color w:val="000000"/>
                <w:sz w:val="22"/>
                <w:szCs w:val="22"/>
              </w:rPr>
            </w:pPr>
          </w:p>
        </w:tc>
        <w:tc>
          <w:tcPr>
            <w:tcW w:w="1648" w:type="dxa"/>
            <w:tcBorders>
              <w:bottom w:val="single" w:sz="4" w:space="0" w:color="auto"/>
            </w:tcBorders>
          </w:tcPr>
          <w:p w14:paraId="3187F22E" w14:textId="77777777" w:rsidR="00BA0839" w:rsidRPr="003968DD" w:rsidRDefault="00BA0839" w:rsidP="005A06D4">
            <w:pPr>
              <w:pStyle w:val="TCTableBody"/>
              <w:jc w:val="center"/>
              <w:rPr>
                <w:rFonts w:ascii="Times New Roman" w:hAnsi="Times New Roman"/>
                <w:sz w:val="22"/>
                <w:szCs w:val="22"/>
              </w:rPr>
            </w:pPr>
            <w:r>
              <w:rPr>
                <w:sz w:val="22"/>
                <w:szCs w:val="22"/>
              </w:rPr>
              <w:t>K103N+M230L</w:t>
            </w:r>
          </w:p>
        </w:tc>
        <w:tc>
          <w:tcPr>
            <w:tcW w:w="1504" w:type="dxa"/>
            <w:tcBorders>
              <w:bottom w:val="single" w:sz="4" w:space="0" w:color="auto"/>
            </w:tcBorders>
          </w:tcPr>
          <w:p w14:paraId="47629033" w14:textId="77777777" w:rsidR="00BA0839" w:rsidRPr="003968DD" w:rsidRDefault="00BA0839" w:rsidP="005A06D4">
            <w:pPr>
              <w:pStyle w:val="TCTableBody"/>
              <w:jc w:val="center"/>
              <w:rPr>
                <w:rFonts w:ascii="Times New Roman" w:hAnsi="Times New Roman"/>
                <w:sz w:val="22"/>
                <w:szCs w:val="22"/>
              </w:rPr>
            </w:pPr>
            <w:r>
              <w:rPr>
                <w:sz w:val="22"/>
                <w:szCs w:val="22"/>
              </w:rPr>
              <w:t>36</w:t>
            </w:r>
          </w:p>
        </w:tc>
        <w:tc>
          <w:tcPr>
            <w:tcW w:w="999" w:type="dxa"/>
            <w:tcBorders>
              <w:bottom w:val="single" w:sz="4" w:space="0" w:color="auto"/>
            </w:tcBorders>
          </w:tcPr>
          <w:p w14:paraId="2B42C4ED" w14:textId="77777777" w:rsidR="00BA0839" w:rsidRPr="003968DD" w:rsidRDefault="00BA0839" w:rsidP="005A06D4">
            <w:pPr>
              <w:pStyle w:val="TCTableBody"/>
              <w:jc w:val="center"/>
              <w:rPr>
                <w:rFonts w:ascii="Times New Roman" w:hAnsi="Times New Roman"/>
                <w:sz w:val="22"/>
                <w:szCs w:val="22"/>
              </w:rPr>
            </w:pPr>
            <w:r>
              <w:rPr>
                <w:sz w:val="22"/>
                <w:szCs w:val="22"/>
              </w:rPr>
              <w:t>1</w:t>
            </w:r>
          </w:p>
        </w:tc>
        <w:tc>
          <w:tcPr>
            <w:tcW w:w="2151" w:type="dxa"/>
            <w:tcBorders>
              <w:bottom w:val="single" w:sz="4" w:space="0" w:color="auto"/>
            </w:tcBorders>
          </w:tcPr>
          <w:p w14:paraId="3B898E1E" w14:textId="77777777" w:rsidR="00BA0839" w:rsidRPr="003968DD" w:rsidRDefault="00BA0839" w:rsidP="005A06D4">
            <w:pPr>
              <w:pStyle w:val="TCTableBody"/>
              <w:jc w:val="center"/>
              <w:rPr>
                <w:rFonts w:ascii="Times New Roman" w:hAnsi="Times New Roman"/>
                <w:sz w:val="22"/>
                <w:szCs w:val="22"/>
              </w:rPr>
            </w:pPr>
            <w:r>
              <w:rPr>
                <w:sz w:val="22"/>
                <w:szCs w:val="22"/>
              </w:rPr>
              <w:t>[36]</w:t>
            </w:r>
          </w:p>
        </w:tc>
        <w:tc>
          <w:tcPr>
            <w:tcW w:w="2050" w:type="dxa"/>
            <w:tcBorders>
              <w:bottom w:val="single" w:sz="4" w:space="0" w:color="auto"/>
            </w:tcBorders>
          </w:tcPr>
          <w:p w14:paraId="271DDC75" w14:textId="0DBAB43B"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Lai et al (2018)</w:t>
            </w:r>
            <w:r>
              <w:rPr>
                <w:color w:val="000000"/>
                <w:sz w:val="22"/>
                <w:szCs w:val="22"/>
              </w:rPr>
              <w:fldChar w:fldCharType="begin"/>
            </w:r>
            <w:r w:rsidR="00CC484F">
              <w:rPr>
                <w:color w:val="000000"/>
                <w:sz w:val="22"/>
                <w:szCs w:val="22"/>
              </w:rPr>
              <w:instrText xml:space="preserve"> ADDIN ZOTERO_ITEM CSL_CITATION {"citationID":"0N5BrjjB","properties":{"unsorted":false,"formattedCitation":"\\super 59\\nosupersub{}","plainCitation":"59","noteIndex":0},"citationItems":[{"id":208,"uris":["http://zotero.org/users/19404620/items/UIKXA4PH"],"itemData":{"id":208,"type":"webpage","publisher":"John Wiley &amp; Sons Ltd.","title":"Characterization of Doravirine-Selected Resistance Patterns From Participants in Treatment-Na</w:instrText>
            </w:r>
            <w:r w:rsidR="00CC484F">
              <w:rPr>
                <w:rFonts w:hint="eastAsia"/>
                <w:color w:val="000000"/>
                <w:sz w:val="22"/>
                <w:szCs w:val="22"/>
              </w:rPr>
              <w:instrText>ï</w:instrText>
            </w:r>
            <w:r w:rsidR="00CC484F">
              <w:rPr>
                <w:color w:val="000000"/>
                <w:sz w:val="22"/>
                <w:szCs w:val="22"/>
              </w:rPr>
              <w:instrText xml:space="preserve">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Pr>
                <w:color w:val="000000"/>
                <w:sz w:val="22"/>
                <w:szCs w:val="22"/>
              </w:rPr>
              <w:fldChar w:fldCharType="separate"/>
            </w:r>
            <w:r w:rsidR="00CC484F" w:rsidRPr="00CC484F">
              <w:rPr>
                <w:rFonts w:cs="Mangal"/>
                <w:color w:val="000000"/>
                <w:sz w:val="22"/>
                <w:szCs w:val="24"/>
                <w:vertAlign w:val="superscript"/>
                <w:lang w:bidi="hi-IN"/>
              </w:rPr>
              <w:t>59</w:t>
            </w:r>
            <w:r>
              <w:rPr>
                <w:color w:val="000000"/>
                <w:sz w:val="22"/>
                <w:szCs w:val="22"/>
              </w:rPr>
              <w:fldChar w:fldCharType="end"/>
            </w:r>
          </w:p>
        </w:tc>
      </w:tr>
      <w:tr w:rsidR="00BA0839" w:rsidRPr="00E536AD" w14:paraId="76C3AAD1" w14:textId="77777777" w:rsidTr="005A06D4">
        <w:trPr>
          <w:trHeight w:val="340"/>
        </w:trPr>
        <w:tc>
          <w:tcPr>
            <w:tcW w:w="1206" w:type="dxa"/>
            <w:vMerge w:val="restart"/>
            <w:tcBorders>
              <w:top w:val="single" w:sz="4" w:space="0" w:color="auto"/>
            </w:tcBorders>
            <w:vAlign w:val="center"/>
            <w:hideMark/>
          </w:tcPr>
          <w:p w14:paraId="5A7C9AF2" w14:textId="77777777" w:rsidR="00BA0839" w:rsidRPr="003968DD" w:rsidRDefault="00BA0839" w:rsidP="005A06D4">
            <w:pPr>
              <w:pStyle w:val="TCTableBody"/>
              <w:jc w:val="center"/>
              <w:rPr>
                <w:rFonts w:ascii="Times New Roman" w:hAnsi="Times New Roman"/>
                <w:b/>
                <w:bCs/>
                <w:i/>
                <w:iCs/>
                <w:color w:val="000000"/>
                <w:sz w:val="22"/>
                <w:szCs w:val="22"/>
              </w:rPr>
            </w:pPr>
            <w:r>
              <w:rPr>
                <w:b/>
                <w:bCs/>
                <w:i/>
                <w:iCs/>
                <w:color w:val="000000"/>
                <w:sz w:val="22"/>
                <w:szCs w:val="22"/>
              </w:rPr>
              <w:t xml:space="preserve">Uncertain </w:t>
            </w:r>
          </w:p>
        </w:tc>
        <w:tc>
          <w:tcPr>
            <w:tcW w:w="1648" w:type="dxa"/>
            <w:tcBorders>
              <w:top w:val="single" w:sz="4" w:space="0" w:color="auto"/>
            </w:tcBorders>
            <w:hideMark/>
          </w:tcPr>
          <w:p w14:paraId="79511BD0"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V106M</w:t>
            </w:r>
          </w:p>
        </w:tc>
        <w:tc>
          <w:tcPr>
            <w:tcW w:w="1504" w:type="dxa"/>
            <w:tcBorders>
              <w:top w:val="single" w:sz="4" w:space="0" w:color="auto"/>
            </w:tcBorders>
            <w:hideMark/>
          </w:tcPr>
          <w:p w14:paraId="37A4FBF7"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3.4</w:t>
            </w:r>
          </w:p>
        </w:tc>
        <w:tc>
          <w:tcPr>
            <w:tcW w:w="999" w:type="dxa"/>
            <w:tcBorders>
              <w:top w:val="single" w:sz="4" w:space="0" w:color="auto"/>
            </w:tcBorders>
            <w:hideMark/>
          </w:tcPr>
          <w:p w14:paraId="4F6300E1"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w:t>
            </w:r>
          </w:p>
        </w:tc>
        <w:tc>
          <w:tcPr>
            <w:tcW w:w="2151" w:type="dxa"/>
            <w:tcBorders>
              <w:top w:val="single" w:sz="4" w:space="0" w:color="auto"/>
            </w:tcBorders>
            <w:hideMark/>
          </w:tcPr>
          <w:p w14:paraId="2425A2E3"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[3.4]</w:t>
            </w:r>
          </w:p>
        </w:tc>
        <w:tc>
          <w:tcPr>
            <w:tcW w:w="2050" w:type="dxa"/>
            <w:tcBorders>
              <w:top w:val="single" w:sz="4" w:space="0" w:color="auto"/>
            </w:tcBorders>
            <w:hideMark/>
          </w:tcPr>
          <w:p w14:paraId="52E6AE90" w14:textId="77777777"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Lai et al (2014)</w:t>
            </w:r>
            <w:r>
              <w:rPr>
                <w:color w:val="000000"/>
                <w:sz w:val="22"/>
                <w:szCs w:val="22"/>
              </w:rPr>
              <w:fldChar w:fldCharType="begin"/>
            </w:r>
            <w:r>
              <w:rPr>
                <w:color w:val="000000"/>
                <w:sz w:val="22"/>
                <w:szCs w:val="22"/>
              </w:rPr>
              <w:instrText xml:space="preserve"> ADDIN ZOTERO_ITEM CSL_CITATION {"citationID":"5ImOAsH1","properties":{"unsorted":false,"formattedCitation":"\\super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w:instrText>
            </w:r>
            <w:r>
              <w:rPr>
                <w:rFonts w:hint="eastAsia"/>
                <w:color w:val="000000"/>
                <w:sz w:val="22"/>
                <w:szCs w:val="22"/>
              </w:rPr>
              <w:instrText>ô</w:instrText>
            </w:r>
            <w:r>
              <w:rPr>
                <w:color w:val="000000"/>
                <w:sz w:val="22"/>
                <w:szCs w:val="22"/>
              </w:rPr>
              <w:instrText>t</w:instrText>
            </w:r>
            <w:r>
              <w:rPr>
                <w:rFonts w:hint="eastAsia"/>
                <w:color w:val="000000"/>
                <w:sz w:val="22"/>
                <w:szCs w:val="22"/>
              </w:rPr>
              <w:instrText>é</w:instrText>
            </w:r>
            <w:r>
              <w:rPr>
                <w:color w:val="000000"/>
                <w:sz w:val="22"/>
                <w:szCs w:val="22"/>
              </w:rPr>
              <w:instrText xml:space="preserve">","given":"Bernard"},{"family":"Asante-Appiah","given":"Ernest"},{"family":"Hazuda","given":"Daria J."},{"family":"Miller","given":"Michael D."}],"issued":{"date-parts":[["2014",12]]}}}],"schema":"https://github.com/citation-style-language/schema/raw/master/csl-citation.json"} </w:instrText>
            </w:r>
            <w:r>
              <w:rPr>
                <w:color w:val="000000"/>
                <w:sz w:val="22"/>
                <w:szCs w:val="22"/>
              </w:rPr>
              <w:fldChar w:fldCharType="separate"/>
            </w:r>
            <w:r>
              <w:rPr>
                <w:color w:val="000000"/>
                <w:sz w:val="22"/>
                <w:szCs w:val="22"/>
                <w:vertAlign w:val="superscript"/>
              </w:rPr>
              <w:t>17</w:t>
            </w:r>
            <w:r>
              <w:rPr>
                <w:color w:val="000000"/>
                <w:sz w:val="22"/>
                <w:szCs w:val="22"/>
              </w:rPr>
              <w:fldChar w:fldCharType="end"/>
            </w:r>
          </w:p>
        </w:tc>
      </w:tr>
      <w:tr w:rsidR="00BA0839" w:rsidRPr="00E536AD" w14:paraId="2AFE0EAB" w14:textId="77777777" w:rsidTr="005A06D4">
        <w:trPr>
          <w:trHeight w:val="467"/>
        </w:trPr>
        <w:tc>
          <w:tcPr>
            <w:tcW w:w="1206" w:type="dxa"/>
            <w:vMerge/>
            <w:hideMark/>
          </w:tcPr>
          <w:p w14:paraId="4B7D1254" w14:textId="77777777" w:rsidR="00BA0839" w:rsidRPr="003968DD" w:rsidRDefault="00BA0839" w:rsidP="005A06D4">
            <w:pPr>
              <w:spacing w:line="480" w:lineRule="auto"/>
              <w:rPr>
                <w:rFonts w:ascii="Times New Roman" w:hAnsi="Times New Roman"/>
                <w:color w:val="000000"/>
                <w:sz w:val="22"/>
                <w:szCs w:val="22"/>
              </w:rPr>
            </w:pPr>
          </w:p>
        </w:tc>
        <w:tc>
          <w:tcPr>
            <w:tcW w:w="1648" w:type="dxa"/>
            <w:hideMark/>
          </w:tcPr>
          <w:p w14:paraId="18350AD7"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G190S</w:t>
            </w:r>
          </w:p>
        </w:tc>
        <w:tc>
          <w:tcPr>
            <w:tcW w:w="1504" w:type="dxa"/>
            <w:hideMark/>
          </w:tcPr>
          <w:p w14:paraId="45EDAA47"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5.2</w:t>
            </w:r>
          </w:p>
        </w:tc>
        <w:tc>
          <w:tcPr>
            <w:tcW w:w="999" w:type="dxa"/>
            <w:hideMark/>
          </w:tcPr>
          <w:p w14:paraId="49AA4D45"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4</w:t>
            </w:r>
          </w:p>
        </w:tc>
        <w:tc>
          <w:tcPr>
            <w:tcW w:w="2151" w:type="dxa"/>
            <w:hideMark/>
          </w:tcPr>
          <w:p w14:paraId="256323FD"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[1.5, 4.5, 5.9, 11]</w:t>
            </w:r>
          </w:p>
        </w:tc>
        <w:tc>
          <w:tcPr>
            <w:tcW w:w="2050" w:type="dxa"/>
            <w:hideMark/>
          </w:tcPr>
          <w:p w14:paraId="6768652B" w14:textId="77777777"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Lai et al (2014)</w:t>
            </w:r>
            <w:r>
              <w:rPr>
                <w:color w:val="000000"/>
                <w:sz w:val="22"/>
                <w:szCs w:val="22"/>
              </w:rPr>
              <w:fldChar w:fldCharType="begin"/>
            </w:r>
            <w:r>
              <w:rPr>
                <w:color w:val="000000"/>
                <w:sz w:val="22"/>
                <w:szCs w:val="22"/>
              </w:rPr>
              <w:instrText xml:space="preserve"> ADDIN ZOTERO_ITEM CSL_CITATION {"citationID":"KFT3tPG6","properties":{"unsorted":false,"formattedCitation":"\\super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w:instrText>
            </w:r>
            <w:r>
              <w:rPr>
                <w:rFonts w:hint="eastAsia"/>
                <w:color w:val="000000"/>
                <w:sz w:val="22"/>
                <w:szCs w:val="22"/>
              </w:rPr>
              <w:instrText>ô</w:instrText>
            </w:r>
            <w:r>
              <w:rPr>
                <w:color w:val="000000"/>
                <w:sz w:val="22"/>
                <w:szCs w:val="22"/>
              </w:rPr>
              <w:instrText>t</w:instrText>
            </w:r>
            <w:r>
              <w:rPr>
                <w:rFonts w:hint="eastAsia"/>
                <w:color w:val="000000"/>
                <w:sz w:val="22"/>
                <w:szCs w:val="22"/>
              </w:rPr>
              <w:instrText>é</w:instrText>
            </w:r>
            <w:r>
              <w:rPr>
                <w:color w:val="000000"/>
                <w:sz w:val="22"/>
                <w:szCs w:val="22"/>
              </w:rPr>
              <w:instrText xml:space="preserve">","given":"Bernard"},{"family":"Asante-Appiah","given":"Ernest"},{"family":"Hazuda","given":"Daria J."},{"family":"Miller","given":"Michael D."}],"issued":{"date-parts":[["2014",12]]}}}],"schema":"https://github.com/citation-style-language/schema/raw/master/csl-citation.json"} </w:instrText>
            </w:r>
            <w:r>
              <w:rPr>
                <w:color w:val="000000"/>
                <w:sz w:val="22"/>
                <w:szCs w:val="22"/>
              </w:rPr>
              <w:fldChar w:fldCharType="separate"/>
            </w:r>
            <w:r>
              <w:rPr>
                <w:color w:val="000000"/>
                <w:sz w:val="22"/>
                <w:szCs w:val="22"/>
                <w:vertAlign w:val="superscript"/>
              </w:rPr>
              <w:t>17</w:t>
            </w:r>
            <w:r>
              <w:rPr>
                <w:color w:val="000000"/>
                <w:sz w:val="22"/>
                <w:szCs w:val="22"/>
              </w:rPr>
              <w:fldChar w:fldCharType="end"/>
            </w:r>
          </w:p>
        </w:tc>
      </w:tr>
      <w:tr w:rsidR="00BA0839" w:rsidRPr="00E536AD" w14:paraId="25DBC1AE" w14:textId="77777777" w:rsidTr="005A06D4">
        <w:trPr>
          <w:trHeight w:val="521"/>
        </w:trPr>
        <w:tc>
          <w:tcPr>
            <w:tcW w:w="1206" w:type="dxa"/>
            <w:vMerge/>
            <w:hideMark/>
          </w:tcPr>
          <w:p w14:paraId="6F858D1C" w14:textId="77777777" w:rsidR="00BA0839" w:rsidRPr="003968DD" w:rsidRDefault="00BA0839" w:rsidP="005A06D4">
            <w:pPr>
              <w:spacing w:line="480" w:lineRule="auto"/>
              <w:rPr>
                <w:rFonts w:ascii="Times New Roman" w:hAnsi="Times New Roman"/>
                <w:color w:val="000000"/>
                <w:sz w:val="22"/>
                <w:szCs w:val="22"/>
              </w:rPr>
            </w:pPr>
          </w:p>
        </w:tc>
        <w:tc>
          <w:tcPr>
            <w:tcW w:w="1648" w:type="dxa"/>
            <w:hideMark/>
          </w:tcPr>
          <w:p w14:paraId="718366F3"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L100I+K103N</w:t>
            </w:r>
          </w:p>
        </w:tc>
        <w:tc>
          <w:tcPr>
            <w:tcW w:w="1504" w:type="dxa"/>
            <w:hideMark/>
          </w:tcPr>
          <w:p w14:paraId="59117B2D"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6.8</w:t>
            </w:r>
          </w:p>
        </w:tc>
        <w:tc>
          <w:tcPr>
            <w:tcW w:w="999" w:type="dxa"/>
            <w:hideMark/>
          </w:tcPr>
          <w:p w14:paraId="0EAF53C7"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8</w:t>
            </w:r>
          </w:p>
        </w:tc>
        <w:tc>
          <w:tcPr>
            <w:tcW w:w="2151" w:type="dxa"/>
            <w:hideMark/>
          </w:tcPr>
          <w:p w14:paraId="772DB861"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[2.7, 4.5, 4.6, 5.1, 8.4, 10, 11, 19]</w:t>
            </w:r>
          </w:p>
        </w:tc>
        <w:tc>
          <w:tcPr>
            <w:tcW w:w="2050" w:type="dxa"/>
            <w:hideMark/>
          </w:tcPr>
          <w:p w14:paraId="30075F32" w14:textId="77777777"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Lai et al (2014)</w:t>
            </w:r>
            <w:r>
              <w:rPr>
                <w:color w:val="000000"/>
                <w:sz w:val="22"/>
                <w:szCs w:val="22"/>
              </w:rPr>
              <w:fldChar w:fldCharType="begin"/>
            </w:r>
            <w:r>
              <w:rPr>
                <w:color w:val="000000"/>
                <w:sz w:val="22"/>
                <w:szCs w:val="22"/>
              </w:rPr>
              <w:instrText xml:space="preserve"> ADDIN ZOTERO_ITEM CSL_CITATION {"citationID":"pekGNnut","properties":{"unsorted":false,"formattedCitation":"\\super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w:instrText>
            </w:r>
            <w:r>
              <w:rPr>
                <w:rFonts w:hint="eastAsia"/>
                <w:color w:val="000000"/>
                <w:sz w:val="22"/>
                <w:szCs w:val="22"/>
              </w:rPr>
              <w:instrText>ô</w:instrText>
            </w:r>
            <w:r>
              <w:rPr>
                <w:color w:val="000000"/>
                <w:sz w:val="22"/>
                <w:szCs w:val="22"/>
              </w:rPr>
              <w:instrText>t</w:instrText>
            </w:r>
            <w:r>
              <w:rPr>
                <w:rFonts w:hint="eastAsia"/>
                <w:color w:val="000000"/>
                <w:sz w:val="22"/>
                <w:szCs w:val="22"/>
              </w:rPr>
              <w:instrText>é</w:instrText>
            </w:r>
            <w:r>
              <w:rPr>
                <w:color w:val="000000"/>
                <w:sz w:val="22"/>
                <w:szCs w:val="22"/>
              </w:rPr>
              <w:instrText xml:space="preserve">","given":"Bernard"},{"family":"Asante-Appiah","given":"Ernest"},{"family":"Hazuda","given":"Daria J."},{"family":"Miller","given":"Michael D."}],"issued":{"date-parts":[["2014",12]]}}}],"schema":"https://github.com/citation-style-language/schema/raw/master/csl-citation.json"} </w:instrText>
            </w:r>
            <w:r>
              <w:rPr>
                <w:color w:val="000000"/>
                <w:sz w:val="22"/>
                <w:szCs w:val="22"/>
              </w:rPr>
              <w:fldChar w:fldCharType="separate"/>
            </w:r>
            <w:r>
              <w:rPr>
                <w:color w:val="000000"/>
                <w:sz w:val="22"/>
                <w:szCs w:val="22"/>
                <w:vertAlign w:val="superscript"/>
              </w:rPr>
              <w:t>17</w:t>
            </w:r>
            <w:r>
              <w:rPr>
                <w:color w:val="000000"/>
                <w:sz w:val="22"/>
                <w:szCs w:val="22"/>
              </w:rPr>
              <w:fldChar w:fldCharType="end"/>
            </w:r>
          </w:p>
        </w:tc>
      </w:tr>
      <w:tr w:rsidR="00BA0839" w:rsidRPr="00E536AD" w14:paraId="62FCFAD9" w14:textId="77777777" w:rsidTr="005A06D4">
        <w:trPr>
          <w:trHeight w:val="350"/>
        </w:trPr>
        <w:tc>
          <w:tcPr>
            <w:tcW w:w="1206" w:type="dxa"/>
            <w:vMerge/>
            <w:hideMark/>
          </w:tcPr>
          <w:p w14:paraId="7AA1F2BE" w14:textId="77777777" w:rsidR="00BA0839" w:rsidRPr="003968DD" w:rsidRDefault="00BA0839" w:rsidP="005A06D4">
            <w:pPr>
              <w:spacing w:line="480" w:lineRule="auto"/>
              <w:rPr>
                <w:rFonts w:ascii="Times New Roman" w:hAnsi="Times New Roman"/>
                <w:color w:val="000000"/>
                <w:sz w:val="22"/>
                <w:szCs w:val="22"/>
              </w:rPr>
            </w:pPr>
          </w:p>
        </w:tc>
        <w:tc>
          <w:tcPr>
            <w:tcW w:w="1648" w:type="dxa"/>
            <w:hideMark/>
          </w:tcPr>
          <w:p w14:paraId="31EA6E9E"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K103N+P225H</w:t>
            </w:r>
          </w:p>
        </w:tc>
        <w:tc>
          <w:tcPr>
            <w:tcW w:w="1504" w:type="dxa"/>
            <w:hideMark/>
          </w:tcPr>
          <w:p w14:paraId="09A2662A"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7.8</w:t>
            </w:r>
          </w:p>
        </w:tc>
        <w:tc>
          <w:tcPr>
            <w:tcW w:w="999" w:type="dxa"/>
            <w:hideMark/>
          </w:tcPr>
          <w:p w14:paraId="363606AA"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2</w:t>
            </w:r>
          </w:p>
        </w:tc>
        <w:tc>
          <w:tcPr>
            <w:tcW w:w="2151" w:type="dxa"/>
            <w:hideMark/>
          </w:tcPr>
          <w:p w14:paraId="51AA8471" w14:textId="77777777" w:rsidR="00BA0839" w:rsidRPr="003968DD" w:rsidRDefault="00BA0839" w:rsidP="005A06D4">
            <w:pPr>
              <w:pStyle w:val="TCTableBody"/>
              <w:jc w:val="center"/>
              <w:rPr>
                <w:rFonts w:ascii="Times New Roman" w:hAnsi="Times New Roman"/>
                <w:color w:val="000000"/>
                <w:sz w:val="22"/>
                <w:szCs w:val="22"/>
              </w:rPr>
            </w:pPr>
            <w:r>
              <w:rPr>
                <w:sz w:val="22"/>
                <w:szCs w:val="22"/>
              </w:rPr>
              <w:t>[5.7, 10]</w:t>
            </w:r>
          </w:p>
        </w:tc>
        <w:tc>
          <w:tcPr>
            <w:tcW w:w="2050" w:type="dxa"/>
            <w:hideMark/>
          </w:tcPr>
          <w:p w14:paraId="15A7D758" w14:textId="77777777"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Lai et al (2014)</w:t>
            </w:r>
            <w:r>
              <w:rPr>
                <w:color w:val="000000"/>
                <w:sz w:val="22"/>
                <w:szCs w:val="22"/>
              </w:rPr>
              <w:fldChar w:fldCharType="begin"/>
            </w:r>
            <w:r>
              <w:rPr>
                <w:color w:val="000000"/>
                <w:sz w:val="22"/>
                <w:szCs w:val="22"/>
              </w:rPr>
              <w:instrText xml:space="preserve"> ADDIN ZOTERO_ITEM CSL_CITATION {"citationID":"dk8ipzQr","properties":{"unsorted":false,"formattedCitation":"\\super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w:instrText>
            </w:r>
            <w:r>
              <w:rPr>
                <w:rFonts w:hint="eastAsia"/>
                <w:color w:val="000000"/>
                <w:sz w:val="22"/>
                <w:szCs w:val="22"/>
              </w:rPr>
              <w:instrText>ô</w:instrText>
            </w:r>
            <w:r>
              <w:rPr>
                <w:color w:val="000000"/>
                <w:sz w:val="22"/>
                <w:szCs w:val="22"/>
              </w:rPr>
              <w:instrText>t</w:instrText>
            </w:r>
            <w:r>
              <w:rPr>
                <w:rFonts w:hint="eastAsia"/>
                <w:color w:val="000000"/>
                <w:sz w:val="22"/>
                <w:szCs w:val="22"/>
              </w:rPr>
              <w:instrText>é</w:instrText>
            </w:r>
            <w:r>
              <w:rPr>
                <w:color w:val="000000"/>
                <w:sz w:val="22"/>
                <w:szCs w:val="22"/>
              </w:rPr>
              <w:instrText xml:space="preserve">","given":"Bernard"},{"family":"Asante-Appiah","given":"Ernest"},{"family":"Hazuda","given":"Daria J."},{"family":"Miller","given":"Michael D."}],"issued":{"date-parts":[["2014",12]]}}}],"schema":"https://github.com/citation-style-language/schema/raw/master/csl-citation.json"} </w:instrText>
            </w:r>
            <w:r>
              <w:rPr>
                <w:color w:val="000000"/>
                <w:sz w:val="22"/>
                <w:szCs w:val="22"/>
              </w:rPr>
              <w:fldChar w:fldCharType="separate"/>
            </w:r>
            <w:r>
              <w:rPr>
                <w:color w:val="000000"/>
                <w:sz w:val="22"/>
                <w:szCs w:val="22"/>
                <w:vertAlign w:val="superscript"/>
              </w:rPr>
              <w:t>17</w:t>
            </w:r>
            <w:r>
              <w:rPr>
                <w:color w:val="000000"/>
                <w:sz w:val="22"/>
                <w:szCs w:val="22"/>
              </w:rPr>
              <w:fldChar w:fldCharType="end"/>
            </w:r>
          </w:p>
        </w:tc>
      </w:tr>
      <w:tr w:rsidR="00BA0839" w:rsidRPr="00E536AD" w14:paraId="7345CE72" w14:textId="77777777" w:rsidTr="005A06D4">
        <w:trPr>
          <w:trHeight w:val="350"/>
        </w:trPr>
        <w:tc>
          <w:tcPr>
            <w:tcW w:w="1206" w:type="dxa"/>
            <w:vMerge/>
            <w:tcBorders>
              <w:bottom w:val="single" w:sz="4" w:space="0" w:color="auto"/>
            </w:tcBorders>
          </w:tcPr>
          <w:p w14:paraId="1E30334C" w14:textId="77777777" w:rsidR="00BA0839" w:rsidRPr="003968DD" w:rsidRDefault="00BA0839" w:rsidP="005A06D4">
            <w:pPr>
              <w:spacing w:line="480" w:lineRule="auto"/>
              <w:rPr>
                <w:rFonts w:ascii="Times New Roman" w:hAnsi="Times New Roman"/>
                <w:color w:val="000000"/>
                <w:sz w:val="22"/>
                <w:szCs w:val="22"/>
              </w:rPr>
            </w:pPr>
          </w:p>
        </w:tc>
        <w:tc>
          <w:tcPr>
            <w:tcW w:w="1648" w:type="dxa"/>
            <w:tcBorders>
              <w:bottom w:val="single" w:sz="4" w:space="0" w:color="auto"/>
            </w:tcBorders>
          </w:tcPr>
          <w:p w14:paraId="3A2CA3A1" w14:textId="77777777" w:rsidR="00BA0839" w:rsidRPr="003968DD" w:rsidRDefault="00BA0839" w:rsidP="005A06D4">
            <w:pPr>
              <w:pStyle w:val="TCTableBody"/>
              <w:jc w:val="center"/>
              <w:rPr>
                <w:rFonts w:ascii="Times New Roman" w:hAnsi="Times New Roman"/>
                <w:sz w:val="22"/>
                <w:szCs w:val="22"/>
              </w:rPr>
            </w:pPr>
            <w:r>
              <w:rPr>
                <w:sz w:val="22"/>
                <w:szCs w:val="22"/>
              </w:rPr>
              <w:t>G190E</w:t>
            </w:r>
          </w:p>
        </w:tc>
        <w:tc>
          <w:tcPr>
            <w:tcW w:w="1504" w:type="dxa"/>
            <w:tcBorders>
              <w:bottom w:val="single" w:sz="4" w:space="0" w:color="auto"/>
            </w:tcBorders>
          </w:tcPr>
          <w:p w14:paraId="5D8E3A18" w14:textId="77777777" w:rsidR="00BA0839" w:rsidRPr="003968DD" w:rsidRDefault="00BA0839" w:rsidP="005A06D4">
            <w:pPr>
              <w:pStyle w:val="TCTableBody"/>
              <w:jc w:val="center"/>
              <w:rPr>
                <w:rFonts w:ascii="Times New Roman" w:hAnsi="Times New Roman"/>
                <w:sz w:val="22"/>
                <w:szCs w:val="22"/>
              </w:rPr>
            </w:pPr>
            <w:r>
              <w:rPr>
                <w:sz w:val="22"/>
                <w:szCs w:val="22"/>
              </w:rPr>
              <w:t>18</w:t>
            </w:r>
          </w:p>
        </w:tc>
        <w:tc>
          <w:tcPr>
            <w:tcW w:w="999" w:type="dxa"/>
            <w:tcBorders>
              <w:bottom w:val="single" w:sz="4" w:space="0" w:color="auto"/>
            </w:tcBorders>
          </w:tcPr>
          <w:p w14:paraId="3457860F" w14:textId="77777777" w:rsidR="00BA0839" w:rsidRPr="003968DD" w:rsidRDefault="00BA0839" w:rsidP="005A06D4">
            <w:pPr>
              <w:pStyle w:val="TCTableBody"/>
              <w:jc w:val="center"/>
              <w:rPr>
                <w:rFonts w:ascii="Times New Roman" w:hAnsi="Times New Roman"/>
                <w:sz w:val="22"/>
                <w:szCs w:val="22"/>
              </w:rPr>
            </w:pPr>
            <w:r>
              <w:rPr>
                <w:sz w:val="22"/>
                <w:szCs w:val="22"/>
              </w:rPr>
              <w:t>1</w:t>
            </w:r>
          </w:p>
        </w:tc>
        <w:tc>
          <w:tcPr>
            <w:tcW w:w="2151" w:type="dxa"/>
            <w:tcBorders>
              <w:bottom w:val="single" w:sz="4" w:space="0" w:color="auto"/>
            </w:tcBorders>
          </w:tcPr>
          <w:p w14:paraId="1CBEB109" w14:textId="77777777" w:rsidR="00BA0839" w:rsidRPr="003968DD" w:rsidRDefault="00BA0839" w:rsidP="005A06D4">
            <w:pPr>
              <w:pStyle w:val="TCTableBody"/>
              <w:jc w:val="center"/>
              <w:rPr>
                <w:rFonts w:ascii="Times New Roman" w:hAnsi="Times New Roman"/>
                <w:sz w:val="22"/>
                <w:szCs w:val="22"/>
              </w:rPr>
            </w:pPr>
            <w:r>
              <w:rPr>
                <w:sz w:val="22"/>
                <w:szCs w:val="22"/>
              </w:rPr>
              <w:t>[18]</w:t>
            </w:r>
          </w:p>
        </w:tc>
        <w:tc>
          <w:tcPr>
            <w:tcW w:w="2050" w:type="dxa"/>
            <w:tcBorders>
              <w:bottom w:val="single" w:sz="4" w:space="0" w:color="auto"/>
            </w:tcBorders>
          </w:tcPr>
          <w:p w14:paraId="5A9A79F7" w14:textId="5A3F53E2" w:rsidR="00BA0839" w:rsidRPr="003968DD" w:rsidRDefault="00BA0839" w:rsidP="005A06D4">
            <w:pPr>
              <w:pStyle w:val="TCTableBody"/>
              <w:jc w:val="center"/>
              <w:rPr>
                <w:rFonts w:ascii="Times New Roman" w:hAnsi="Times New Roman"/>
                <w:color w:val="000000"/>
                <w:sz w:val="22"/>
                <w:szCs w:val="22"/>
              </w:rPr>
            </w:pPr>
            <w:r>
              <w:rPr>
                <w:color w:val="000000"/>
                <w:sz w:val="22"/>
                <w:szCs w:val="22"/>
              </w:rPr>
              <w:t>Lai et al (2018)</w:t>
            </w:r>
            <w:r>
              <w:rPr>
                <w:color w:val="000000"/>
                <w:sz w:val="22"/>
                <w:szCs w:val="22"/>
              </w:rPr>
              <w:fldChar w:fldCharType="begin"/>
            </w:r>
            <w:r w:rsidR="00CC484F">
              <w:rPr>
                <w:color w:val="000000"/>
                <w:sz w:val="22"/>
                <w:szCs w:val="22"/>
              </w:rPr>
              <w:instrText xml:space="preserve"> ADDIN ZOTERO_ITEM CSL_CITATION {"citationID":"clMt889n","properties":{"unsorted":false,"formattedCitation":"\\super 59\\nosupersub{}","plainCitation":"59","noteIndex":0},"citationItems":[{"id":208,"uris":["http://zotero.org/users/19404620/items/UIKXA4PH"],"itemData":{"id":208,"type":"webpage","publisher":"John Wiley &amp; Sons Ltd.","title":"Characterization of Doravirine-Selected Resistance Patterns From Participants in Treatment-Na</w:instrText>
            </w:r>
            <w:r w:rsidR="00CC484F">
              <w:rPr>
                <w:rFonts w:hint="eastAsia"/>
                <w:color w:val="000000"/>
                <w:sz w:val="22"/>
                <w:szCs w:val="22"/>
              </w:rPr>
              <w:instrText>ï</w:instrText>
            </w:r>
            <w:r w:rsidR="00CC484F">
              <w:rPr>
                <w:color w:val="000000"/>
                <w:sz w:val="22"/>
                <w:szCs w:val="22"/>
              </w:rPr>
              <w:instrText xml:space="preserve">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Pr>
                <w:color w:val="000000"/>
                <w:sz w:val="22"/>
                <w:szCs w:val="22"/>
              </w:rPr>
              <w:fldChar w:fldCharType="separate"/>
            </w:r>
            <w:r w:rsidR="00CC484F" w:rsidRPr="00CC484F">
              <w:rPr>
                <w:rFonts w:cs="Mangal"/>
                <w:color w:val="000000"/>
                <w:sz w:val="22"/>
                <w:szCs w:val="24"/>
                <w:vertAlign w:val="superscript"/>
                <w:lang w:bidi="hi-IN"/>
              </w:rPr>
              <w:t>59</w:t>
            </w:r>
            <w:r>
              <w:rPr>
                <w:color w:val="000000"/>
                <w:sz w:val="22"/>
                <w:szCs w:val="22"/>
              </w:rPr>
              <w:fldChar w:fldCharType="end"/>
            </w:r>
          </w:p>
        </w:tc>
      </w:tr>
    </w:tbl>
    <w:p w14:paraId="580DE3D3" w14:textId="77777777" w:rsidR="000E15E2" w:rsidRPr="00E536AD" w:rsidRDefault="000E15E2" w:rsidP="000E15E2">
      <w:pPr>
        <w:rPr>
          <w:rFonts w:ascii="Times New Roman" w:hAnsi="Times New Roman"/>
        </w:rPr>
      </w:pPr>
    </w:p>
    <w:p w14:paraId="27E9EB99" w14:textId="77777777" w:rsidR="009D30A5" w:rsidRPr="00E536AD" w:rsidRDefault="009D30A5" w:rsidP="009D30A5">
      <w:pPr>
        <w:pStyle w:val="TAMainText"/>
        <w:rPr>
          <w:rFonts w:ascii="Times New Roman" w:hAnsi="Times New Roman"/>
          <w:b/>
          <w:bCs/>
          <w:szCs w:val="24"/>
          <w:u w:val="single"/>
        </w:rPr>
      </w:pPr>
      <w:r>
        <w:rPr>
          <w:b/>
          <w:bCs/>
          <w:u w:val="single"/>
        </w:rPr>
        <w:t>RT-DOR binding free energy analyses</w:t>
      </w:r>
    </w:p>
    <w:p w14:paraId="54000D2B" w14:textId="77777777" w:rsidR="004240A7" w:rsidRPr="00E536AD" w:rsidRDefault="003E5220" w:rsidP="006A3456">
      <w:pPr>
        <w:pStyle w:val="TAMainText"/>
        <w:spacing w:after="240"/>
        <w:rPr>
          <w:rFonts w:ascii="Times New Roman" w:hAnsi="Times New Roman"/>
          <w:szCs w:val="24"/>
        </w:rPr>
      </w:pPr>
      <w:r>
        <w:t xml:space="preserve">Starting from the published X-ray crystal structure of WT RT bound to DOR (Figure 1), we introduced each mutation </w:t>
      </w:r>
      <w:r>
        <w:rPr>
          <w:i/>
          <w:iCs/>
        </w:rPr>
        <w:t>in silico</w:t>
      </w:r>
      <w:r>
        <w:t xml:space="preserve"> and applied restrained followed by unrestrained energy minimization to generate 18 mutant RT-DOR complex structures corresponding to the curated genotype panel described above. The RT variant sequences simulated in this study are provided in Supplementary Table 2.</w:t>
      </w:r>
    </w:p>
    <w:p w14:paraId="21061A7E" w14:textId="1523B61D" w:rsidR="004240A7" w:rsidRPr="00E536AD" w:rsidRDefault="004240A7" w:rsidP="004240A7">
      <w:pPr>
        <w:pStyle w:val="TAMainText"/>
        <w:spacing w:before="240" w:after="240"/>
        <w:rPr>
          <w:rFonts w:ascii="Times New Roman" w:hAnsi="Times New Roman"/>
          <w:szCs w:val="24"/>
        </w:rPr>
      </w:pPr>
      <w:r>
        <w:t>For each system, we ran three independent 100ns all-atom, explicit-solvent production simulations. Since RT undergoes domain rearrangements on the millisecond timescale,</w:t>
      </w:r>
      <w:r>
        <w:fldChar w:fldCharType="begin"/>
      </w:r>
      <w:r w:rsidR="00CC484F">
        <w:instrText xml:space="preserve"> ADDIN ZOTERO_ITEM CSL_CITATION {"citationID":"7g77Zrf7","properties":{"unsorted":false,"formattedCitation":"\\super 62\\nosupersub{}","plainCitation":"62","noteIndex":0},"citationItems":[{"id":314,"uris":["http://zotero.org/users/19404620/items/IZKA6784"],"itemData":{"id":314,"type":"article-journal","abstract":"Single turnover studies on HIV reverse transcriptase suggest that nucleoside analogs bind more tightly to the enzyme than normal substrates, contrary to rational structural predictions. Here we resolve these controversies by monitoring the kinetics of nucleotide-induced changes in enzyme structure. We show that the specificity constant for incorporation of a normal nucleotide (dCTP) is determined solely by the rate of binding (including isomerization) because isomerization to the closed complex commits the substrate to react. In contrast, a nucleoside analog (3TC-TP, triphosphate form of lamivudine) is incorporated slowly, allowing the conformational change to come to equilibrium and revealing tight nucleotide binding. Our data reconcile previously conflicting reports suggesting that nucleotide analogs bind tighter than normal nucleotides. Rather, dCTP and 3TC-TP bind with nearly equal affinities, but the binding of dCTP never reaches equilibrium. Discrimination against 3TC-TP is based on the slower rate of incorporation due to misalignment of the substrate and/or catalytic residues.","container-title":"Proceedings of the National Academy of Sciences","DOI":"10.1073/pnas.0913946107","issue":"17","page":"7734-7739","publisher":"Proceedings of the National Academy of Sciences","source":"www-pnas-org.stanford.idm.oclc.org (Atypon)","title":"Nucleotide-dependent conformational change governs specificity and analog discrimination by HIV reverse transcriptase","volume":"107","author":[{"family":"Kellinger","given":"Matthew W."},{"family":"Johnson","given":"Kenneth A."}],"issued":{"date-parts":[["2010",4,27]]}}}],"schema":"https://github.com/citation-style-language/schema/raw/master/csl-citation.json"} </w:instrText>
      </w:r>
      <w:r>
        <w:fldChar w:fldCharType="separate"/>
      </w:r>
      <w:r w:rsidR="00CC484F" w:rsidRPr="00CC484F">
        <w:rPr>
          <w:rFonts w:cs="Mangal"/>
          <w:szCs w:val="24"/>
          <w:vertAlign w:val="superscript"/>
          <w:lang w:bidi="hi-IN"/>
        </w:rPr>
        <w:t>62</w:t>
      </w:r>
      <w:r>
        <w:fldChar w:fldCharType="end"/>
      </w:r>
      <w:r>
        <w:t xml:space="preserve"> these relatively short MD runs are unlikely to capture converged dynamics of the full RT molecule. However, DOR pose RMSD and DOR-RT center of mass distance fluctuations suggested that DOR dynamics within the NNIBP were relatively stable during the entire course of the production runs (Supplementary Figure 1). </w:t>
      </w:r>
    </w:p>
    <w:p w14:paraId="02330E85" w14:textId="77777777" w:rsidR="004240A7" w:rsidRPr="00E536AD" w:rsidRDefault="004240A7" w:rsidP="004240A7">
      <w:pPr>
        <w:pStyle w:val="TAMainText"/>
        <w:spacing w:before="240" w:after="240"/>
        <w:rPr>
          <w:rFonts w:ascii="Times New Roman" w:hAnsi="Times New Roman"/>
          <w:szCs w:val="24"/>
        </w:rPr>
      </w:pPr>
      <w:r>
        <w:t xml:space="preserve">We sampled RT-DOR structures from these </w:t>
      </w:r>
      <w:r>
        <w:rPr>
          <w:i/>
          <w:iCs/>
        </w:rPr>
        <w:t xml:space="preserve">holo </w:t>
      </w:r>
      <w:r>
        <w:t xml:space="preserve">(RT+DOR) and corresponding </w:t>
      </w:r>
      <w:r>
        <w:rPr>
          <w:i/>
          <w:iCs/>
        </w:rPr>
        <w:t xml:space="preserve">apo </w:t>
      </w:r>
      <w:r>
        <w:t>(RT only) simulations to compute the relative binding free energy, ∆∆</w:t>
      </w:r>
      <w:proofErr w:type="spellStart"/>
      <w:r>
        <w:t>G</w:t>
      </w:r>
      <w:r>
        <w:rPr>
          <w:vertAlign w:val="subscript"/>
        </w:rPr>
        <w:t>bind</w:t>
      </w:r>
      <w:proofErr w:type="spellEnd"/>
      <w:r>
        <w:t>, between the mutant and WT RT-</w:t>
      </w:r>
      <w:r>
        <w:lastRenderedPageBreak/>
        <w:t>DOR complexes using a non-equilibrium alchemical free energy calculation protocol (Figure 2). Additionally, we calculated the average MM/GBSA energy over 100 equally spaced snapshots of each equilibrium trajectory. For each mutant genotype, we then computed WT-referenced energetic changes for the total MM/GBSA energy (∆∆</w:t>
      </w:r>
      <w:proofErr w:type="spellStart"/>
      <w:r>
        <w:t>E</w:t>
      </w:r>
      <w:r>
        <w:rPr>
          <w:vertAlign w:val="subscript"/>
        </w:rPr>
        <w:t>Total</w:t>
      </w:r>
      <w:proofErr w:type="spellEnd"/>
      <w:r>
        <w:t>) and for four individual energy components: van der Waals (∆∆</w:t>
      </w:r>
      <w:proofErr w:type="spellStart"/>
      <w:r>
        <w:t>E</w:t>
      </w:r>
      <w:r>
        <w:rPr>
          <w:vertAlign w:val="subscript"/>
        </w:rPr>
        <w:t>vdW</w:t>
      </w:r>
      <w:proofErr w:type="spellEnd"/>
      <w:r>
        <w:t>), electrostatic (∆∆</w:t>
      </w:r>
      <w:proofErr w:type="spellStart"/>
      <w:r>
        <w:t>E</w:t>
      </w:r>
      <w:r>
        <w:rPr>
          <w:vertAlign w:val="subscript"/>
        </w:rPr>
        <w:t>elec</w:t>
      </w:r>
      <w:proofErr w:type="spellEnd"/>
      <w:r>
        <w:t>), generalized Born polar solvation (∆∆E</w:t>
      </w:r>
      <w:r>
        <w:rPr>
          <w:vertAlign w:val="subscript"/>
        </w:rPr>
        <w:t>GB</w:t>
      </w:r>
      <w:r>
        <w:t>), and nonpolar surface area (∆∆E</w:t>
      </w:r>
      <w:r>
        <w:rPr>
          <w:vertAlign w:val="subscript"/>
        </w:rPr>
        <w:t>SA</w:t>
      </w:r>
      <w:r>
        <w:t>) contributions. The results are summarized in Table 2 (see Supplementary Table 3 for replicate-level results). Throughout this work, we classify a genotype as having a strong impact on ∆∆</w:t>
      </w:r>
      <w:proofErr w:type="spellStart"/>
      <w:r>
        <w:t>G</w:t>
      </w:r>
      <w:r>
        <w:rPr>
          <w:vertAlign w:val="subscript"/>
        </w:rPr>
        <w:t>bind</w:t>
      </w:r>
      <w:proofErr w:type="spellEnd"/>
      <w:r>
        <w:t xml:space="preserve"> or ∆∆</w:t>
      </w:r>
      <w:proofErr w:type="spellStart"/>
      <w:r>
        <w:t>E</w:t>
      </w:r>
      <w:r>
        <w:rPr>
          <w:vertAlign w:val="subscript"/>
        </w:rPr>
        <w:t>Total</w:t>
      </w:r>
      <w:proofErr w:type="spellEnd"/>
      <w:r>
        <w:t xml:space="preserve"> when its estimate lies more than one standard error above (approximately) the thermal energy at room temperature, </w:t>
      </w:r>
      <w:proofErr w:type="spellStart"/>
      <w:r>
        <w:rPr>
          <w:i/>
          <w:iCs/>
        </w:rPr>
        <w:t>k</w:t>
      </w:r>
      <w:r>
        <w:rPr>
          <w:i/>
          <w:iCs/>
          <w:vertAlign w:val="subscript"/>
        </w:rPr>
        <w:t>B</w:t>
      </w:r>
      <w:r>
        <w:rPr>
          <w:i/>
          <w:iCs/>
        </w:rPr>
        <w:t>T</w:t>
      </w:r>
      <w:proofErr w:type="spellEnd"/>
      <w:r>
        <w:t xml:space="preserve"> = 0.5 kcal/mol, and as having a weak impact otherwise; genotypes with free energy below this threshold or whose replicate error spans this threshold are therefore counted as weak.</w:t>
      </w:r>
    </w:p>
    <w:p w14:paraId="7BC0C760" w14:textId="77777777" w:rsidR="003D7E51" w:rsidRPr="00217583" w:rsidRDefault="00225940" w:rsidP="006A3456">
      <w:pPr>
        <w:pStyle w:val="VAFigureCaption"/>
        <w:spacing w:after="240"/>
        <w:rPr>
          <w:rFonts w:ascii="Times New Roman" w:hAnsi="Times New Roman"/>
          <w:sz w:val="21"/>
          <w:szCs w:val="21"/>
        </w:rPr>
      </w:pPr>
      <w:r>
        <w:rPr>
          <w:noProof/>
        </w:rPr>
        <w:drawing>
          <wp:inline distT="0" distB="0" distL="0" distR="0" wp14:anchorId="527E4F89" wp14:editId="3CD0637E">
            <wp:extent cx="5824025" cy="3574214"/>
            <wp:effectExtent l="0" t="0" r="5715" b="0"/>
            <wp:docPr id="2258859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85936" name="Picture 225885936"/>
                    <pic:cNvPicPr/>
                  </pic:nvPicPr>
                  <pic:blipFill rotWithShape="1">
                    <a:blip r:embed="rId15"/>
                    <a:srcRect l="8639"/>
                    <a:stretch>
                      <a:fillRect/>
                    </a:stretch>
                  </pic:blipFill>
                  <pic:spPr bwMode="auto">
                    <a:xfrm>
                      <a:off x="0" y="0"/>
                      <a:ext cx="5832043" cy="3579135"/>
                    </a:xfrm>
                    <a:prstGeom prst="rect">
                      <a:avLst/>
                    </a:prstGeom>
                    <a:ln>
                      <a:noFill/>
                    </a:ln>
                    <a:extLst>
                      <a:ext uri="{53640926-AAD7-44D8-BBD7-CCE9431645EC}">
                        <a14:shadowObscured xmlns:a14="http://schemas.microsoft.com/office/drawing/2010/main"/>
                      </a:ext>
                    </a:extLst>
                  </pic:spPr>
                </pic:pic>
              </a:graphicData>
            </a:graphic>
          </wp:inline>
        </w:drawing>
      </w:r>
      <w:r>
        <w:rPr>
          <w:b/>
          <w:bCs/>
          <w:sz w:val="22"/>
          <w:szCs w:val="18"/>
        </w:rPr>
        <w:t>Figure 2: Free Energy Perturbation (FEP) protocol used to estimate ∆∆</w:t>
      </w:r>
      <w:proofErr w:type="spellStart"/>
      <w:r>
        <w:rPr>
          <w:b/>
          <w:bCs/>
          <w:sz w:val="22"/>
          <w:szCs w:val="18"/>
        </w:rPr>
        <w:t>G</w:t>
      </w:r>
      <w:r>
        <w:rPr>
          <w:b/>
          <w:bCs/>
          <w:sz w:val="22"/>
          <w:szCs w:val="18"/>
          <w:vertAlign w:val="subscript"/>
        </w:rPr>
        <w:t>bind</w:t>
      </w:r>
      <w:proofErr w:type="spellEnd"/>
      <w:r>
        <w:rPr>
          <w:b/>
          <w:bCs/>
          <w:sz w:val="22"/>
          <w:szCs w:val="18"/>
        </w:rPr>
        <w:t xml:space="preserve"> for DOR Resistance </w:t>
      </w:r>
      <w:r>
        <w:rPr>
          <w:b/>
          <w:bCs/>
          <w:sz w:val="22"/>
          <w:szCs w:val="18"/>
        </w:rPr>
        <w:lastRenderedPageBreak/>
        <w:t>Associated Mutations.</w:t>
      </w:r>
      <w:r>
        <w:rPr>
          <w:sz w:val="22"/>
          <w:szCs w:val="18"/>
        </w:rPr>
        <w:t xml:space="preserve"> </w:t>
      </w:r>
      <w:r>
        <w:rPr>
          <w:b/>
          <w:bCs/>
          <w:sz w:val="22"/>
          <w:szCs w:val="18"/>
        </w:rPr>
        <w:t>(A)</w:t>
      </w:r>
      <w:r>
        <w:rPr>
          <w:sz w:val="22"/>
          <w:szCs w:val="18"/>
        </w:rPr>
        <w:t xml:space="preserve"> Thermodynamic cycle illustrating how the alchemical transformations between WT</w:t>
      </w:r>
      <w:r>
        <w:rPr>
          <w:sz w:val="22"/>
          <w:szCs w:val="18"/>
        </w:rPr>
        <w:sym w:font="Symbol" w:char="F0AB"/>
      </w:r>
      <w:r>
        <w:rPr>
          <w:sz w:val="22"/>
          <w:szCs w:val="18"/>
        </w:rPr>
        <w:t xml:space="preserve">Mut configurations in </w:t>
      </w:r>
      <w:r>
        <w:rPr>
          <w:i/>
          <w:iCs/>
          <w:sz w:val="22"/>
          <w:szCs w:val="18"/>
        </w:rPr>
        <w:t xml:space="preserve">holo </w:t>
      </w:r>
      <w:r>
        <w:rPr>
          <w:sz w:val="22"/>
          <w:szCs w:val="18"/>
        </w:rPr>
        <w:t xml:space="preserve">and </w:t>
      </w:r>
      <w:r>
        <w:rPr>
          <w:i/>
          <w:iCs/>
          <w:sz w:val="22"/>
          <w:szCs w:val="18"/>
        </w:rPr>
        <w:t xml:space="preserve">apo </w:t>
      </w:r>
      <w:r>
        <w:rPr>
          <w:sz w:val="22"/>
          <w:szCs w:val="18"/>
        </w:rPr>
        <w:t xml:space="preserve">states provide the same ∆∆G result as the binding free energy, ∆G, change from WT to Mut. </w:t>
      </w:r>
      <w:r>
        <w:rPr>
          <w:b/>
          <w:bCs/>
          <w:sz w:val="22"/>
          <w:szCs w:val="18"/>
        </w:rPr>
        <w:t xml:space="preserve">(B) </w:t>
      </w:r>
      <w:r>
        <w:rPr>
          <w:sz w:val="22"/>
          <w:szCs w:val="18"/>
        </w:rPr>
        <w:t>Visualization of the hybrid residue topology used to drive the transition between WT (</w:t>
      </w:r>
      <w:r>
        <w:rPr>
          <w:sz w:val="22"/>
          <w:szCs w:val="18"/>
        </w:rPr>
        <w:sym w:font="Symbol" w:char="F06C"/>
      </w:r>
      <w:r>
        <w:rPr>
          <w:sz w:val="22"/>
          <w:szCs w:val="18"/>
        </w:rPr>
        <w:t xml:space="preserve"> = 0) and Mut (</w:t>
      </w:r>
      <w:r>
        <w:rPr>
          <w:sz w:val="22"/>
          <w:szCs w:val="18"/>
        </w:rPr>
        <w:sym w:font="Symbol" w:char="F06C"/>
      </w:r>
      <w:r>
        <w:rPr>
          <w:sz w:val="22"/>
          <w:szCs w:val="18"/>
        </w:rPr>
        <w:t xml:space="preserve"> = 1). As an illustration, in case of V106A, the RT p66 residue 106 contains atoms for both Valine and Alanine: When </w:t>
      </w:r>
      <w:r>
        <w:rPr>
          <w:sz w:val="22"/>
          <w:szCs w:val="18"/>
        </w:rPr>
        <w:sym w:font="Symbol" w:char="F06C"/>
      </w:r>
      <w:r>
        <w:rPr>
          <w:sz w:val="22"/>
          <w:szCs w:val="18"/>
        </w:rPr>
        <w:t xml:space="preserve"> = 0, Valine sidechain atoms (green) are on and Alanine atoms (red) are off. When </w:t>
      </w:r>
      <w:r>
        <w:rPr>
          <w:sz w:val="22"/>
          <w:szCs w:val="18"/>
        </w:rPr>
        <w:sym w:font="Symbol" w:char="F06C"/>
      </w:r>
      <w:r>
        <w:rPr>
          <w:sz w:val="22"/>
          <w:szCs w:val="18"/>
        </w:rPr>
        <w:t xml:space="preserve"> = 1, Valine sidechain atoms are switched off and Alanine atoms are switched on. </w:t>
      </w:r>
      <w:r>
        <w:rPr>
          <w:b/>
          <w:bCs/>
          <w:sz w:val="22"/>
          <w:szCs w:val="18"/>
        </w:rPr>
        <w:t>(C)</w:t>
      </w:r>
      <w:r>
        <w:rPr>
          <w:i/>
          <w:iCs/>
          <w:sz w:val="22"/>
          <w:szCs w:val="18"/>
        </w:rPr>
        <w:t xml:space="preserve"> </w:t>
      </w:r>
      <w:r>
        <w:rPr>
          <w:sz w:val="22"/>
          <w:szCs w:val="18"/>
        </w:rPr>
        <w:t>Work done to mutate residues from WT</w:t>
      </w:r>
      <w:r>
        <w:rPr>
          <w:sz w:val="22"/>
          <w:szCs w:val="18"/>
        </w:rPr>
        <w:sym w:font="Wingdings" w:char="F0E0"/>
      </w:r>
      <w:r>
        <w:rPr>
          <w:sz w:val="22"/>
          <w:szCs w:val="18"/>
        </w:rPr>
        <w:t>Mut (Forward) and Mut</w:t>
      </w:r>
      <w:r>
        <w:rPr>
          <w:sz w:val="22"/>
          <w:szCs w:val="18"/>
        </w:rPr>
        <w:sym w:font="Wingdings" w:char="F0E0"/>
      </w:r>
      <w:r>
        <w:rPr>
          <w:sz w:val="22"/>
          <w:szCs w:val="18"/>
        </w:rPr>
        <w:t xml:space="preserve">WT (Reverse) is recorded and histogram over </w:t>
      </w:r>
      <w:r>
        <w:rPr>
          <w:i/>
          <w:iCs/>
          <w:sz w:val="22"/>
          <w:szCs w:val="18"/>
        </w:rPr>
        <w:t xml:space="preserve">N </w:t>
      </w:r>
      <w:r>
        <w:rPr>
          <w:sz w:val="22"/>
          <w:szCs w:val="18"/>
        </w:rPr>
        <w:t xml:space="preserve">= 100 switches in both directions is plotted to get the ∆G value in both </w:t>
      </w:r>
      <w:r>
        <w:rPr>
          <w:i/>
          <w:iCs/>
          <w:sz w:val="22"/>
          <w:szCs w:val="18"/>
        </w:rPr>
        <w:t xml:space="preserve">holo </w:t>
      </w:r>
      <w:r>
        <w:rPr>
          <w:sz w:val="22"/>
          <w:szCs w:val="18"/>
        </w:rPr>
        <w:t xml:space="preserve">and </w:t>
      </w:r>
      <w:r>
        <w:rPr>
          <w:i/>
          <w:iCs/>
          <w:sz w:val="22"/>
          <w:szCs w:val="18"/>
        </w:rPr>
        <w:t xml:space="preserve">apo </w:t>
      </w:r>
      <w:r>
        <w:rPr>
          <w:sz w:val="22"/>
          <w:szCs w:val="18"/>
        </w:rPr>
        <w:t xml:space="preserve">configurations. </w:t>
      </w:r>
      <w:r>
        <w:rPr>
          <w:b/>
          <w:bCs/>
          <w:sz w:val="22"/>
          <w:szCs w:val="18"/>
        </w:rPr>
        <w:t>(D)</w:t>
      </w:r>
      <w:r>
        <w:rPr>
          <w:sz w:val="22"/>
          <w:szCs w:val="18"/>
        </w:rPr>
        <w:t xml:space="preserve"> Shift in binding free energy, ∆∆</w:t>
      </w:r>
      <w:proofErr w:type="spellStart"/>
      <w:r>
        <w:rPr>
          <w:sz w:val="22"/>
          <w:szCs w:val="18"/>
        </w:rPr>
        <w:t>G</w:t>
      </w:r>
      <w:r>
        <w:rPr>
          <w:sz w:val="22"/>
          <w:szCs w:val="18"/>
          <w:vertAlign w:val="subscript"/>
        </w:rPr>
        <w:t>bind</w:t>
      </w:r>
      <w:proofErr w:type="spellEnd"/>
      <w:r>
        <w:rPr>
          <w:sz w:val="22"/>
          <w:szCs w:val="18"/>
        </w:rPr>
        <w:t>, computed using this protocol plotted against median DOR fold-reduction values for each genotype. Error bars denote standard errors of the mean across triplicates.</w:t>
      </w:r>
    </w:p>
    <w:p w14:paraId="2DAD9D86" w14:textId="77777777" w:rsidR="004240A7" w:rsidRPr="00E536AD" w:rsidRDefault="004240A7" w:rsidP="004240A7">
      <w:pPr>
        <w:pStyle w:val="TAMainText"/>
        <w:spacing w:after="240"/>
        <w:rPr>
          <w:rFonts w:ascii="Times New Roman" w:hAnsi="Times New Roman"/>
        </w:rPr>
      </w:pPr>
      <w:r>
        <w:t xml:space="preserve">We observe that 3 out of 4 </w:t>
      </w:r>
      <w:r>
        <w:rPr>
          <w:i/>
          <w:iCs/>
        </w:rPr>
        <w:t>Susceptible</w:t>
      </w:r>
      <w:r>
        <w:t xml:space="preserve"> mutations are predicted to have weak impact on RT-DOR binding free energy, with V106I as the strong exception. Conversely, 7 out of 9 </w:t>
      </w:r>
      <w:r>
        <w:rPr>
          <w:i/>
          <w:iCs/>
        </w:rPr>
        <w:t>Resistant</w:t>
      </w:r>
      <w:r>
        <w:t xml:space="preserve"> mutations are predicted to have strong impact on RT-DOR binding free energy, with A98G+F227C and K103N+M230L as the exceptions. Amongst the mutations in the </w:t>
      </w:r>
      <w:r>
        <w:rPr>
          <w:i/>
          <w:iCs/>
        </w:rPr>
        <w:t>Uncertain</w:t>
      </w:r>
      <w:r>
        <w:t xml:space="preserve"> phenotype category, L100I+K103N and G190E are predicted to have a weak impact on RT-DOR binding free energy, while the remaining three (V106M, G190S, and K103N+P225H) are predicted to have a strong impact.</w:t>
      </w:r>
    </w:p>
    <w:p w14:paraId="7880DA72" w14:textId="77777777" w:rsidR="00F908FC" w:rsidRPr="00D06532" w:rsidRDefault="00F908FC" w:rsidP="00464EAE">
      <w:pPr>
        <w:pStyle w:val="VDTableTitle"/>
        <w:rPr>
          <w:rFonts w:ascii="Times New Roman" w:hAnsi="Times New Roman"/>
          <w:sz w:val="22"/>
          <w:szCs w:val="22"/>
        </w:rPr>
      </w:pPr>
      <w:r>
        <w:rPr>
          <w:b/>
          <w:bCs/>
          <w:color w:val="000000"/>
          <w:sz w:val="22"/>
          <w:szCs w:val="22"/>
        </w:rPr>
        <w:t>Table 2. WT-referenced MM/GBSA energy shifts, ∆∆E, from equilibrium MD and Binding Free Energy changes, ∆∆G, calculated using Non-equilibrium FEP simulations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0"/>
        <w:gridCol w:w="1080"/>
        <w:gridCol w:w="1170"/>
        <w:gridCol w:w="1170"/>
        <w:gridCol w:w="1170"/>
        <w:gridCol w:w="1170"/>
        <w:gridCol w:w="1170"/>
        <w:gridCol w:w="1170"/>
      </w:tblGrid>
      <w:tr w:rsidR="00674E9E" w:rsidRPr="00D06532" w14:paraId="750587E5" w14:textId="77777777" w:rsidTr="005F306B">
        <w:trPr>
          <w:trHeight w:val="539"/>
        </w:trPr>
        <w:tc>
          <w:tcPr>
            <w:tcW w:w="1260" w:type="dxa"/>
            <w:tcBorders>
              <w:top w:val="single" w:sz="4" w:space="0" w:color="auto"/>
              <w:bottom w:val="single" w:sz="4" w:space="0" w:color="auto"/>
            </w:tcBorders>
            <w:hideMark/>
          </w:tcPr>
          <w:p w14:paraId="02492D2C" w14:textId="77777777" w:rsidR="00674E9E" w:rsidRPr="00D06532" w:rsidRDefault="003705E0" w:rsidP="005A06D4">
            <w:pPr>
              <w:pStyle w:val="TCTableBody"/>
              <w:jc w:val="center"/>
              <w:rPr>
                <w:rFonts w:ascii="Times New Roman" w:hAnsi="Times New Roman"/>
                <w:b/>
                <w:bCs/>
                <w:color w:val="000000"/>
                <w:sz w:val="22"/>
                <w:szCs w:val="22"/>
              </w:rPr>
            </w:pPr>
            <w:r>
              <w:rPr>
                <w:b/>
                <w:bCs/>
                <w:color w:val="000000"/>
                <w:sz w:val="22"/>
                <w:szCs w:val="22"/>
              </w:rPr>
              <w:t>Category</w:t>
            </w:r>
          </w:p>
        </w:tc>
        <w:tc>
          <w:tcPr>
            <w:tcW w:w="1080" w:type="dxa"/>
            <w:tcBorders>
              <w:top w:val="single" w:sz="4" w:space="0" w:color="auto"/>
              <w:bottom w:val="single" w:sz="4" w:space="0" w:color="auto"/>
            </w:tcBorders>
            <w:hideMark/>
          </w:tcPr>
          <w:p w14:paraId="4C5697B9" w14:textId="77777777" w:rsidR="00674E9E" w:rsidRPr="00D06532" w:rsidRDefault="003705E0" w:rsidP="005A06D4">
            <w:pPr>
              <w:pStyle w:val="TCTableBody"/>
              <w:spacing w:line="480" w:lineRule="auto"/>
              <w:jc w:val="center"/>
              <w:rPr>
                <w:rFonts w:ascii="Times New Roman" w:hAnsi="Times New Roman"/>
                <w:b/>
                <w:bCs/>
                <w:color w:val="000000"/>
                <w:sz w:val="22"/>
                <w:szCs w:val="22"/>
              </w:rPr>
            </w:pPr>
            <w:r>
              <w:rPr>
                <w:b/>
                <w:bCs/>
                <w:color w:val="000000"/>
                <w:sz w:val="22"/>
                <w:szCs w:val="22"/>
              </w:rPr>
              <w:t>Genotype</w:t>
            </w:r>
          </w:p>
        </w:tc>
        <w:tc>
          <w:tcPr>
            <w:tcW w:w="1170" w:type="dxa"/>
            <w:tcBorders>
              <w:top w:val="single" w:sz="4" w:space="0" w:color="auto"/>
              <w:bottom w:val="single" w:sz="4" w:space="0" w:color="auto"/>
            </w:tcBorders>
            <w:hideMark/>
          </w:tcPr>
          <w:p w14:paraId="31076A87" w14:textId="77777777" w:rsidR="00674E9E" w:rsidRPr="00D06532" w:rsidRDefault="00674E9E" w:rsidP="005A06D4">
            <w:pPr>
              <w:pStyle w:val="TCTableBody"/>
              <w:jc w:val="center"/>
              <w:rPr>
                <w:rFonts w:ascii="Times New Roman" w:hAnsi="Times New Roman"/>
                <w:b/>
                <w:bCs/>
                <w:color w:val="000000"/>
                <w:sz w:val="22"/>
                <w:szCs w:val="22"/>
              </w:rPr>
            </w:pPr>
            <w:r>
              <w:rPr>
                <w:b/>
                <w:bCs/>
                <w:color w:val="000000"/>
                <w:sz w:val="22"/>
                <w:szCs w:val="22"/>
              </w:rPr>
              <w:t>∆∆</w:t>
            </w:r>
            <w:proofErr w:type="spellStart"/>
            <w:r>
              <w:rPr>
                <w:b/>
                <w:bCs/>
                <w:color w:val="000000"/>
                <w:sz w:val="22"/>
                <w:szCs w:val="22"/>
              </w:rPr>
              <w:t>E</w:t>
            </w:r>
            <w:r>
              <w:rPr>
                <w:b/>
                <w:bCs/>
                <w:color w:val="000000"/>
                <w:sz w:val="22"/>
                <w:szCs w:val="22"/>
                <w:vertAlign w:val="subscript"/>
              </w:rPr>
              <w:t>Total</w:t>
            </w:r>
            <w:proofErr w:type="spellEnd"/>
            <w:r>
              <w:rPr>
                <w:b/>
                <w:bCs/>
                <w:color w:val="000000"/>
                <w:sz w:val="22"/>
                <w:szCs w:val="22"/>
                <w:vertAlign w:val="superscript"/>
              </w:rPr>
              <w:t>*</w:t>
            </w:r>
            <w:r>
              <w:rPr>
                <w:b/>
                <w:bCs/>
                <w:color w:val="000000"/>
                <w:sz w:val="22"/>
                <w:szCs w:val="22"/>
              </w:rPr>
              <w:t xml:space="preserve"> (kcal/mol)</w:t>
            </w:r>
          </w:p>
        </w:tc>
        <w:tc>
          <w:tcPr>
            <w:tcW w:w="1170" w:type="dxa"/>
            <w:tcBorders>
              <w:top w:val="single" w:sz="4" w:space="0" w:color="auto"/>
              <w:bottom w:val="single" w:sz="4" w:space="0" w:color="auto"/>
            </w:tcBorders>
            <w:hideMark/>
          </w:tcPr>
          <w:p w14:paraId="048E911E" w14:textId="77777777" w:rsidR="00674E9E" w:rsidRPr="00D06532" w:rsidRDefault="00674E9E" w:rsidP="005A06D4">
            <w:pPr>
              <w:pStyle w:val="TCTableBody"/>
              <w:jc w:val="center"/>
              <w:rPr>
                <w:rFonts w:ascii="Times New Roman" w:hAnsi="Times New Roman"/>
                <w:b/>
                <w:bCs/>
                <w:color w:val="000000"/>
                <w:sz w:val="22"/>
                <w:szCs w:val="22"/>
              </w:rPr>
            </w:pPr>
            <w:r>
              <w:rPr>
                <w:b/>
                <w:bCs/>
                <w:color w:val="000000"/>
                <w:sz w:val="22"/>
                <w:szCs w:val="22"/>
              </w:rPr>
              <w:t>∆∆</w:t>
            </w:r>
            <w:proofErr w:type="spellStart"/>
            <w:r>
              <w:rPr>
                <w:b/>
                <w:bCs/>
                <w:color w:val="000000"/>
                <w:sz w:val="22"/>
                <w:szCs w:val="22"/>
              </w:rPr>
              <w:t>E</w:t>
            </w:r>
            <w:r>
              <w:rPr>
                <w:b/>
                <w:bCs/>
                <w:color w:val="000000"/>
                <w:sz w:val="22"/>
                <w:szCs w:val="22"/>
                <w:vertAlign w:val="subscript"/>
              </w:rPr>
              <w:t>vdW</w:t>
            </w:r>
            <w:proofErr w:type="spellEnd"/>
            <w:r>
              <w:rPr>
                <w:b/>
                <w:bCs/>
                <w:color w:val="000000"/>
                <w:sz w:val="22"/>
                <w:szCs w:val="22"/>
                <w:vertAlign w:val="superscript"/>
              </w:rPr>
              <w:t>*</w:t>
            </w:r>
            <w:r>
              <w:rPr>
                <w:b/>
                <w:bCs/>
                <w:color w:val="000000"/>
                <w:sz w:val="22"/>
                <w:szCs w:val="22"/>
              </w:rPr>
              <w:t xml:space="preserve"> (kcal/mol)</w:t>
            </w:r>
          </w:p>
        </w:tc>
        <w:tc>
          <w:tcPr>
            <w:tcW w:w="1170" w:type="dxa"/>
            <w:tcBorders>
              <w:top w:val="single" w:sz="4" w:space="0" w:color="auto"/>
              <w:bottom w:val="single" w:sz="4" w:space="0" w:color="auto"/>
            </w:tcBorders>
            <w:hideMark/>
          </w:tcPr>
          <w:p w14:paraId="6C61D7BB" w14:textId="77777777" w:rsidR="00674E9E" w:rsidRPr="00D06532" w:rsidRDefault="00674E9E" w:rsidP="005A06D4">
            <w:pPr>
              <w:pStyle w:val="TCTableBody"/>
              <w:jc w:val="center"/>
              <w:rPr>
                <w:rFonts w:ascii="Times New Roman" w:hAnsi="Times New Roman"/>
                <w:b/>
                <w:bCs/>
                <w:color w:val="000000"/>
                <w:sz w:val="22"/>
                <w:szCs w:val="22"/>
              </w:rPr>
            </w:pPr>
            <w:r>
              <w:rPr>
                <w:b/>
                <w:bCs/>
                <w:color w:val="000000"/>
                <w:sz w:val="22"/>
                <w:szCs w:val="22"/>
              </w:rPr>
              <w:t>∆∆</w:t>
            </w:r>
            <w:proofErr w:type="spellStart"/>
            <w:r>
              <w:rPr>
                <w:b/>
                <w:bCs/>
                <w:color w:val="000000"/>
                <w:sz w:val="22"/>
                <w:szCs w:val="22"/>
              </w:rPr>
              <w:t>E</w:t>
            </w:r>
            <w:r>
              <w:rPr>
                <w:b/>
                <w:bCs/>
                <w:color w:val="000000"/>
                <w:sz w:val="22"/>
                <w:szCs w:val="22"/>
                <w:vertAlign w:val="subscript"/>
              </w:rPr>
              <w:t>elec</w:t>
            </w:r>
            <w:proofErr w:type="spellEnd"/>
            <w:r>
              <w:rPr>
                <w:b/>
                <w:bCs/>
                <w:color w:val="000000"/>
                <w:sz w:val="22"/>
                <w:szCs w:val="22"/>
                <w:vertAlign w:val="superscript"/>
              </w:rPr>
              <w:t>*</w:t>
            </w:r>
            <w:r>
              <w:rPr>
                <w:b/>
                <w:bCs/>
                <w:color w:val="000000"/>
                <w:sz w:val="22"/>
                <w:szCs w:val="22"/>
              </w:rPr>
              <w:t xml:space="preserve"> (kcal/mol)</w:t>
            </w:r>
          </w:p>
        </w:tc>
        <w:tc>
          <w:tcPr>
            <w:tcW w:w="1170" w:type="dxa"/>
            <w:tcBorders>
              <w:top w:val="single" w:sz="4" w:space="0" w:color="auto"/>
              <w:bottom w:val="single" w:sz="4" w:space="0" w:color="auto"/>
            </w:tcBorders>
          </w:tcPr>
          <w:p w14:paraId="009E04BE" w14:textId="77777777" w:rsidR="00674E9E" w:rsidRPr="00D06532" w:rsidRDefault="00674E9E" w:rsidP="005A06D4">
            <w:pPr>
              <w:pStyle w:val="TCTableBody"/>
              <w:jc w:val="center"/>
              <w:rPr>
                <w:rFonts w:ascii="Times New Roman" w:hAnsi="Times New Roman"/>
                <w:b/>
                <w:bCs/>
                <w:color w:val="000000"/>
                <w:sz w:val="22"/>
                <w:szCs w:val="22"/>
              </w:rPr>
            </w:pPr>
            <w:r>
              <w:rPr>
                <w:b/>
                <w:bCs/>
                <w:color w:val="000000"/>
                <w:sz w:val="22"/>
                <w:szCs w:val="22"/>
              </w:rPr>
              <w:t>∆∆E</w:t>
            </w:r>
            <w:r>
              <w:rPr>
                <w:b/>
                <w:bCs/>
                <w:color w:val="000000"/>
                <w:sz w:val="22"/>
                <w:szCs w:val="22"/>
                <w:vertAlign w:val="subscript"/>
              </w:rPr>
              <w:t>GB</w:t>
            </w:r>
            <w:r>
              <w:rPr>
                <w:b/>
                <w:bCs/>
                <w:color w:val="000000"/>
                <w:sz w:val="22"/>
                <w:szCs w:val="22"/>
                <w:vertAlign w:val="superscript"/>
              </w:rPr>
              <w:t>*</w:t>
            </w:r>
            <w:r>
              <w:rPr>
                <w:b/>
                <w:bCs/>
                <w:color w:val="000000"/>
                <w:sz w:val="22"/>
                <w:szCs w:val="22"/>
              </w:rPr>
              <w:t xml:space="preserve"> (kcal/mol)</w:t>
            </w:r>
          </w:p>
        </w:tc>
        <w:tc>
          <w:tcPr>
            <w:tcW w:w="1170" w:type="dxa"/>
            <w:tcBorders>
              <w:top w:val="single" w:sz="4" w:space="0" w:color="auto"/>
              <w:bottom w:val="single" w:sz="4" w:space="0" w:color="auto"/>
            </w:tcBorders>
          </w:tcPr>
          <w:p w14:paraId="49289E67" w14:textId="77777777" w:rsidR="00674E9E" w:rsidRPr="00D06532" w:rsidRDefault="00674E9E" w:rsidP="005A06D4">
            <w:pPr>
              <w:pStyle w:val="TCTableBody"/>
              <w:jc w:val="center"/>
              <w:rPr>
                <w:rFonts w:ascii="Times New Roman" w:hAnsi="Times New Roman"/>
                <w:b/>
                <w:bCs/>
                <w:color w:val="000000"/>
                <w:sz w:val="22"/>
                <w:szCs w:val="22"/>
              </w:rPr>
            </w:pPr>
            <w:r>
              <w:rPr>
                <w:b/>
                <w:bCs/>
                <w:color w:val="000000"/>
                <w:sz w:val="22"/>
                <w:szCs w:val="22"/>
              </w:rPr>
              <w:t>∆∆E</w:t>
            </w:r>
            <w:r>
              <w:rPr>
                <w:b/>
                <w:bCs/>
                <w:color w:val="000000"/>
                <w:sz w:val="22"/>
                <w:szCs w:val="22"/>
                <w:vertAlign w:val="subscript"/>
              </w:rPr>
              <w:t>SA</w:t>
            </w:r>
            <w:r>
              <w:rPr>
                <w:b/>
                <w:bCs/>
                <w:color w:val="000000"/>
                <w:sz w:val="22"/>
                <w:szCs w:val="22"/>
                <w:vertAlign w:val="superscript"/>
              </w:rPr>
              <w:t>*</w:t>
            </w:r>
            <w:r>
              <w:rPr>
                <w:b/>
                <w:bCs/>
                <w:color w:val="000000"/>
                <w:sz w:val="22"/>
                <w:szCs w:val="22"/>
              </w:rPr>
              <w:t xml:space="preserve"> (kcal/mol)</w:t>
            </w:r>
          </w:p>
        </w:tc>
        <w:tc>
          <w:tcPr>
            <w:tcW w:w="1170" w:type="dxa"/>
            <w:tcBorders>
              <w:top w:val="single" w:sz="4" w:space="0" w:color="auto"/>
              <w:bottom w:val="single" w:sz="4" w:space="0" w:color="auto"/>
            </w:tcBorders>
          </w:tcPr>
          <w:p w14:paraId="3651A3CC" w14:textId="77777777" w:rsidR="00674E9E" w:rsidRPr="00D06532" w:rsidRDefault="00674E9E" w:rsidP="005A06D4">
            <w:pPr>
              <w:pStyle w:val="TCTableBody"/>
              <w:jc w:val="center"/>
              <w:rPr>
                <w:rFonts w:ascii="Times New Roman" w:hAnsi="Times New Roman"/>
                <w:b/>
                <w:bCs/>
                <w:color w:val="000000"/>
                <w:sz w:val="22"/>
                <w:szCs w:val="22"/>
              </w:rPr>
            </w:pPr>
            <w:r>
              <w:rPr>
                <w:b/>
                <w:bCs/>
                <w:color w:val="000000"/>
                <w:sz w:val="22"/>
                <w:szCs w:val="22"/>
              </w:rPr>
              <w:t>∆∆</w:t>
            </w:r>
            <w:proofErr w:type="spellStart"/>
            <w:r>
              <w:rPr>
                <w:b/>
                <w:bCs/>
                <w:color w:val="000000"/>
                <w:sz w:val="22"/>
                <w:szCs w:val="22"/>
              </w:rPr>
              <w:t>G</w:t>
            </w:r>
            <w:r>
              <w:rPr>
                <w:b/>
                <w:bCs/>
                <w:color w:val="000000"/>
                <w:sz w:val="22"/>
                <w:szCs w:val="22"/>
                <w:vertAlign w:val="subscript"/>
              </w:rPr>
              <w:t>bind</w:t>
            </w:r>
            <w:proofErr w:type="spellEnd"/>
            <w:r>
              <w:rPr>
                <w:b/>
                <w:bCs/>
                <w:color w:val="000000"/>
                <w:sz w:val="22"/>
                <w:szCs w:val="22"/>
                <w:vertAlign w:val="superscript"/>
              </w:rPr>
              <w:t>**</w:t>
            </w:r>
            <w:r>
              <w:rPr>
                <w:b/>
                <w:bCs/>
                <w:color w:val="000000"/>
                <w:sz w:val="22"/>
                <w:szCs w:val="22"/>
              </w:rPr>
              <w:t xml:space="preserve"> (kcal/mol)</w:t>
            </w:r>
          </w:p>
        </w:tc>
      </w:tr>
      <w:tr w:rsidR="003020DF" w:rsidRPr="00D06532" w14:paraId="318422A8" w14:textId="77777777" w:rsidTr="005F306B">
        <w:trPr>
          <w:trHeight w:val="340"/>
        </w:trPr>
        <w:tc>
          <w:tcPr>
            <w:tcW w:w="1260" w:type="dxa"/>
            <w:vMerge w:val="restart"/>
            <w:tcBorders>
              <w:top w:val="single" w:sz="4" w:space="0" w:color="auto"/>
            </w:tcBorders>
            <w:hideMark/>
          </w:tcPr>
          <w:p w14:paraId="703B64A2" w14:textId="77777777" w:rsidR="003020DF" w:rsidRPr="00D06532" w:rsidRDefault="003020DF" w:rsidP="003020DF">
            <w:pPr>
              <w:pStyle w:val="TCTableBody"/>
              <w:jc w:val="center"/>
              <w:rPr>
                <w:rFonts w:ascii="Times New Roman" w:hAnsi="Times New Roman"/>
                <w:b/>
                <w:bCs/>
                <w:i/>
                <w:iCs/>
                <w:color w:val="000000"/>
                <w:sz w:val="22"/>
                <w:szCs w:val="22"/>
              </w:rPr>
            </w:pPr>
            <w:r>
              <w:rPr>
                <w:b/>
                <w:bCs/>
                <w:i/>
                <w:iCs/>
                <w:color w:val="000000"/>
                <w:sz w:val="22"/>
                <w:szCs w:val="22"/>
              </w:rPr>
              <w:lastRenderedPageBreak/>
              <w:t>Susceptible</w:t>
            </w:r>
          </w:p>
        </w:tc>
        <w:tc>
          <w:tcPr>
            <w:tcW w:w="1080" w:type="dxa"/>
            <w:tcBorders>
              <w:top w:val="single" w:sz="4" w:space="0" w:color="auto"/>
            </w:tcBorders>
            <w:hideMark/>
          </w:tcPr>
          <w:p w14:paraId="31909237" w14:textId="77777777" w:rsidR="003020DF" w:rsidRPr="00D06532" w:rsidRDefault="003020DF" w:rsidP="003020DF">
            <w:pPr>
              <w:pStyle w:val="TCTableBody"/>
              <w:jc w:val="center"/>
              <w:rPr>
                <w:rFonts w:ascii="Times New Roman" w:hAnsi="Times New Roman"/>
                <w:color w:val="000000"/>
                <w:sz w:val="22"/>
                <w:szCs w:val="22"/>
              </w:rPr>
            </w:pPr>
            <w:r>
              <w:rPr>
                <w:color w:val="000000"/>
                <w:sz w:val="22"/>
                <w:szCs w:val="22"/>
              </w:rPr>
              <w:t>V106I</w:t>
            </w:r>
          </w:p>
        </w:tc>
        <w:tc>
          <w:tcPr>
            <w:tcW w:w="1170" w:type="dxa"/>
            <w:tcBorders>
              <w:top w:val="single" w:sz="4" w:space="0" w:color="auto"/>
            </w:tcBorders>
            <w:hideMark/>
          </w:tcPr>
          <w:p w14:paraId="12460919"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1.99 ± 0.89</w:t>
            </w:r>
          </w:p>
        </w:tc>
        <w:tc>
          <w:tcPr>
            <w:tcW w:w="1170" w:type="dxa"/>
            <w:tcBorders>
              <w:top w:val="single" w:sz="4" w:space="0" w:color="auto"/>
            </w:tcBorders>
            <w:hideMark/>
          </w:tcPr>
          <w:p w14:paraId="23D7B1A4"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1.68 ± 0.77</w:t>
            </w:r>
          </w:p>
        </w:tc>
        <w:tc>
          <w:tcPr>
            <w:tcW w:w="1170" w:type="dxa"/>
            <w:tcBorders>
              <w:top w:val="single" w:sz="4" w:space="0" w:color="auto"/>
            </w:tcBorders>
            <w:hideMark/>
          </w:tcPr>
          <w:p w14:paraId="24C6A4D7"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0.17 ± 0.14</w:t>
            </w:r>
          </w:p>
        </w:tc>
        <w:tc>
          <w:tcPr>
            <w:tcW w:w="1170" w:type="dxa"/>
            <w:tcBorders>
              <w:top w:val="single" w:sz="4" w:space="0" w:color="auto"/>
            </w:tcBorders>
          </w:tcPr>
          <w:p w14:paraId="73AE91C9"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0.13 ± 0.07</w:t>
            </w:r>
          </w:p>
        </w:tc>
        <w:tc>
          <w:tcPr>
            <w:tcW w:w="1170" w:type="dxa"/>
            <w:tcBorders>
              <w:top w:val="single" w:sz="4" w:space="0" w:color="auto"/>
            </w:tcBorders>
          </w:tcPr>
          <w:p w14:paraId="0B1BC961"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0.006 ± 0.056</w:t>
            </w:r>
          </w:p>
        </w:tc>
        <w:tc>
          <w:tcPr>
            <w:tcW w:w="1170" w:type="dxa"/>
            <w:tcBorders>
              <w:top w:val="single" w:sz="4" w:space="0" w:color="auto"/>
            </w:tcBorders>
          </w:tcPr>
          <w:p w14:paraId="44093D5E"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2.27 ± 0.74</w:t>
            </w:r>
          </w:p>
        </w:tc>
      </w:tr>
      <w:tr w:rsidR="003020DF" w:rsidRPr="00D06532" w14:paraId="01D8A96A" w14:textId="77777777" w:rsidTr="005F306B">
        <w:trPr>
          <w:trHeight w:val="340"/>
        </w:trPr>
        <w:tc>
          <w:tcPr>
            <w:tcW w:w="1260" w:type="dxa"/>
            <w:vMerge/>
            <w:hideMark/>
          </w:tcPr>
          <w:p w14:paraId="353242E6" w14:textId="77777777" w:rsidR="003020DF" w:rsidRPr="00D06532" w:rsidRDefault="003020DF" w:rsidP="003020DF">
            <w:pPr>
              <w:rPr>
                <w:rFonts w:ascii="Times New Roman" w:hAnsi="Times New Roman"/>
                <w:color w:val="000000"/>
                <w:sz w:val="22"/>
                <w:szCs w:val="22"/>
              </w:rPr>
            </w:pPr>
          </w:p>
        </w:tc>
        <w:tc>
          <w:tcPr>
            <w:tcW w:w="1080" w:type="dxa"/>
            <w:hideMark/>
          </w:tcPr>
          <w:p w14:paraId="643D5069"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K103N</w:t>
            </w:r>
          </w:p>
        </w:tc>
        <w:tc>
          <w:tcPr>
            <w:tcW w:w="1170" w:type="dxa"/>
            <w:hideMark/>
          </w:tcPr>
          <w:p w14:paraId="1F42CAB3"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-0.75 ± 0.13</w:t>
            </w:r>
          </w:p>
        </w:tc>
        <w:tc>
          <w:tcPr>
            <w:tcW w:w="1170" w:type="dxa"/>
            <w:hideMark/>
          </w:tcPr>
          <w:p w14:paraId="606706D9"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-0.60 ± 0.11</w:t>
            </w:r>
          </w:p>
        </w:tc>
        <w:tc>
          <w:tcPr>
            <w:tcW w:w="1170" w:type="dxa"/>
            <w:hideMark/>
          </w:tcPr>
          <w:p w14:paraId="6B7E9A28"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-2.10 ± 0.19</w:t>
            </w:r>
          </w:p>
        </w:tc>
        <w:tc>
          <w:tcPr>
            <w:tcW w:w="1170" w:type="dxa"/>
          </w:tcPr>
          <w:p w14:paraId="72ECDCE0" w14:textId="77777777" w:rsidR="003020DF" w:rsidRPr="00D06532" w:rsidRDefault="003020DF" w:rsidP="003020DF">
            <w:pPr>
              <w:pStyle w:val="TCTableBody"/>
              <w:jc w:val="center"/>
              <w:rPr>
                <w:rFonts w:ascii="Times New Roman" w:hAnsi="Times New Roman"/>
                <w:sz w:val="22"/>
                <w:szCs w:val="22"/>
              </w:rPr>
            </w:pPr>
            <w:r>
              <w:rPr>
                <w:sz w:val="22"/>
                <w:szCs w:val="22"/>
              </w:rPr>
              <w:t>2.00 ± 0.17</w:t>
            </w:r>
          </w:p>
        </w:tc>
        <w:tc>
          <w:tcPr>
            <w:tcW w:w="1170" w:type="dxa"/>
          </w:tcPr>
          <w:p w14:paraId="03E2703E" w14:textId="77777777" w:rsidR="003020DF" w:rsidRPr="00D06532" w:rsidRDefault="003020DF" w:rsidP="003020DF">
            <w:pPr>
              <w:pStyle w:val="TCTableBody"/>
              <w:jc w:val="center"/>
              <w:rPr>
                <w:rFonts w:ascii="Times New Roman" w:hAnsi="Times New Roman"/>
                <w:sz w:val="22"/>
                <w:szCs w:val="22"/>
              </w:rPr>
            </w:pPr>
            <w:r>
              <w:rPr>
                <w:sz w:val="22"/>
                <w:szCs w:val="22"/>
              </w:rPr>
              <w:t>-0.052 ± 0.004</w:t>
            </w:r>
          </w:p>
        </w:tc>
        <w:tc>
          <w:tcPr>
            <w:tcW w:w="1170" w:type="dxa"/>
          </w:tcPr>
          <w:p w14:paraId="20F8BF89"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0.54 ± 0.23</w:t>
            </w:r>
          </w:p>
        </w:tc>
      </w:tr>
      <w:tr w:rsidR="003020DF" w:rsidRPr="00D06532" w14:paraId="36D603BE" w14:textId="77777777" w:rsidTr="005F306B">
        <w:trPr>
          <w:trHeight w:val="340"/>
        </w:trPr>
        <w:tc>
          <w:tcPr>
            <w:tcW w:w="1260" w:type="dxa"/>
            <w:vMerge/>
            <w:hideMark/>
          </w:tcPr>
          <w:p w14:paraId="6FE7F549" w14:textId="77777777" w:rsidR="003020DF" w:rsidRPr="00D06532" w:rsidRDefault="003020DF" w:rsidP="003020DF">
            <w:pPr>
              <w:rPr>
                <w:rFonts w:ascii="Times New Roman" w:hAnsi="Times New Roman"/>
                <w:color w:val="000000"/>
                <w:sz w:val="22"/>
                <w:szCs w:val="22"/>
              </w:rPr>
            </w:pPr>
          </w:p>
        </w:tc>
        <w:tc>
          <w:tcPr>
            <w:tcW w:w="1080" w:type="dxa"/>
            <w:hideMark/>
          </w:tcPr>
          <w:p w14:paraId="30B9F10D"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Y181C</w:t>
            </w:r>
          </w:p>
        </w:tc>
        <w:tc>
          <w:tcPr>
            <w:tcW w:w="1170" w:type="dxa"/>
            <w:hideMark/>
          </w:tcPr>
          <w:p w14:paraId="68614FF8"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1.24 ± 0.17</w:t>
            </w:r>
          </w:p>
        </w:tc>
        <w:tc>
          <w:tcPr>
            <w:tcW w:w="1170" w:type="dxa"/>
            <w:hideMark/>
          </w:tcPr>
          <w:p w14:paraId="7845CB89"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0.91 ± 0.21</w:t>
            </w:r>
          </w:p>
        </w:tc>
        <w:tc>
          <w:tcPr>
            <w:tcW w:w="1170" w:type="dxa"/>
            <w:hideMark/>
          </w:tcPr>
          <w:p w14:paraId="289E3CEF"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-0.44 ± 0.29</w:t>
            </w:r>
          </w:p>
        </w:tc>
        <w:tc>
          <w:tcPr>
            <w:tcW w:w="1170" w:type="dxa"/>
          </w:tcPr>
          <w:p w14:paraId="59946188" w14:textId="77777777" w:rsidR="003020DF" w:rsidRPr="00D06532" w:rsidRDefault="003020DF" w:rsidP="003020DF">
            <w:pPr>
              <w:pStyle w:val="TCTableBody"/>
              <w:jc w:val="center"/>
              <w:rPr>
                <w:rFonts w:ascii="Times New Roman" w:hAnsi="Times New Roman"/>
                <w:sz w:val="22"/>
                <w:szCs w:val="22"/>
              </w:rPr>
            </w:pPr>
            <w:r>
              <w:rPr>
                <w:sz w:val="22"/>
                <w:szCs w:val="22"/>
              </w:rPr>
              <w:t>0.77 ± 0.23</w:t>
            </w:r>
          </w:p>
        </w:tc>
        <w:tc>
          <w:tcPr>
            <w:tcW w:w="1170" w:type="dxa"/>
          </w:tcPr>
          <w:p w14:paraId="2C6E8DE7" w14:textId="77777777" w:rsidR="003020DF" w:rsidRPr="00D06532" w:rsidRDefault="003020DF" w:rsidP="003020DF">
            <w:pPr>
              <w:pStyle w:val="TCTableBody"/>
              <w:jc w:val="center"/>
              <w:rPr>
                <w:rFonts w:ascii="Times New Roman" w:hAnsi="Times New Roman"/>
                <w:sz w:val="22"/>
                <w:szCs w:val="22"/>
              </w:rPr>
            </w:pPr>
            <w:r>
              <w:rPr>
                <w:sz w:val="22"/>
                <w:szCs w:val="22"/>
              </w:rPr>
              <w:t>0.011 ± 0.018</w:t>
            </w:r>
          </w:p>
        </w:tc>
        <w:tc>
          <w:tcPr>
            <w:tcW w:w="1170" w:type="dxa"/>
          </w:tcPr>
          <w:p w14:paraId="2846952F"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-0.66 ± 1.06</w:t>
            </w:r>
          </w:p>
        </w:tc>
      </w:tr>
      <w:tr w:rsidR="003020DF" w:rsidRPr="00D06532" w14:paraId="42C9FE26" w14:textId="77777777" w:rsidTr="005F306B">
        <w:trPr>
          <w:trHeight w:val="359"/>
        </w:trPr>
        <w:tc>
          <w:tcPr>
            <w:tcW w:w="1260" w:type="dxa"/>
            <w:vMerge/>
            <w:tcBorders>
              <w:bottom w:val="single" w:sz="4" w:space="0" w:color="auto"/>
            </w:tcBorders>
            <w:hideMark/>
          </w:tcPr>
          <w:p w14:paraId="4B5A576E" w14:textId="77777777" w:rsidR="003020DF" w:rsidRPr="00D06532" w:rsidRDefault="003020DF" w:rsidP="003020DF">
            <w:pPr>
              <w:rPr>
                <w:rFonts w:ascii="Times New Roman" w:hAnsi="Times New Roman"/>
                <w:color w:val="000000"/>
                <w:sz w:val="22"/>
                <w:szCs w:val="22"/>
              </w:rPr>
            </w:pPr>
          </w:p>
        </w:tc>
        <w:tc>
          <w:tcPr>
            <w:tcW w:w="1080" w:type="dxa"/>
            <w:tcBorders>
              <w:bottom w:val="single" w:sz="4" w:space="0" w:color="auto"/>
            </w:tcBorders>
            <w:hideMark/>
          </w:tcPr>
          <w:p w14:paraId="63D8F4C5"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G190A</w:t>
            </w:r>
          </w:p>
        </w:tc>
        <w:tc>
          <w:tcPr>
            <w:tcW w:w="1170" w:type="dxa"/>
            <w:tcBorders>
              <w:bottom w:val="single" w:sz="4" w:space="0" w:color="auto"/>
            </w:tcBorders>
            <w:hideMark/>
          </w:tcPr>
          <w:p w14:paraId="1533134B"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1.57 ± 0.23</w:t>
            </w:r>
          </w:p>
        </w:tc>
        <w:tc>
          <w:tcPr>
            <w:tcW w:w="1170" w:type="dxa"/>
            <w:tcBorders>
              <w:bottom w:val="single" w:sz="4" w:space="0" w:color="auto"/>
            </w:tcBorders>
            <w:hideMark/>
          </w:tcPr>
          <w:p w14:paraId="6377E309"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1.35 ± 0.37</w:t>
            </w:r>
          </w:p>
        </w:tc>
        <w:tc>
          <w:tcPr>
            <w:tcW w:w="1170" w:type="dxa"/>
            <w:tcBorders>
              <w:bottom w:val="single" w:sz="4" w:space="0" w:color="auto"/>
            </w:tcBorders>
            <w:hideMark/>
          </w:tcPr>
          <w:p w14:paraId="094DB25B"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0.34 ± 0.23</w:t>
            </w:r>
          </w:p>
        </w:tc>
        <w:tc>
          <w:tcPr>
            <w:tcW w:w="1170" w:type="dxa"/>
            <w:tcBorders>
              <w:bottom w:val="single" w:sz="4" w:space="0" w:color="auto"/>
            </w:tcBorders>
          </w:tcPr>
          <w:p w14:paraId="04BFF79F" w14:textId="77777777" w:rsidR="003020DF" w:rsidRPr="00D06532" w:rsidRDefault="003020DF" w:rsidP="003020DF">
            <w:pPr>
              <w:pStyle w:val="TCTableBody"/>
              <w:jc w:val="center"/>
              <w:rPr>
                <w:rFonts w:ascii="Times New Roman" w:hAnsi="Times New Roman"/>
                <w:sz w:val="22"/>
                <w:szCs w:val="22"/>
              </w:rPr>
            </w:pPr>
            <w:r>
              <w:rPr>
                <w:sz w:val="22"/>
                <w:szCs w:val="22"/>
              </w:rPr>
              <w:t>-0.14 ± 0.36</w:t>
            </w:r>
          </w:p>
        </w:tc>
        <w:tc>
          <w:tcPr>
            <w:tcW w:w="1170" w:type="dxa"/>
            <w:tcBorders>
              <w:bottom w:val="single" w:sz="4" w:space="0" w:color="auto"/>
            </w:tcBorders>
          </w:tcPr>
          <w:p w14:paraId="538B48D5" w14:textId="77777777" w:rsidR="003020DF" w:rsidRPr="00D06532" w:rsidRDefault="003020DF" w:rsidP="003020DF">
            <w:pPr>
              <w:pStyle w:val="TCTableBody"/>
              <w:jc w:val="center"/>
              <w:rPr>
                <w:rFonts w:ascii="Times New Roman" w:hAnsi="Times New Roman"/>
                <w:sz w:val="22"/>
                <w:szCs w:val="22"/>
              </w:rPr>
            </w:pPr>
            <w:r>
              <w:rPr>
                <w:sz w:val="22"/>
                <w:szCs w:val="22"/>
              </w:rPr>
              <w:t>0.015 ± 0.008</w:t>
            </w:r>
          </w:p>
        </w:tc>
        <w:tc>
          <w:tcPr>
            <w:tcW w:w="1170" w:type="dxa"/>
            <w:tcBorders>
              <w:bottom w:val="single" w:sz="4" w:space="0" w:color="auto"/>
            </w:tcBorders>
          </w:tcPr>
          <w:p w14:paraId="2175E474"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0.27 ± 0.17</w:t>
            </w:r>
          </w:p>
        </w:tc>
      </w:tr>
      <w:tr w:rsidR="003020DF" w:rsidRPr="00D06532" w14:paraId="7CF61115" w14:textId="77777777" w:rsidTr="005F306B">
        <w:trPr>
          <w:trHeight w:val="340"/>
        </w:trPr>
        <w:tc>
          <w:tcPr>
            <w:tcW w:w="1260" w:type="dxa"/>
            <w:vMerge w:val="restart"/>
            <w:tcBorders>
              <w:top w:val="single" w:sz="4" w:space="0" w:color="auto"/>
            </w:tcBorders>
            <w:hideMark/>
          </w:tcPr>
          <w:p w14:paraId="5A27C0A2" w14:textId="77777777" w:rsidR="003020DF" w:rsidRPr="00D06532" w:rsidRDefault="003020DF" w:rsidP="003020DF">
            <w:pPr>
              <w:pStyle w:val="TCTableBody"/>
              <w:jc w:val="center"/>
              <w:rPr>
                <w:rFonts w:ascii="Times New Roman" w:hAnsi="Times New Roman"/>
                <w:b/>
                <w:bCs/>
                <w:i/>
                <w:iCs/>
                <w:color w:val="000000"/>
                <w:sz w:val="22"/>
                <w:szCs w:val="22"/>
              </w:rPr>
            </w:pPr>
            <w:r>
              <w:rPr>
                <w:b/>
                <w:bCs/>
                <w:i/>
                <w:iCs/>
                <w:color w:val="000000"/>
                <w:sz w:val="22"/>
                <w:szCs w:val="22"/>
              </w:rPr>
              <w:t>Resistant</w:t>
            </w:r>
          </w:p>
        </w:tc>
        <w:tc>
          <w:tcPr>
            <w:tcW w:w="1080" w:type="dxa"/>
            <w:tcBorders>
              <w:top w:val="single" w:sz="4" w:space="0" w:color="auto"/>
            </w:tcBorders>
            <w:hideMark/>
          </w:tcPr>
          <w:p w14:paraId="4215F5F8"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Y318F</w:t>
            </w:r>
          </w:p>
        </w:tc>
        <w:tc>
          <w:tcPr>
            <w:tcW w:w="1170" w:type="dxa"/>
            <w:tcBorders>
              <w:top w:val="single" w:sz="4" w:space="0" w:color="auto"/>
            </w:tcBorders>
            <w:hideMark/>
          </w:tcPr>
          <w:p w14:paraId="5F8A133E"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1.53 ± 0.21</w:t>
            </w:r>
          </w:p>
        </w:tc>
        <w:tc>
          <w:tcPr>
            <w:tcW w:w="1170" w:type="dxa"/>
            <w:tcBorders>
              <w:top w:val="single" w:sz="4" w:space="0" w:color="auto"/>
            </w:tcBorders>
            <w:hideMark/>
          </w:tcPr>
          <w:p w14:paraId="4F111DCB"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1.40 ± 0.24</w:t>
            </w:r>
          </w:p>
        </w:tc>
        <w:tc>
          <w:tcPr>
            <w:tcW w:w="1170" w:type="dxa"/>
            <w:tcBorders>
              <w:top w:val="single" w:sz="4" w:space="0" w:color="auto"/>
            </w:tcBorders>
            <w:hideMark/>
          </w:tcPr>
          <w:p w14:paraId="5EB0E0A4"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-0.35 ± 0.39</w:t>
            </w:r>
          </w:p>
        </w:tc>
        <w:tc>
          <w:tcPr>
            <w:tcW w:w="1170" w:type="dxa"/>
            <w:tcBorders>
              <w:top w:val="single" w:sz="4" w:space="0" w:color="auto"/>
            </w:tcBorders>
          </w:tcPr>
          <w:p w14:paraId="42A6E2FF"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0.52 ± 0.27</w:t>
            </w:r>
          </w:p>
        </w:tc>
        <w:tc>
          <w:tcPr>
            <w:tcW w:w="1170" w:type="dxa"/>
            <w:tcBorders>
              <w:top w:val="single" w:sz="4" w:space="0" w:color="auto"/>
            </w:tcBorders>
          </w:tcPr>
          <w:p w14:paraId="175F2E4D"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-0.040 ± 0.023</w:t>
            </w:r>
          </w:p>
        </w:tc>
        <w:tc>
          <w:tcPr>
            <w:tcW w:w="1170" w:type="dxa"/>
            <w:tcBorders>
              <w:top w:val="single" w:sz="4" w:space="0" w:color="auto"/>
            </w:tcBorders>
          </w:tcPr>
          <w:p w14:paraId="397FF566"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1.41 ± 0.45</w:t>
            </w:r>
          </w:p>
        </w:tc>
      </w:tr>
      <w:tr w:rsidR="003020DF" w:rsidRPr="00D06532" w14:paraId="6DC30516" w14:textId="77777777" w:rsidTr="005F306B">
        <w:trPr>
          <w:trHeight w:val="340"/>
        </w:trPr>
        <w:tc>
          <w:tcPr>
            <w:tcW w:w="1260" w:type="dxa"/>
            <w:vMerge/>
            <w:hideMark/>
          </w:tcPr>
          <w:p w14:paraId="06FA5A54" w14:textId="77777777" w:rsidR="003020DF" w:rsidRPr="00D06532" w:rsidRDefault="003020DF" w:rsidP="003020DF">
            <w:pPr>
              <w:rPr>
                <w:rFonts w:ascii="Times New Roman" w:hAnsi="Times New Roman"/>
                <w:color w:val="000000"/>
                <w:sz w:val="22"/>
                <w:szCs w:val="22"/>
              </w:rPr>
            </w:pPr>
          </w:p>
        </w:tc>
        <w:tc>
          <w:tcPr>
            <w:tcW w:w="1080" w:type="dxa"/>
            <w:hideMark/>
          </w:tcPr>
          <w:p w14:paraId="4D67FA31"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V106A</w:t>
            </w:r>
          </w:p>
        </w:tc>
        <w:tc>
          <w:tcPr>
            <w:tcW w:w="1170" w:type="dxa"/>
            <w:hideMark/>
          </w:tcPr>
          <w:p w14:paraId="28F6140D"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1.73 ± 0.41</w:t>
            </w:r>
          </w:p>
        </w:tc>
        <w:tc>
          <w:tcPr>
            <w:tcW w:w="1170" w:type="dxa"/>
            <w:hideMark/>
          </w:tcPr>
          <w:p w14:paraId="036BFFEE"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0.73 ± 0.20</w:t>
            </w:r>
          </w:p>
        </w:tc>
        <w:tc>
          <w:tcPr>
            <w:tcW w:w="1170" w:type="dxa"/>
            <w:hideMark/>
          </w:tcPr>
          <w:p w14:paraId="614612B1"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-0.06 ± 0.77</w:t>
            </w:r>
          </w:p>
        </w:tc>
        <w:tc>
          <w:tcPr>
            <w:tcW w:w="1170" w:type="dxa"/>
          </w:tcPr>
          <w:p w14:paraId="58480A35" w14:textId="77777777" w:rsidR="003020DF" w:rsidRPr="00D06532" w:rsidRDefault="003020DF" w:rsidP="003020DF">
            <w:pPr>
              <w:pStyle w:val="TCTableBody"/>
              <w:jc w:val="center"/>
              <w:rPr>
                <w:rFonts w:ascii="Times New Roman" w:hAnsi="Times New Roman"/>
                <w:sz w:val="22"/>
                <w:szCs w:val="22"/>
              </w:rPr>
            </w:pPr>
            <w:r>
              <w:rPr>
                <w:sz w:val="22"/>
                <w:szCs w:val="22"/>
              </w:rPr>
              <w:t>1.05 ± 0.64</w:t>
            </w:r>
          </w:p>
        </w:tc>
        <w:tc>
          <w:tcPr>
            <w:tcW w:w="1170" w:type="dxa"/>
          </w:tcPr>
          <w:p w14:paraId="5EBC8166" w14:textId="77777777" w:rsidR="003020DF" w:rsidRPr="00D06532" w:rsidRDefault="003020DF" w:rsidP="003020DF">
            <w:pPr>
              <w:pStyle w:val="TCTableBody"/>
              <w:jc w:val="center"/>
              <w:rPr>
                <w:rFonts w:ascii="Times New Roman" w:hAnsi="Times New Roman"/>
                <w:sz w:val="22"/>
                <w:szCs w:val="22"/>
              </w:rPr>
            </w:pPr>
            <w:r>
              <w:rPr>
                <w:sz w:val="22"/>
                <w:szCs w:val="22"/>
              </w:rPr>
              <w:t>0.016 ± 0.021</w:t>
            </w:r>
          </w:p>
        </w:tc>
        <w:tc>
          <w:tcPr>
            <w:tcW w:w="1170" w:type="dxa"/>
          </w:tcPr>
          <w:p w14:paraId="00BD0059"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1.76 ± 0.51</w:t>
            </w:r>
          </w:p>
        </w:tc>
      </w:tr>
      <w:tr w:rsidR="003020DF" w:rsidRPr="00D06532" w14:paraId="76ADCE2F" w14:textId="77777777" w:rsidTr="005F306B">
        <w:trPr>
          <w:trHeight w:val="340"/>
        </w:trPr>
        <w:tc>
          <w:tcPr>
            <w:tcW w:w="1260" w:type="dxa"/>
            <w:vMerge/>
            <w:hideMark/>
          </w:tcPr>
          <w:p w14:paraId="6DA70404" w14:textId="77777777" w:rsidR="003020DF" w:rsidRPr="00D06532" w:rsidRDefault="003020DF" w:rsidP="003020DF">
            <w:pPr>
              <w:rPr>
                <w:rFonts w:ascii="Times New Roman" w:hAnsi="Times New Roman"/>
                <w:color w:val="000000"/>
                <w:sz w:val="22"/>
                <w:szCs w:val="22"/>
              </w:rPr>
            </w:pPr>
          </w:p>
        </w:tc>
        <w:tc>
          <w:tcPr>
            <w:tcW w:w="1080" w:type="dxa"/>
            <w:hideMark/>
          </w:tcPr>
          <w:p w14:paraId="3B520FC1"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A98G + F227C</w:t>
            </w:r>
          </w:p>
        </w:tc>
        <w:tc>
          <w:tcPr>
            <w:tcW w:w="1170" w:type="dxa"/>
            <w:hideMark/>
          </w:tcPr>
          <w:p w14:paraId="56333428"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2.47 ± 0.24</w:t>
            </w:r>
          </w:p>
        </w:tc>
        <w:tc>
          <w:tcPr>
            <w:tcW w:w="1170" w:type="dxa"/>
            <w:hideMark/>
          </w:tcPr>
          <w:p w14:paraId="0564C298"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1.81 ± 0.27</w:t>
            </w:r>
          </w:p>
        </w:tc>
        <w:tc>
          <w:tcPr>
            <w:tcW w:w="1170" w:type="dxa"/>
            <w:hideMark/>
          </w:tcPr>
          <w:p w14:paraId="0589EF74"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0.30 ± 0.22</w:t>
            </w:r>
          </w:p>
        </w:tc>
        <w:tc>
          <w:tcPr>
            <w:tcW w:w="1170" w:type="dxa"/>
          </w:tcPr>
          <w:p w14:paraId="17B3EB64" w14:textId="77777777" w:rsidR="003020DF" w:rsidRPr="00D06532" w:rsidRDefault="003020DF" w:rsidP="003020DF">
            <w:pPr>
              <w:pStyle w:val="TCTableBody"/>
              <w:jc w:val="center"/>
              <w:rPr>
                <w:rFonts w:ascii="Times New Roman" w:hAnsi="Times New Roman"/>
                <w:sz w:val="22"/>
                <w:szCs w:val="22"/>
              </w:rPr>
            </w:pPr>
            <w:r>
              <w:rPr>
                <w:sz w:val="22"/>
                <w:szCs w:val="22"/>
              </w:rPr>
              <w:t>0.31 ± 0.15</w:t>
            </w:r>
          </w:p>
        </w:tc>
        <w:tc>
          <w:tcPr>
            <w:tcW w:w="1170" w:type="dxa"/>
          </w:tcPr>
          <w:p w14:paraId="6C5A2248" w14:textId="77777777" w:rsidR="003020DF" w:rsidRPr="00D06532" w:rsidRDefault="003020DF" w:rsidP="003020DF">
            <w:pPr>
              <w:pStyle w:val="TCTableBody"/>
              <w:jc w:val="center"/>
              <w:rPr>
                <w:rFonts w:ascii="Times New Roman" w:hAnsi="Times New Roman"/>
                <w:sz w:val="22"/>
                <w:szCs w:val="22"/>
              </w:rPr>
            </w:pPr>
            <w:r>
              <w:rPr>
                <w:sz w:val="22"/>
                <w:szCs w:val="22"/>
              </w:rPr>
              <w:t>0.051 ± 0.023</w:t>
            </w:r>
          </w:p>
        </w:tc>
        <w:tc>
          <w:tcPr>
            <w:tcW w:w="1170" w:type="dxa"/>
          </w:tcPr>
          <w:p w14:paraId="58E224E2"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-1.53 ± 0.87</w:t>
            </w:r>
          </w:p>
        </w:tc>
      </w:tr>
      <w:tr w:rsidR="003020DF" w:rsidRPr="00D06532" w14:paraId="66EEF79D" w14:textId="77777777" w:rsidTr="005F306B">
        <w:trPr>
          <w:trHeight w:val="340"/>
        </w:trPr>
        <w:tc>
          <w:tcPr>
            <w:tcW w:w="1260" w:type="dxa"/>
            <w:vMerge/>
            <w:hideMark/>
          </w:tcPr>
          <w:p w14:paraId="04CBEA59" w14:textId="77777777" w:rsidR="003020DF" w:rsidRPr="00D06532" w:rsidRDefault="003020DF" w:rsidP="003020DF">
            <w:pPr>
              <w:rPr>
                <w:rFonts w:ascii="Times New Roman" w:hAnsi="Times New Roman"/>
                <w:color w:val="000000"/>
                <w:sz w:val="22"/>
                <w:szCs w:val="22"/>
              </w:rPr>
            </w:pPr>
          </w:p>
        </w:tc>
        <w:tc>
          <w:tcPr>
            <w:tcW w:w="1080" w:type="dxa"/>
            <w:hideMark/>
          </w:tcPr>
          <w:p w14:paraId="1DEA02D2"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V106I + F227C</w:t>
            </w:r>
          </w:p>
        </w:tc>
        <w:tc>
          <w:tcPr>
            <w:tcW w:w="1170" w:type="dxa"/>
            <w:hideMark/>
          </w:tcPr>
          <w:p w14:paraId="357AE564"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0.99 ± 0.54</w:t>
            </w:r>
          </w:p>
        </w:tc>
        <w:tc>
          <w:tcPr>
            <w:tcW w:w="1170" w:type="dxa"/>
            <w:hideMark/>
          </w:tcPr>
          <w:p w14:paraId="46BF0286"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1.05 ± 0.57</w:t>
            </w:r>
          </w:p>
        </w:tc>
        <w:tc>
          <w:tcPr>
            <w:tcW w:w="1170" w:type="dxa"/>
            <w:hideMark/>
          </w:tcPr>
          <w:p w14:paraId="28D09650"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-0.05 ± 0.26</w:t>
            </w:r>
          </w:p>
        </w:tc>
        <w:tc>
          <w:tcPr>
            <w:tcW w:w="1170" w:type="dxa"/>
          </w:tcPr>
          <w:p w14:paraId="6523476A" w14:textId="77777777" w:rsidR="003020DF" w:rsidRPr="00D06532" w:rsidRDefault="003020DF" w:rsidP="003020DF">
            <w:pPr>
              <w:pStyle w:val="TCTableBody"/>
              <w:jc w:val="center"/>
              <w:rPr>
                <w:rFonts w:ascii="Times New Roman" w:hAnsi="Times New Roman"/>
                <w:sz w:val="22"/>
                <w:szCs w:val="22"/>
              </w:rPr>
            </w:pPr>
            <w:r>
              <w:rPr>
                <w:sz w:val="22"/>
                <w:szCs w:val="22"/>
              </w:rPr>
              <w:t>-0.02 ± 0.26</w:t>
            </w:r>
          </w:p>
        </w:tc>
        <w:tc>
          <w:tcPr>
            <w:tcW w:w="1170" w:type="dxa"/>
          </w:tcPr>
          <w:p w14:paraId="15778ADF" w14:textId="77777777" w:rsidR="003020DF" w:rsidRPr="00D06532" w:rsidRDefault="003020DF" w:rsidP="003020DF">
            <w:pPr>
              <w:pStyle w:val="TCTableBody"/>
              <w:jc w:val="center"/>
              <w:rPr>
                <w:rFonts w:ascii="Times New Roman" w:hAnsi="Times New Roman"/>
                <w:sz w:val="22"/>
                <w:szCs w:val="22"/>
              </w:rPr>
            </w:pPr>
            <w:r>
              <w:rPr>
                <w:sz w:val="22"/>
                <w:szCs w:val="22"/>
              </w:rPr>
              <w:t>0.009 ± 0.013</w:t>
            </w:r>
          </w:p>
        </w:tc>
        <w:tc>
          <w:tcPr>
            <w:tcW w:w="1170" w:type="dxa"/>
          </w:tcPr>
          <w:p w14:paraId="26174CED"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1.75 ± 1.16</w:t>
            </w:r>
          </w:p>
        </w:tc>
      </w:tr>
      <w:tr w:rsidR="003020DF" w:rsidRPr="00D06532" w14:paraId="1EE71C21" w14:textId="77777777" w:rsidTr="005F306B">
        <w:trPr>
          <w:trHeight w:val="340"/>
        </w:trPr>
        <w:tc>
          <w:tcPr>
            <w:tcW w:w="1260" w:type="dxa"/>
            <w:vMerge/>
            <w:hideMark/>
          </w:tcPr>
          <w:p w14:paraId="789E21DE" w14:textId="77777777" w:rsidR="003020DF" w:rsidRPr="00D06532" w:rsidRDefault="003020DF" w:rsidP="003020DF">
            <w:pPr>
              <w:rPr>
                <w:rFonts w:ascii="Times New Roman" w:hAnsi="Times New Roman"/>
                <w:color w:val="000000"/>
                <w:sz w:val="22"/>
                <w:szCs w:val="22"/>
              </w:rPr>
            </w:pPr>
          </w:p>
        </w:tc>
        <w:tc>
          <w:tcPr>
            <w:tcW w:w="1080" w:type="dxa"/>
            <w:hideMark/>
          </w:tcPr>
          <w:p w14:paraId="658627B3"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V106A + F227L</w:t>
            </w:r>
          </w:p>
        </w:tc>
        <w:tc>
          <w:tcPr>
            <w:tcW w:w="1170" w:type="dxa"/>
            <w:hideMark/>
          </w:tcPr>
          <w:p w14:paraId="66ADE700"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2.70 ± 0.58</w:t>
            </w:r>
          </w:p>
        </w:tc>
        <w:tc>
          <w:tcPr>
            <w:tcW w:w="1170" w:type="dxa"/>
            <w:hideMark/>
          </w:tcPr>
          <w:p w14:paraId="3883D732"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1.00 ± 0.90</w:t>
            </w:r>
          </w:p>
        </w:tc>
        <w:tc>
          <w:tcPr>
            <w:tcW w:w="1170" w:type="dxa"/>
            <w:hideMark/>
          </w:tcPr>
          <w:p w14:paraId="34E37E18"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0.77 ± 0.52</w:t>
            </w:r>
          </w:p>
        </w:tc>
        <w:tc>
          <w:tcPr>
            <w:tcW w:w="1170" w:type="dxa"/>
          </w:tcPr>
          <w:p w14:paraId="16692BE6" w14:textId="77777777" w:rsidR="003020DF" w:rsidRPr="00D06532" w:rsidRDefault="003020DF" w:rsidP="003020DF">
            <w:pPr>
              <w:pStyle w:val="TCTableBody"/>
              <w:jc w:val="center"/>
              <w:rPr>
                <w:rFonts w:ascii="Times New Roman" w:hAnsi="Times New Roman"/>
                <w:sz w:val="22"/>
                <w:szCs w:val="22"/>
              </w:rPr>
            </w:pPr>
            <w:r>
              <w:rPr>
                <w:sz w:val="22"/>
                <w:szCs w:val="22"/>
              </w:rPr>
              <w:t>0.92 ± 0.19</w:t>
            </w:r>
          </w:p>
        </w:tc>
        <w:tc>
          <w:tcPr>
            <w:tcW w:w="1170" w:type="dxa"/>
          </w:tcPr>
          <w:p w14:paraId="5BC5CD7A" w14:textId="77777777" w:rsidR="003020DF" w:rsidRPr="00D06532" w:rsidRDefault="003020DF" w:rsidP="003020DF">
            <w:pPr>
              <w:pStyle w:val="TCTableBody"/>
              <w:jc w:val="center"/>
              <w:rPr>
                <w:rFonts w:ascii="Times New Roman" w:hAnsi="Times New Roman"/>
                <w:sz w:val="22"/>
                <w:szCs w:val="22"/>
              </w:rPr>
            </w:pPr>
            <w:r>
              <w:rPr>
                <w:sz w:val="22"/>
                <w:szCs w:val="22"/>
              </w:rPr>
              <w:t>0.008 ± 0.015</w:t>
            </w:r>
          </w:p>
        </w:tc>
        <w:tc>
          <w:tcPr>
            <w:tcW w:w="1170" w:type="dxa"/>
          </w:tcPr>
          <w:p w14:paraId="4E68A0A1"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4.39 ± 1.00</w:t>
            </w:r>
          </w:p>
        </w:tc>
      </w:tr>
      <w:tr w:rsidR="003020DF" w:rsidRPr="00D06532" w14:paraId="74701278" w14:textId="77777777" w:rsidTr="005F306B">
        <w:trPr>
          <w:trHeight w:val="340"/>
        </w:trPr>
        <w:tc>
          <w:tcPr>
            <w:tcW w:w="1260" w:type="dxa"/>
            <w:vMerge/>
            <w:hideMark/>
          </w:tcPr>
          <w:p w14:paraId="232ED716" w14:textId="77777777" w:rsidR="003020DF" w:rsidRPr="00D06532" w:rsidRDefault="003020DF" w:rsidP="003020DF">
            <w:pPr>
              <w:rPr>
                <w:rFonts w:ascii="Times New Roman" w:hAnsi="Times New Roman"/>
                <w:color w:val="000000"/>
                <w:sz w:val="22"/>
                <w:szCs w:val="22"/>
              </w:rPr>
            </w:pPr>
          </w:p>
        </w:tc>
        <w:tc>
          <w:tcPr>
            <w:tcW w:w="1080" w:type="dxa"/>
            <w:hideMark/>
          </w:tcPr>
          <w:p w14:paraId="56FE2A34"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Y188L</w:t>
            </w:r>
          </w:p>
        </w:tc>
        <w:tc>
          <w:tcPr>
            <w:tcW w:w="1170" w:type="dxa"/>
            <w:hideMark/>
          </w:tcPr>
          <w:p w14:paraId="6FA5E41B"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2.78 ± 0.42</w:t>
            </w:r>
          </w:p>
        </w:tc>
        <w:tc>
          <w:tcPr>
            <w:tcW w:w="1170" w:type="dxa"/>
            <w:hideMark/>
          </w:tcPr>
          <w:p w14:paraId="4A2CCA22"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2.25 ± 0.20</w:t>
            </w:r>
          </w:p>
        </w:tc>
        <w:tc>
          <w:tcPr>
            <w:tcW w:w="1170" w:type="dxa"/>
            <w:hideMark/>
          </w:tcPr>
          <w:p w14:paraId="33534A9A"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0.31 ± 0.26</w:t>
            </w:r>
          </w:p>
        </w:tc>
        <w:tc>
          <w:tcPr>
            <w:tcW w:w="1170" w:type="dxa"/>
          </w:tcPr>
          <w:p w14:paraId="1D61BE07"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0.26 ± 0.12</w:t>
            </w:r>
          </w:p>
        </w:tc>
        <w:tc>
          <w:tcPr>
            <w:tcW w:w="1170" w:type="dxa"/>
          </w:tcPr>
          <w:p w14:paraId="49C3E257"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-0.044 ± 0.017</w:t>
            </w:r>
          </w:p>
        </w:tc>
        <w:tc>
          <w:tcPr>
            <w:tcW w:w="1170" w:type="dxa"/>
          </w:tcPr>
          <w:p w14:paraId="7ACF0E9A"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4.52 ± 0.49</w:t>
            </w:r>
          </w:p>
        </w:tc>
      </w:tr>
      <w:tr w:rsidR="003020DF" w:rsidRPr="00D06532" w14:paraId="126E0F9E" w14:textId="77777777" w:rsidTr="005F306B">
        <w:trPr>
          <w:trHeight w:val="340"/>
        </w:trPr>
        <w:tc>
          <w:tcPr>
            <w:tcW w:w="1260" w:type="dxa"/>
            <w:vMerge/>
            <w:hideMark/>
          </w:tcPr>
          <w:p w14:paraId="0A816E6C" w14:textId="77777777" w:rsidR="003020DF" w:rsidRPr="00D06532" w:rsidRDefault="003020DF" w:rsidP="003020DF">
            <w:pPr>
              <w:rPr>
                <w:rFonts w:ascii="Times New Roman" w:hAnsi="Times New Roman"/>
                <w:color w:val="000000"/>
                <w:sz w:val="22"/>
                <w:szCs w:val="22"/>
              </w:rPr>
            </w:pPr>
          </w:p>
        </w:tc>
        <w:tc>
          <w:tcPr>
            <w:tcW w:w="1080" w:type="dxa"/>
            <w:hideMark/>
          </w:tcPr>
          <w:p w14:paraId="2275DD35"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V106A + P225H</w:t>
            </w:r>
          </w:p>
        </w:tc>
        <w:tc>
          <w:tcPr>
            <w:tcW w:w="1170" w:type="dxa"/>
            <w:hideMark/>
          </w:tcPr>
          <w:p w14:paraId="1EB40808"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1.62 ± 0.81</w:t>
            </w:r>
          </w:p>
        </w:tc>
        <w:tc>
          <w:tcPr>
            <w:tcW w:w="1170" w:type="dxa"/>
            <w:hideMark/>
          </w:tcPr>
          <w:p w14:paraId="7BA4E335"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0.23 ± 1.00</w:t>
            </w:r>
          </w:p>
        </w:tc>
        <w:tc>
          <w:tcPr>
            <w:tcW w:w="1170" w:type="dxa"/>
            <w:hideMark/>
          </w:tcPr>
          <w:p w14:paraId="7FAD7351"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0.85 ± 0.67</w:t>
            </w:r>
          </w:p>
        </w:tc>
        <w:tc>
          <w:tcPr>
            <w:tcW w:w="1170" w:type="dxa"/>
          </w:tcPr>
          <w:p w14:paraId="3C2DEF6D" w14:textId="77777777" w:rsidR="003020DF" w:rsidRPr="00D06532" w:rsidRDefault="003020DF" w:rsidP="003020DF">
            <w:pPr>
              <w:pStyle w:val="TCTableBody"/>
              <w:jc w:val="center"/>
              <w:rPr>
                <w:rFonts w:ascii="Times New Roman" w:hAnsi="Times New Roman"/>
                <w:sz w:val="22"/>
                <w:szCs w:val="22"/>
              </w:rPr>
            </w:pPr>
            <w:r>
              <w:rPr>
                <w:sz w:val="22"/>
                <w:szCs w:val="22"/>
              </w:rPr>
              <w:t>0.55 ± 0.74</w:t>
            </w:r>
          </w:p>
        </w:tc>
        <w:tc>
          <w:tcPr>
            <w:tcW w:w="1170" w:type="dxa"/>
          </w:tcPr>
          <w:p w14:paraId="4946EBF5" w14:textId="77777777" w:rsidR="003020DF" w:rsidRPr="00D06532" w:rsidRDefault="003020DF" w:rsidP="003020DF">
            <w:pPr>
              <w:pStyle w:val="TCTableBody"/>
              <w:jc w:val="center"/>
              <w:rPr>
                <w:rFonts w:ascii="Times New Roman" w:hAnsi="Times New Roman"/>
                <w:sz w:val="22"/>
                <w:szCs w:val="22"/>
              </w:rPr>
            </w:pPr>
            <w:r>
              <w:rPr>
                <w:sz w:val="22"/>
                <w:szCs w:val="22"/>
              </w:rPr>
              <w:t>-0.008 ± 0.018</w:t>
            </w:r>
          </w:p>
        </w:tc>
        <w:tc>
          <w:tcPr>
            <w:tcW w:w="1170" w:type="dxa"/>
          </w:tcPr>
          <w:p w14:paraId="40D6FB28"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3.71 ± 1.13</w:t>
            </w:r>
          </w:p>
        </w:tc>
      </w:tr>
      <w:tr w:rsidR="003020DF" w:rsidRPr="00D06532" w14:paraId="58459C3F" w14:textId="77777777" w:rsidTr="005F306B">
        <w:trPr>
          <w:trHeight w:val="386"/>
        </w:trPr>
        <w:tc>
          <w:tcPr>
            <w:tcW w:w="1260" w:type="dxa"/>
            <w:vMerge/>
            <w:hideMark/>
          </w:tcPr>
          <w:p w14:paraId="2359CAF6" w14:textId="77777777" w:rsidR="003020DF" w:rsidRPr="00D06532" w:rsidRDefault="003020DF" w:rsidP="003020DF">
            <w:pPr>
              <w:rPr>
                <w:rFonts w:ascii="Times New Roman" w:hAnsi="Times New Roman"/>
                <w:color w:val="000000"/>
                <w:sz w:val="22"/>
                <w:szCs w:val="22"/>
              </w:rPr>
            </w:pPr>
          </w:p>
        </w:tc>
        <w:tc>
          <w:tcPr>
            <w:tcW w:w="1080" w:type="dxa"/>
            <w:hideMark/>
          </w:tcPr>
          <w:p w14:paraId="46CBF970"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V106A + L234I</w:t>
            </w:r>
          </w:p>
        </w:tc>
        <w:tc>
          <w:tcPr>
            <w:tcW w:w="1170" w:type="dxa"/>
            <w:hideMark/>
          </w:tcPr>
          <w:p w14:paraId="1A2D0EC3"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2.37 ± 0.28</w:t>
            </w:r>
          </w:p>
        </w:tc>
        <w:tc>
          <w:tcPr>
            <w:tcW w:w="1170" w:type="dxa"/>
            <w:hideMark/>
          </w:tcPr>
          <w:p w14:paraId="4D9C16D8"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0.79 ± 0.44</w:t>
            </w:r>
          </w:p>
        </w:tc>
        <w:tc>
          <w:tcPr>
            <w:tcW w:w="1170" w:type="dxa"/>
            <w:hideMark/>
          </w:tcPr>
          <w:p w14:paraId="78254BA9"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0.47 ± 0.41</w:t>
            </w:r>
          </w:p>
        </w:tc>
        <w:tc>
          <w:tcPr>
            <w:tcW w:w="1170" w:type="dxa"/>
          </w:tcPr>
          <w:p w14:paraId="49D48183" w14:textId="77777777" w:rsidR="003020DF" w:rsidRPr="00D06532" w:rsidRDefault="003020DF" w:rsidP="003020DF">
            <w:pPr>
              <w:pStyle w:val="TCTableBody"/>
              <w:jc w:val="center"/>
              <w:rPr>
                <w:rFonts w:ascii="Times New Roman" w:hAnsi="Times New Roman"/>
                <w:sz w:val="22"/>
                <w:szCs w:val="22"/>
              </w:rPr>
            </w:pPr>
            <w:r>
              <w:rPr>
                <w:sz w:val="22"/>
                <w:szCs w:val="22"/>
              </w:rPr>
              <w:t>1.10 ± 0.43</w:t>
            </w:r>
          </w:p>
        </w:tc>
        <w:tc>
          <w:tcPr>
            <w:tcW w:w="1170" w:type="dxa"/>
          </w:tcPr>
          <w:p w14:paraId="787966D0" w14:textId="77777777" w:rsidR="003020DF" w:rsidRPr="00D06532" w:rsidRDefault="003020DF" w:rsidP="003020DF">
            <w:pPr>
              <w:pStyle w:val="TCTableBody"/>
              <w:jc w:val="center"/>
              <w:rPr>
                <w:rFonts w:ascii="Times New Roman" w:hAnsi="Times New Roman"/>
                <w:sz w:val="22"/>
                <w:szCs w:val="22"/>
              </w:rPr>
            </w:pPr>
            <w:r>
              <w:rPr>
                <w:sz w:val="22"/>
                <w:szCs w:val="22"/>
              </w:rPr>
              <w:t>0.003 ± 0.031</w:t>
            </w:r>
          </w:p>
        </w:tc>
        <w:tc>
          <w:tcPr>
            <w:tcW w:w="1170" w:type="dxa"/>
          </w:tcPr>
          <w:p w14:paraId="646A2CCD"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3.72 ± 1.10</w:t>
            </w:r>
          </w:p>
        </w:tc>
      </w:tr>
      <w:tr w:rsidR="003020DF" w:rsidRPr="00D06532" w14:paraId="14212F0E" w14:textId="77777777" w:rsidTr="005F306B">
        <w:trPr>
          <w:trHeight w:val="386"/>
        </w:trPr>
        <w:tc>
          <w:tcPr>
            <w:tcW w:w="1260" w:type="dxa"/>
            <w:vMerge/>
            <w:tcBorders>
              <w:bottom w:val="single" w:sz="4" w:space="0" w:color="auto"/>
            </w:tcBorders>
          </w:tcPr>
          <w:p w14:paraId="01880CAF" w14:textId="77777777" w:rsidR="003020DF" w:rsidRPr="00D06532" w:rsidRDefault="003020DF" w:rsidP="003020DF">
            <w:pPr>
              <w:rPr>
                <w:rFonts w:ascii="Times New Roman" w:hAnsi="Times New Roman"/>
                <w:color w:val="000000"/>
                <w:sz w:val="22"/>
                <w:szCs w:val="22"/>
              </w:rPr>
            </w:pPr>
          </w:p>
        </w:tc>
        <w:tc>
          <w:tcPr>
            <w:tcW w:w="1080" w:type="dxa"/>
            <w:tcBorders>
              <w:bottom w:val="single" w:sz="4" w:space="0" w:color="auto"/>
            </w:tcBorders>
          </w:tcPr>
          <w:p w14:paraId="5B5B4959" w14:textId="77777777" w:rsidR="003020DF" w:rsidRPr="00D06532" w:rsidRDefault="003020DF" w:rsidP="003020DF">
            <w:pPr>
              <w:pStyle w:val="TCTableBody"/>
              <w:jc w:val="center"/>
              <w:rPr>
                <w:rFonts w:ascii="Times New Roman" w:hAnsi="Times New Roman"/>
                <w:sz w:val="22"/>
                <w:szCs w:val="22"/>
              </w:rPr>
            </w:pPr>
            <w:r>
              <w:rPr>
                <w:sz w:val="22"/>
                <w:szCs w:val="22"/>
              </w:rPr>
              <w:t>K103N + M230L</w:t>
            </w:r>
          </w:p>
        </w:tc>
        <w:tc>
          <w:tcPr>
            <w:tcW w:w="1170" w:type="dxa"/>
            <w:tcBorders>
              <w:bottom w:val="single" w:sz="4" w:space="0" w:color="auto"/>
            </w:tcBorders>
          </w:tcPr>
          <w:p w14:paraId="5819C8E1" w14:textId="77777777" w:rsidR="003020DF" w:rsidRPr="00D06532" w:rsidRDefault="003020DF" w:rsidP="003020DF">
            <w:pPr>
              <w:pStyle w:val="TCTableBody"/>
              <w:jc w:val="center"/>
              <w:rPr>
                <w:rFonts w:ascii="Times New Roman" w:hAnsi="Times New Roman"/>
                <w:sz w:val="22"/>
                <w:szCs w:val="22"/>
              </w:rPr>
            </w:pPr>
            <w:r>
              <w:rPr>
                <w:sz w:val="22"/>
                <w:szCs w:val="22"/>
              </w:rPr>
              <w:t>-1.42 ± 0.67</w:t>
            </w:r>
          </w:p>
        </w:tc>
        <w:tc>
          <w:tcPr>
            <w:tcW w:w="1170" w:type="dxa"/>
            <w:tcBorders>
              <w:bottom w:val="single" w:sz="4" w:space="0" w:color="auto"/>
            </w:tcBorders>
          </w:tcPr>
          <w:p w14:paraId="703C341B" w14:textId="77777777" w:rsidR="003020DF" w:rsidRPr="00D06532" w:rsidRDefault="003020DF" w:rsidP="003020DF">
            <w:pPr>
              <w:pStyle w:val="TCTableBody"/>
              <w:jc w:val="center"/>
              <w:rPr>
                <w:rFonts w:ascii="Times New Roman" w:hAnsi="Times New Roman"/>
                <w:sz w:val="22"/>
                <w:szCs w:val="22"/>
              </w:rPr>
            </w:pPr>
            <w:r>
              <w:rPr>
                <w:sz w:val="22"/>
                <w:szCs w:val="22"/>
              </w:rPr>
              <w:t>-0.95 ± 0.53</w:t>
            </w:r>
          </w:p>
        </w:tc>
        <w:tc>
          <w:tcPr>
            <w:tcW w:w="1170" w:type="dxa"/>
            <w:tcBorders>
              <w:bottom w:val="single" w:sz="4" w:space="0" w:color="auto"/>
            </w:tcBorders>
          </w:tcPr>
          <w:p w14:paraId="50A7DDE1" w14:textId="77777777" w:rsidR="003020DF" w:rsidRPr="00D06532" w:rsidRDefault="003020DF" w:rsidP="003020DF">
            <w:pPr>
              <w:pStyle w:val="TCTableBody"/>
              <w:jc w:val="center"/>
              <w:rPr>
                <w:rFonts w:ascii="Times New Roman" w:hAnsi="Times New Roman"/>
                <w:sz w:val="22"/>
                <w:szCs w:val="22"/>
              </w:rPr>
            </w:pPr>
            <w:r>
              <w:rPr>
                <w:sz w:val="22"/>
                <w:szCs w:val="22"/>
              </w:rPr>
              <w:t>-2.74 ± 0.56</w:t>
            </w:r>
          </w:p>
        </w:tc>
        <w:tc>
          <w:tcPr>
            <w:tcW w:w="1170" w:type="dxa"/>
            <w:tcBorders>
              <w:bottom w:val="single" w:sz="4" w:space="0" w:color="auto"/>
            </w:tcBorders>
          </w:tcPr>
          <w:p w14:paraId="52F7D422" w14:textId="77777777" w:rsidR="003020DF" w:rsidRPr="00D06532" w:rsidRDefault="003020DF" w:rsidP="003020DF">
            <w:pPr>
              <w:pStyle w:val="TCTableBody"/>
              <w:jc w:val="center"/>
              <w:rPr>
                <w:rFonts w:ascii="Times New Roman" w:hAnsi="Times New Roman"/>
                <w:sz w:val="22"/>
                <w:szCs w:val="22"/>
              </w:rPr>
            </w:pPr>
            <w:r>
              <w:rPr>
                <w:sz w:val="22"/>
                <w:szCs w:val="22"/>
              </w:rPr>
              <w:t>2.33 ± 0.57</w:t>
            </w:r>
          </w:p>
        </w:tc>
        <w:tc>
          <w:tcPr>
            <w:tcW w:w="1170" w:type="dxa"/>
            <w:tcBorders>
              <w:bottom w:val="single" w:sz="4" w:space="0" w:color="auto"/>
            </w:tcBorders>
          </w:tcPr>
          <w:p w14:paraId="0891FC90" w14:textId="77777777" w:rsidR="003020DF" w:rsidRPr="00D06532" w:rsidRDefault="003020DF" w:rsidP="003020DF">
            <w:pPr>
              <w:pStyle w:val="TCTableBody"/>
              <w:jc w:val="center"/>
              <w:rPr>
                <w:rFonts w:ascii="Times New Roman" w:hAnsi="Times New Roman"/>
                <w:sz w:val="22"/>
                <w:szCs w:val="22"/>
              </w:rPr>
            </w:pPr>
            <w:r>
              <w:rPr>
                <w:sz w:val="22"/>
                <w:szCs w:val="22"/>
              </w:rPr>
              <w:t>-0.062 ± 0.006</w:t>
            </w:r>
          </w:p>
        </w:tc>
        <w:tc>
          <w:tcPr>
            <w:tcW w:w="1170" w:type="dxa"/>
            <w:tcBorders>
              <w:bottom w:val="single" w:sz="4" w:space="0" w:color="auto"/>
            </w:tcBorders>
          </w:tcPr>
          <w:p w14:paraId="6392DC7A"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0.59 ± 0.41</w:t>
            </w:r>
          </w:p>
        </w:tc>
      </w:tr>
      <w:tr w:rsidR="003020DF" w:rsidRPr="00D06532" w14:paraId="6DABF57E" w14:textId="77777777" w:rsidTr="005F306B">
        <w:trPr>
          <w:trHeight w:val="340"/>
        </w:trPr>
        <w:tc>
          <w:tcPr>
            <w:tcW w:w="1260" w:type="dxa"/>
            <w:vMerge w:val="restart"/>
            <w:tcBorders>
              <w:top w:val="single" w:sz="4" w:space="0" w:color="auto"/>
            </w:tcBorders>
            <w:hideMark/>
          </w:tcPr>
          <w:p w14:paraId="5816F3CB" w14:textId="77777777" w:rsidR="003020DF" w:rsidRPr="00D06532" w:rsidRDefault="003020DF" w:rsidP="003020DF">
            <w:pPr>
              <w:pStyle w:val="TCTableBody"/>
              <w:jc w:val="center"/>
              <w:rPr>
                <w:rFonts w:ascii="Times New Roman" w:hAnsi="Times New Roman"/>
                <w:b/>
                <w:bCs/>
                <w:i/>
                <w:iCs/>
                <w:color w:val="000000"/>
                <w:sz w:val="22"/>
                <w:szCs w:val="22"/>
              </w:rPr>
            </w:pPr>
            <w:r>
              <w:rPr>
                <w:b/>
                <w:bCs/>
                <w:i/>
                <w:iCs/>
                <w:color w:val="000000"/>
                <w:sz w:val="22"/>
                <w:szCs w:val="22"/>
              </w:rPr>
              <w:t xml:space="preserve">Uncertain </w:t>
            </w:r>
          </w:p>
        </w:tc>
        <w:tc>
          <w:tcPr>
            <w:tcW w:w="1080" w:type="dxa"/>
            <w:tcBorders>
              <w:top w:val="single" w:sz="4" w:space="0" w:color="auto"/>
            </w:tcBorders>
            <w:hideMark/>
          </w:tcPr>
          <w:p w14:paraId="03938612"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V106M</w:t>
            </w:r>
          </w:p>
        </w:tc>
        <w:tc>
          <w:tcPr>
            <w:tcW w:w="1170" w:type="dxa"/>
            <w:tcBorders>
              <w:top w:val="single" w:sz="4" w:space="0" w:color="auto"/>
            </w:tcBorders>
            <w:hideMark/>
          </w:tcPr>
          <w:p w14:paraId="4D8B136A"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2.50 ± 1.10</w:t>
            </w:r>
          </w:p>
        </w:tc>
        <w:tc>
          <w:tcPr>
            <w:tcW w:w="1170" w:type="dxa"/>
            <w:tcBorders>
              <w:top w:val="single" w:sz="4" w:space="0" w:color="auto"/>
            </w:tcBorders>
            <w:hideMark/>
          </w:tcPr>
          <w:p w14:paraId="6B74B028"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1.51 ± 0.91</w:t>
            </w:r>
          </w:p>
        </w:tc>
        <w:tc>
          <w:tcPr>
            <w:tcW w:w="1170" w:type="dxa"/>
            <w:tcBorders>
              <w:top w:val="single" w:sz="4" w:space="0" w:color="auto"/>
            </w:tcBorders>
            <w:hideMark/>
          </w:tcPr>
          <w:p w14:paraId="7696E8E3"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0.52 ± 0.34</w:t>
            </w:r>
          </w:p>
        </w:tc>
        <w:tc>
          <w:tcPr>
            <w:tcW w:w="1170" w:type="dxa"/>
            <w:tcBorders>
              <w:top w:val="single" w:sz="4" w:space="0" w:color="auto"/>
            </w:tcBorders>
          </w:tcPr>
          <w:p w14:paraId="16713E22" w14:textId="77777777" w:rsidR="003020DF" w:rsidRPr="00D06532" w:rsidRDefault="003020DF" w:rsidP="003020DF">
            <w:pPr>
              <w:pStyle w:val="TCTableBody"/>
              <w:jc w:val="center"/>
              <w:rPr>
                <w:rFonts w:ascii="Times New Roman" w:hAnsi="Times New Roman"/>
                <w:sz w:val="22"/>
                <w:szCs w:val="22"/>
              </w:rPr>
            </w:pPr>
            <w:r>
              <w:rPr>
                <w:sz w:val="22"/>
                <w:szCs w:val="22"/>
              </w:rPr>
              <w:t>0.42 ± 0.30</w:t>
            </w:r>
          </w:p>
        </w:tc>
        <w:tc>
          <w:tcPr>
            <w:tcW w:w="1170" w:type="dxa"/>
            <w:tcBorders>
              <w:top w:val="single" w:sz="4" w:space="0" w:color="auto"/>
            </w:tcBorders>
          </w:tcPr>
          <w:p w14:paraId="116966F6" w14:textId="77777777" w:rsidR="003020DF" w:rsidRPr="00D06532" w:rsidRDefault="003020DF" w:rsidP="003020DF">
            <w:pPr>
              <w:pStyle w:val="TCTableBody"/>
              <w:jc w:val="center"/>
              <w:rPr>
                <w:rFonts w:ascii="Times New Roman" w:hAnsi="Times New Roman"/>
                <w:sz w:val="22"/>
                <w:szCs w:val="22"/>
              </w:rPr>
            </w:pPr>
            <w:r>
              <w:rPr>
                <w:sz w:val="22"/>
                <w:szCs w:val="22"/>
              </w:rPr>
              <w:t>0.054 ± 0.017</w:t>
            </w:r>
          </w:p>
        </w:tc>
        <w:tc>
          <w:tcPr>
            <w:tcW w:w="1170" w:type="dxa"/>
            <w:tcBorders>
              <w:top w:val="single" w:sz="4" w:space="0" w:color="auto"/>
            </w:tcBorders>
          </w:tcPr>
          <w:p w14:paraId="139F9F38"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6.10 ± 0.16</w:t>
            </w:r>
          </w:p>
        </w:tc>
      </w:tr>
      <w:tr w:rsidR="003020DF" w:rsidRPr="00D06532" w14:paraId="678446D1" w14:textId="77777777" w:rsidTr="005F306B">
        <w:trPr>
          <w:trHeight w:val="467"/>
        </w:trPr>
        <w:tc>
          <w:tcPr>
            <w:tcW w:w="1260" w:type="dxa"/>
            <w:vMerge/>
            <w:hideMark/>
          </w:tcPr>
          <w:p w14:paraId="78F5CDEB" w14:textId="77777777" w:rsidR="003020DF" w:rsidRPr="00D06532" w:rsidRDefault="003020DF" w:rsidP="003020DF">
            <w:pPr>
              <w:spacing w:line="480" w:lineRule="auto"/>
              <w:rPr>
                <w:rFonts w:ascii="Times New Roman" w:hAnsi="Times New Roman"/>
                <w:color w:val="000000"/>
                <w:sz w:val="22"/>
                <w:szCs w:val="22"/>
              </w:rPr>
            </w:pPr>
          </w:p>
        </w:tc>
        <w:tc>
          <w:tcPr>
            <w:tcW w:w="1080" w:type="dxa"/>
            <w:hideMark/>
          </w:tcPr>
          <w:p w14:paraId="08E9A6D6"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G190S</w:t>
            </w:r>
          </w:p>
        </w:tc>
        <w:tc>
          <w:tcPr>
            <w:tcW w:w="1170" w:type="dxa"/>
            <w:hideMark/>
          </w:tcPr>
          <w:p w14:paraId="06B219F7"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3.01 ± 1.13</w:t>
            </w:r>
          </w:p>
        </w:tc>
        <w:tc>
          <w:tcPr>
            <w:tcW w:w="1170" w:type="dxa"/>
            <w:hideMark/>
          </w:tcPr>
          <w:p w14:paraId="799AD160"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1.92 ± 0.90</w:t>
            </w:r>
          </w:p>
        </w:tc>
        <w:tc>
          <w:tcPr>
            <w:tcW w:w="1170" w:type="dxa"/>
            <w:hideMark/>
          </w:tcPr>
          <w:p w14:paraId="435F3601"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0.23 ± 0.22</w:t>
            </w:r>
          </w:p>
        </w:tc>
        <w:tc>
          <w:tcPr>
            <w:tcW w:w="1170" w:type="dxa"/>
          </w:tcPr>
          <w:p w14:paraId="36A78E05" w14:textId="77777777" w:rsidR="003020DF" w:rsidRPr="00D06532" w:rsidRDefault="003020DF" w:rsidP="003020DF">
            <w:pPr>
              <w:pStyle w:val="TCTableBody"/>
              <w:jc w:val="center"/>
              <w:rPr>
                <w:rFonts w:ascii="Times New Roman" w:hAnsi="Times New Roman"/>
                <w:sz w:val="22"/>
                <w:szCs w:val="22"/>
              </w:rPr>
            </w:pPr>
            <w:r>
              <w:rPr>
                <w:sz w:val="22"/>
                <w:szCs w:val="22"/>
              </w:rPr>
              <w:t>0.87 ± 0.11</w:t>
            </w:r>
          </w:p>
        </w:tc>
        <w:tc>
          <w:tcPr>
            <w:tcW w:w="1170" w:type="dxa"/>
          </w:tcPr>
          <w:p w14:paraId="55001E7F" w14:textId="77777777" w:rsidR="003020DF" w:rsidRPr="00D06532" w:rsidRDefault="003020DF" w:rsidP="003020DF">
            <w:pPr>
              <w:pStyle w:val="TCTableBody"/>
              <w:jc w:val="center"/>
              <w:rPr>
                <w:rFonts w:ascii="Times New Roman" w:hAnsi="Times New Roman"/>
                <w:sz w:val="22"/>
                <w:szCs w:val="22"/>
              </w:rPr>
            </w:pPr>
            <w:r>
              <w:rPr>
                <w:sz w:val="22"/>
                <w:szCs w:val="22"/>
              </w:rPr>
              <w:t>-0.004 ± 0.028</w:t>
            </w:r>
          </w:p>
        </w:tc>
        <w:tc>
          <w:tcPr>
            <w:tcW w:w="1170" w:type="dxa"/>
          </w:tcPr>
          <w:p w14:paraId="009ECF53"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2.01 ± 0.34</w:t>
            </w:r>
          </w:p>
        </w:tc>
      </w:tr>
      <w:tr w:rsidR="003020DF" w:rsidRPr="00D06532" w14:paraId="2CACE195" w14:textId="77777777" w:rsidTr="005F306B">
        <w:trPr>
          <w:trHeight w:val="521"/>
        </w:trPr>
        <w:tc>
          <w:tcPr>
            <w:tcW w:w="1260" w:type="dxa"/>
            <w:vMerge/>
            <w:hideMark/>
          </w:tcPr>
          <w:p w14:paraId="589DAB73" w14:textId="77777777" w:rsidR="003020DF" w:rsidRPr="00D06532" w:rsidRDefault="003020DF" w:rsidP="003020DF">
            <w:pPr>
              <w:spacing w:line="480" w:lineRule="auto"/>
              <w:rPr>
                <w:rFonts w:ascii="Times New Roman" w:hAnsi="Times New Roman"/>
                <w:color w:val="000000"/>
                <w:sz w:val="22"/>
                <w:szCs w:val="22"/>
              </w:rPr>
            </w:pPr>
          </w:p>
        </w:tc>
        <w:tc>
          <w:tcPr>
            <w:tcW w:w="1080" w:type="dxa"/>
            <w:hideMark/>
          </w:tcPr>
          <w:p w14:paraId="33C732D2"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L100I + K103N</w:t>
            </w:r>
          </w:p>
        </w:tc>
        <w:tc>
          <w:tcPr>
            <w:tcW w:w="1170" w:type="dxa"/>
            <w:hideMark/>
          </w:tcPr>
          <w:p w14:paraId="7BF5662C"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-0.59 ± 1.01</w:t>
            </w:r>
          </w:p>
        </w:tc>
        <w:tc>
          <w:tcPr>
            <w:tcW w:w="1170" w:type="dxa"/>
            <w:hideMark/>
          </w:tcPr>
          <w:p w14:paraId="105D958E"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-0.56 ± 0.57</w:t>
            </w:r>
          </w:p>
        </w:tc>
        <w:tc>
          <w:tcPr>
            <w:tcW w:w="1170" w:type="dxa"/>
            <w:hideMark/>
          </w:tcPr>
          <w:p w14:paraId="713F2DE4"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-1.82 ± 0.67</w:t>
            </w:r>
          </w:p>
        </w:tc>
        <w:tc>
          <w:tcPr>
            <w:tcW w:w="1170" w:type="dxa"/>
          </w:tcPr>
          <w:p w14:paraId="1FD084B5"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1.81 ± 0.45</w:t>
            </w:r>
          </w:p>
        </w:tc>
        <w:tc>
          <w:tcPr>
            <w:tcW w:w="1170" w:type="dxa"/>
          </w:tcPr>
          <w:p w14:paraId="1D7FD76B"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-0.017 ± 0.014</w:t>
            </w:r>
          </w:p>
        </w:tc>
        <w:tc>
          <w:tcPr>
            <w:tcW w:w="1170" w:type="dxa"/>
          </w:tcPr>
          <w:p w14:paraId="4C77D82C"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0.19 ± 0.68</w:t>
            </w:r>
          </w:p>
        </w:tc>
      </w:tr>
      <w:tr w:rsidR="003020DF" w:rsidRPr="00D06532" w14:paraId="2155AC91" w14:textId="77777777" w:rsidTr="005F306B">
        <w:trPr>
          <w:trHeight w:val="350"/>
        </w:trPr>
        <w:tc>
          <w:tcPr>
            <w:tcW w:w="1260" w:type="dxa"/>
            <w:vMerge/>
            <w:hideMark/>
          </w:tcPr>
          <w:p w14:paraId="7F56E38C" w14:textId="77777777" w:rsidR="003020DF" w:rsidRPr="00D06532" w:rsidRDefault="003020DF" w:rsidP="003020DF">
            <w:pPr>
              <w:spacing w:line="480" w:lineRule="auto"/>
              <w:rPr>
                <w:rFonts w:ascii="Times New Roman" w:hAnsi="Times New Roman"/>
                <w:color w:val="000000"/>
                <w:sz w:val="22"/>
                <w:szCs w:val="22"/>
              </w:rPr>
            </w:pPr>
          </w:p>
        </w:tc>
        <w:tc>
          <w:tcPr>
            <w:tcW w:w="1080" w:type="dxa"/>
            <w:hideMark/>
          </w:tcPr>
          <w:p w14:paraId="43646A92"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K103N + P225H</w:t>
            </w:r>
          </w:p>
        </w:tc>
        <w:tc>
          <w:tcPr>
            <w:tcW w:w="1170" w:type="dxa"/>
            <w:hideMark/>
          </w:tcPr>
          <w:p w14:paraId="7E592E7D"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0.70 ± 0.30</w:t>
            </w:r>
          </w:p>
        </w:tc>
        <w:tc>
          <w:tcPr>
            <w:tcW w:w="1170" w:type="dxa"/>
            <w:hideMark/>
          </w:tcPr>
          <w:p w14:paraId="3E596E3E"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0.39 ± 0.13</w:t>
            </w:r>
          </w:p>
        </w:tc>
        <w:tc>
          <w:tcPr>
            <w:tcW w:w="1170" w:type="dxa"/>
            <w:hideMark/>
          </w:tcPr>
          <w:p w14:paraId="07E70B88" w14:textId="77777777" w:rsidR="003020DF" w:rsidRPr="00D06532" w:rsidRDefault="003020DF" w:rsidP="003020DF">
            <w:pPr>
              <w:pStyle w:val="TCTableBody"/>
              <w:jc w:val="center"/>
              <w:rPr>
                <w:rFonts w:ascii="Times New Roman" w:hAnsi="Times New Roman"/>
                <w:color w:val="000000"/>
                <w:sz w:val="22"/>
                <w:szCs w:val="22"/>
              </w:rPr>
            </w:pPr>
            <w:r>
              <w:rPr>
                <w:sz w:val="22"/>
                <w:szCs w:val="22"/>
              </w:rPr>
              <w:t>-2.07 ± 0.53</w:t>
            </w:r>
          </w:p>
        </w:tc>
        <w:tc>
          <w:tcPr>
            <w:tcW w:w="1170" w:type="dxa"/>
          </w:tcPr>
          <w:p w14:paraId="45B20D10" w14:textId="77777777" w:rsidR="003020DF" w:rsidRPr="00D06532" w:rsidRDefault="003020DF" w:rsidP="003020DF">
            <w:pPr>
              <w:pStyle w:val="TCTableBody"/>
              <w:jc w:val="center"/>
              <w:rPr>
                <w:rFonts w:ascii="Times New Roman" w:hAnsi="Times New Roman"/>
                <w:sz w:val="22"/>
                <w:szCs w:val="22"/>
              </w:rPr>
            </w:pPr>
            <w:r>
              <w:rPr>
                <w:sz w:val="22"/>
                <w:szCs w:val="22"/>
              </w:rPr>
              <w:t>2.43 ± 0.30</w:t>
            </w:r>
          </w:p>
        </w:tc>
        <w:tc>
          <w:tcPr>
            <w:tcW w:w="1170" w:type="dxa"/>
          </w:tcPr>
          <w:p w14:paraId="5AAC028A" w14:textId="77777777" w:rsidR="003020DF" w:rsidRPr="00D06532" w:rsidRDefault="003020DF" w:rsidP="003020DF">
            <w:pPr>
              <w:pStyle w:val="TCTableBody"/>
              <w:jc w:val="center"/>
              <w:rPr>
                <w:rFonts w:ascii="Times New Roman" w:hAnsi="Times New Roman"/>
                <w:sz w:val="22"/>
                <w:szCs w:val="22"/>
              </w:rPr>
            </w:pPr>
            <w:r>
              <w:rPr>
                <w:sz w:val="22"/>
                <w:szCs w:val="22"/>
              </w:rPr>
              <w:t>-0.048 ± 0.006</w:t>
            </w:r>
          </w:p>
        </w:tc>
        <w:tc>
          <w:tcPr>
            <w:tcW w:w="1170" w:type="dxa"/>
          </w:tcPr>
          <w:p w14:paraId="13EA5F46"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1.76 ± 0.79</w:t>
            </w:r>
          </w:p>
        </w:tc>
      </w:tr>
      <w:tr w:rsidR="003020DF" w:rsidRPr="00D06532" w14:paraId="6CFDB6CC" w14:textId="77777777" w:rsidTr="005F306B">
        <w:trPr>
          <w:trHeight w:val="350"/>
        </w:trPr>
        <w:tc>
          <w:tcPr>
            <w:tcW w:w="1260" w:type="dxa"/>
            <w:vMerge/>
            <w:tcBorders>
              <w:bottom w:val="single" w:sz="4" w:space="0" w:color="auto"/>
            </w:tcBorders>
          </w:tcPr>
          <w:p w14:paraId="6EC9E9A0" w14:textId="77777777" w:rsidR="003020DF" w:rsidRPr="00D06532" w:rsidRDefault="003020DF" w:rsidP="003020DF">
            <w:pPr>
              <w:spacing w:line="480" w:lineRule="auto"/>
              <w:rPr>
                <w:rFonts w:ascii="Times New Roman" w:hAnsi="Times New Roman"/>
                <w:color w:val="000000"/>
                <w:sz w:val="22"/>
                <w:szCs w:val="22"/>
              </w:rPr>
            </w:pPr>
          </w:p>
        </w:tc>
        <w:tc>
          <w:tcPr>
            <w:tcW w:w="1080" w:type="dxa"/>
            <w:tcBorders>
              <w:bottom w:val="single" w:sz="4" w:space="0" w:color="auto"/>
            </w:tcBorders>
          </w:tcPr>
          <w:p w14:paraId="53148CBF" w14:textId="77777777" w:rsidR="003020DF" w:rsidRPr="00D06532" w:rsidRDefault="003020DF" w:rsidP="003020DF">
            <w:pPr>
              <w:pStyle w:val="TCTableBody"/>
              <w:jc w:val="center"/>
              <w:rPr>
                <w:rFonts w:ascii="Times New Roman" w:hAnsi="Times New Roman"/>
                <w:sz w:val="22"/>
                <w:szCs w:val="22"/>
              </w:rPr>
            </w:pPr>
            <w:r>
              <w:rPr>
                <w:sz w:val="22"/>
                <w:szCs w:val="22"/>
              </w:rPr>
              <w:t>G190E</w:t>
            </w:r>
          </w:p>
        </w:tc>
        <w:tc>
          <w:tcPr>
            <w:tcW w:w="1170" w:type="dxa"/>
            <w:tcBorders>
              <w:bottom w:val="single" w:sz="4" w:space="0" w:color="auto"/>
            </w:tcBorders>
          </w:tcPr>
          <w:p w14:paraId="56684B56" w14:textId="77777777" w:rsidR="003020DF" w:rsidRPr="00D06532" w:rsidRDefault="003020DF" w:rsidP="003020DF">
            <w:pPr>
              <w:pStyle w:val="TCTableBody"/>
              <w:jc w:val="center"/>
              <w:rPr>
                <w:rFonts w:ascii="Times New Roman" w:hAnsi="Times New Roman"/>
                <w:sz w:val="22"/>
                <w:szCs w:val="22"/>
              </w:rPr>
            </w:pPr>
            <w:r>
              <w:rPr>
                <w:sz w:val="22"/>
                <w:szCs w:val="22"/>
              </w:rPr>
              <w:t>1.94 ± 0.40</w:t>
            </w:r>
          </w:p>
        </w:tc>
        <w:tc>
          <w:tcPr>
            <w:tcW w:w="1170" w:type="dxa"/>
            <w:tcBorders>
              <w:bottom w:val="single" w:sz="4" w:space="0" w:color="auto"/>
            </w:tcBorders>
          </w:tcPr>
          <w:p w14:paraId="7A1EF4CF" w14:textId="77777777" w:rsidR="003020DF" w:rsidRPr="00D06532" w:rsidRDefault="003020DF" w:rsidP="003020DF">
            <w:pPr>
              <w:pStyle w:val="TCTableBody"/>
              <w:jc w:val="center"/>
              <w:rPr>
                <w:rFonts w:ascii="Times New Roman" w:hAnsi="Times New Roman"/>
                <w:sz w:val="22"/>
                <w:szCs w:val="22"/>
              </w:rPr>
            </w:pPr>
            <w:r>
              <w:rPr>
                <w:sz w:val="22"/>
                <w:szCs w:val="22"/>
              </w:rPr>
              <w:t>0.88 ± 0.61</w:t>
            </w:r>
          </w:p>
        </w:tc>
        <w:tc>
          <w:tcPr>
            <w:tcW w:w="1170" w:type="dxa"/>
            <w:tcBorders>
              <w:bottom w:val="single" w:sz="4" w:space="0" w:color="auto"/>
            </w:tcBorders>
          </w:tcPr>
          <w:p w14:paraId="10A2AFD9" w14:textId="77777777" w:rsidR="003020DF" w:rsidRPr="00D06532" w:rsidRDefault="003020DF" w:rsidP="003020DF">
            <w:pPr>
              <w:pStyle w:val="TCTableBody"/>
              <w:jc w:val="center"/>
              <w:rPr>
                <w:rFonts w:ascii="Times New Roman" w:hAnsi="Times New Roman"/>
                <w:sz w:val="22"/>
                <w:szCs w:val="22"/>
              </w:rPr>
            </w:pPr>
            <w:r>
              <w:rPr>
                <w:sz w:val="22"/>
                <w:szCs w:val="22"/>
              </w:rPr>
              <w:t>-1.37 ± 0.43</w:t>
            </w:r>
          </w:p>
        </w:tc>
        <w:tc>
          <w:tcPr>
            <w:tcW w:w="1170" w:type="dxa"/>
            <w:tcBorders>
              <w:bottom w:val="single" w:sz="4" w:space="0" w:color="auto"/>
            </w:tcBorders>
          </w:tcPr>
          <w:p w14:paraId="4C40DB0B" w14:textId="77777777" w:rsidR="003020DF" w:rsidRPr="00D06532" w:rsidRDefault="003020DF" w:rsidP="003020DF">
            <w:pPr>
              <w:pStyle w:val="TCTableBody"/>
              <w:jc w:val="center"/>
              <w:rPr>
                <w:rFonts w:ascii="Times New Roman" w:hAnsi="Times New Roman"/>
                <w:sz w:val="22"/>
                <w:szCs w:val="22"/>
              </w:rPr>
            </w:pPr>
            <w:r>
              <w:rPr>
                <w:sz w:val="22"/>
                <w:szCs w:val="22"/>
              </w:rPr>
              <w:t>2.50 ± 0.32</w:t>
            </w:r>
          </w:p>
        </w:tc>
        <w:tc>
          <w:tcPr>
            <w:tcW w:w="1170" w:type="dxa"/>
            <w:tcBorders>
              <w:bottom w:val="single" w:sz="4" w:space="0" w:color="auto"/>
            </w:tcBorders>
          </w:tcPr>
          <w:p w14:paraId="6F200C36" w14:textId="77777777" w:rsidR="003020DF" w:rsidRPr="00D06532" w:rsidRDefault="003020DF" w:rsidP="003020DF">
            <w:pPr>
              <w:pStyle w:val="TCTableBody"/>
              <w:jc w:val="center"/>
              <w:rPr>
                <w:rFonts w:ascii="Times New Roman" w:hAnsi="Times New Roman"/>
                <w:sz w:val="22"/>
                <w:szCs w:val="22"/>
              </w:rPr>
            </w:pPr>
            <w:r>
              <w:rPr>
                <w:sz w:val="22"/>
                <w:szCs w:val="22"/>
              </w:rPr>
              <w:t>-0.072 ± 0.063</w:t>
            </w:r>
          </w:p>
        </w:tc>
        <w:tc>
          <w:tcPr>
            <w:tcW w:w="1170" w:type="dxa"/>
            <w:tcBorders>
              <w:bottom w:val="single" w:sz="4" w:space="0" w:color="auto"/>
            </w:tcBorders>
          </w:tcPr>
          <w:p w14:paraId="3B815DF1" w14:textId="77777777" w:rsidR="003020DF" w:rsidRPr="00D06532" w:rsidRDefault="003020DF" w:rsidP="003020DF">
            <w:pPr>
              <w:pStyle w:val="TCTableBody"/>
              <w:jc w:val="center"/>
              <w:rPr>
                <w:rFonts w:ascii="Times New Roman" w:hAnsi="Times New Roman"/>
                <w:b/>
                <w:bCs/>
                <w:color w:val="000000"/>
                <w:sz w:val="22"/>
                <w:szCs w:val="22"/>
              </w:rPr>
            </w:pPr>
            <w:r>
              <w:rPr>
                <w:b/>
                <w:bCs/>
                <w:color w:val="000000"/>
                <w:sz w:val="22"/>
                <w:szCs w:val="22"/>
              </w:rPr>
              <w:t>−1.02 ± 0.38</w:t>
            </w:r>
          </w:p>
        </w:tc>
      </w:tr>
    </w:tbl>
    <w:p w14:paraId="5C5A9E8D" w14:textId="77777777" w:rsidR="0016761B" w:rsidRPr="00D06532" w:rsidRDefault="0016761B" w:rsidP="00B96F1D">
      <w:pPr>
        <w:pStyle w:val="TAMainText"/>
        <w:rPr>
          <w:rFonts w:ascii="Times New Roman" w:hAnsi="Times New Roman"/>
          <w:sz w:val="22"/>
          <w:szCs w:val="22"/>
        </w:rPr>
      </w:pPr>
      <w:r>
        <w:rPr>
          <w:sz w:val="22"/>
          <w:szCs w:val="22"/>
        </w:rPr>
        <w:lastRenderedPageBreak/>
        <w:t>Abbreviations: WT, wild-type; MD, molecular dynamics; MM/GBSA, molecular mechanics with generalized Born and surface area solvation; FEP, free energy perturbation; BAR, Bennett acceptance ratio; SEM, standard error of the mean. ∆∆</w:t>
      </w:r>
      <w:proofErr w:type="spellStart"/>
      <w:r>
        <w:rPr>
          <w:sz w:val="22"/>
          <w:szCs w:val="22"/>
        </w:rPr>
        <w:t>E</w:t>
      </w:r>
      <w:r>
        <w:rPr>
          <w:sz w:val="22"/>
          <w:szCs w:val="22"/>
          <w:vertAlign w:val="subscript"/>
        </w:rPr>
        <w:t>Total</w:t>
      </w:r>
      <w:proofErr w:type="spellEnd"/>
      <w:r>
        <w:rPr>
          <w:sz w:val="22"/>
          <w:szCs w:val="22"/>
        </w:rPr>
        <w:t>, WT-referenced shift in total MM/GBSA interaction energy; ∆∆</w:t>
      </w:r>
      <w:proofErr w:type="spellStart"/>
      <w:r>
        <w:rPr>
          <w:sz w:val="22"/>
          <w:szCs w:val="22"/>
        </w:rPr>
        <w:t>E</w:t>
      </w:r>
      <w:r>
        <w:rPr>
          <w:sz w:val="22"/>
          <w:szCs w:val="22"/>
          <w:vertAlign w:val="subscript"/>
        </w:rPr>
        <w:t>vdW</w:t>
      </w:r>
      <w:proofErr w:type="spellEnd"/>
      <w:r>
        <w:rPr>
          <w:sz w:val="22"/>
          <w:szCs w:val="22"/>
        </w:rPr>
        <w:t>, van der Waals component; ∆∆</w:t>
      </w:r>
      <w:proofErr w:type="spellStart"/>
      <w:r>
        <w:rPr>
          <w:sz w:val="22"/>
          <w:szCs w:val="22"/>
        </w:rPr>
        <w:t>E</w:t>
      </w:r>
      <w:r>
        <w:rPr>
          <w:sz w:val="22"/>
          <w:szCs w:val="22"/>
          <w:vertAlign w:val="subscript"/>
        </w:rPr>
        <w:t>elec</w:t>
      </w:r>
      <w:proofErr w:type="spellEnd"/>
      <w:r>
        <w:rPr>
          <w:sz w:val="22"/>
          <w:szCs w:val="22"/>
        </w:rPr>
        <w:t>, electrostatic component; ∆∆E</w:t>
      </w:r>
      <w:r>
        <w:rPr>
          <w:sz w:val="22"/>
          <w:szCs w:val="22"/>
          <w:vertAlign w:val="subscript"/>
        </w:rPr>
        <w:t>GB</w:t>
      </w:r>
      <w:r>
        <w:rPr>
          <w:sz w:val="22"/>
          <w:szCs w:val="22"/>
        </w:rPr>
        <w:t>, generalized Born polar solvation component; ∆∆E</w:t>
      </w:r>
      <w:r>
        <w:rPr>
          <w:sz w:val="22"/>
          <w:szCs w:val="22"/>
          <w:vertAlign w:val="subscript"/>
        </w:rPr>
        <w:t>SA</w:t>
      </w:r>
      <w:r>
        <w:rPr>
          <w:sz w:val="22"/>
          <w:szCs w:val="22"/>
        </w:rPr>
        <w:t>, nonpolar surface area component; ∆∆</w:t>
      </w:r>
      <w:proofErr w:type="spellStart"/>
      <w:r>
        <w:rPr>
          <w:sz w:val="22"/>
          <w:szCs w:val="22"/>
        </w:rPr>
        <w:t>G</w:t>
      </w:r>
      <w:r>
        <w:rPr>
          <w:sz w:val="22"/>
          <w:szCs w:val="22"/>
          <w:vertAlign w:val="subscript"/>
        </w:rPr>
        <w:t>bind</w:t>
      </w:r>
      <w:proofErr w:type="spellEnd"/>
      <w:r>
        <w:rPr>
          <w:sz w:val="22"/>
          <w:szCs w:val="22"/>
        </w:rPr>
        <w:t>, relative DOR binding free energy between mutant and WT RT. For all quantities, positive values indicate a less favorable contribution to DOR binding relative to WT.</w:t>
      </w:r>
    </w:p>
    <w:p w14:paraId="1B817D63" w14:textId="77777777" w:rsidR="00F908FC" w:rsidRPr="00D06532" w:rsidRDefault="00F908FC" w:rsidP="00B96F1D">
      <w:pPr>
        <w:pStyle w:val="TAMainText"/>
        <w:rPr>
          <w:rFonts w:ascii="Times New Roman" w:hAnsi="Times New Roman"/>
          <w:sz w:val="22"/>
          <w:szCs w:val="22"/>
        </w:rPr>
      </w:pPr>
      <w:r>
        <w:rPr>
          <w:sz w:val="22"/>
          <w:szCs w:val="22"/>
        </w:rPr>
        <w:t xml:space="preserve">*Values are averages over 100 equally spaced snapshots from 3 independent 100ns equilibrium MD simulations. </w:t>
      </w:r>
    </w:p>
    <w:p w14:paraId="51B40399" w14:textId="77777777" w:rsidR="00B96F1D" w:rsidRPr="00D06532" w:rsidRDefault="00B96F1D" w:rsidP="00F908FC">
      <w:pPr>
        <w:pStyle w:val="TAMainText"/>
        <w:spacing w:after="240"/>
        <w:rPr>
          <w:rFonts w:ascii="Times New Roman" w:hAnsi="Times New Roman"/>
          <w:sz w:val="22"/>
          <w:szCs w:val="22"/>
        </w:rPr>
      </w:pPr>
      <w:r>
        <w:rPr>
          <w:sz w:val="22"/>
          <w:szCs w:val="22"/>
        </w:rPr>
        <w:t>**Values are BAR free energy estimates averaged over 3 independent replicates of the nonequilibrium FEP protocol. Errors are computed as standard errors of the mean (SEM) over the 3 replicates.</w:t>
      </w:r>
    </w:p>
    <w:p w14:paraId="01FAED1C" w14:textId="77777777" w:rsidR="00A2074C" w:rsidRPr="00E536AD" w:rsidRDefault="00A2074C" w:rsidP="00AB26F7">
      <w:pPr>
        <w:pStyle w:val="TAMainText"/>
        <w:spacing w:after="240"/>
        <w:rPr>
          <w:rFonts w:ascii="Times New Roman" w:hAnsi="Times New Roman"/>
        </w:rPr>
      </w:pPr>
      <w:r>
        <w:t xml:space="preserve">From the MM/GBSA calculations, only 1 out of 4 </w:t>
      </w:r>
      <w:r>
        <w:rPr>
          <w:i/>
          <w:iCs/>
        </w:rPr>
        <w:t>Susceptible</w:t>
      </w:r>
      <w:r>
        <w:t xml:space="preserve"> mutations, K103N, is predicted to have weak impact on RT-DOR interface energy. 7 out of 9 </w:t>
      </w:r>
      <w:r>
        <w:rPr>
          <w:i/>
          <w:iCs/>
        </w:rPr>
        <w:t>Resistant</w:t>
      </w:r>
      <w:r>
        <w:t xml:space="preserve"> mutations are predicted to have strong impact on RT-DOR interface energy, with V106I+F227C and K103N+M230L as the exceptions. Relative to WT, the three K103N-containing genotypes K103N (∆∆</w:t>
      </w:r>
      <w:proofErr w:type="spellStart"/>
      <w:r>
        <w:t>E</w:t>
      </w:r>
      <w:r>
        <w:rPr>
          <w:vertAlign w:val="subscript"/>
        </w:rPr>
        <w:t>Total</w:t>
      </w:r>
      <w:proofErr w:type="spellEnd"/>
      <w:r>
        <w:t xml:space="preserve"> = -0.75 ± 0.13 kcal/mol), K103N+M230L (∆∆</w:t>
      </w:r>
      <w:proofErr w:type="spellStart"/>
      <w:r>
        <w:t>E</w:t>
      </w:r>
      <w:r>
        <w:rPr>
          <w:vertAlign w:val="subscript"/>
        </w:rPr>
        <w:t>Total</w:t>
      </w:r>
      <w:proofErr w:type="spellEnd"/>
      <w:r>
        <w:t xml:space="preserve"> = -1.42 ± 0.67 kcal/mol) and L100I+K103N (∆∆</w:t>
      </w:r>
      <w:proofErr w:type="spellStart"/>
      <w:r>
        <w:t>E</w:t>
      </w:r>
      <w:r>
        <w:rPr>
          <w:vertAlign w:val="subscript"/>
        </w:rPr>
        <w:t>Total</w:t>
      </w:r>
      <w:proofErr w:type="spellEnd"/>
      <w:r>
        <w:t xml:space="preserve"> = -0.59 ± 1.01 kcal/mol) had net </w:t>
      </w:r>
      <w:r>
        <w:rPr>
          <w:i/>
          <w:iCs/>
        </w:rPr>
        <w:t>negative</w:t>
      </w:r>
      <w:r>
        <w:t xml:space="preserve"> interface energy, all three driven by electrostatic stabilization, ∆∆</w:t>
      </w:r>
      <w:proofErr w:type="spellStart"/>
      <w:r>
        <w:t>Eelec</w:t>
      </w:r>
      <w:proofErr w:type="spellEnd"/>
      <w:r>
        <w:t xml:space="preserve"> &lt; -1.8 kcal/mol. Along the same lines, amongst the Uncertain phenotype, L100I+K103N and K103N+P225H are predicted to have weak impact on RT-DOR interface energy, while the rest (V106M, G190S, and G190E) are predicted to have a strong impact. Out of the 13 genotypes with ∆∆</w:t>
      </w:r>
      <w:proofErr w:type="spellStart"/>
      <w:r>
        <w:t>E</w:t>
      </w:r>
      <w:r>
        <w:rPr>
          <w:vertAlign w:val="subscript"/>
        </w:rPr>
        <w:t>Total</w:t>
      </w:r>
      <w:proofErr w:type="spellEnd"/>
      <w:r>
        <w:t xml:space="preserve"> above the thermal energy threshold, 9 involve ∆∆</w:t>
      </w:r>
      <w:proofErr w:type="spellStart"/>
      <w:r>
        <w:t>E</w:t>
      </w:r>
      <w:r>
        <w:rPr>
          <w:vertAlign w:val="subscript"/>
        </w:rPr>
        <w:t>vdW</w:t>
      </w:r>
      <w:proofErr w:type="spellEnd"/>
      <w:r>
        <w:t xml:space="preserve"> as the dominant contribution. In the remaining 4 genotypes, ∆∆E</w:t>
      </w:r>
      <w:r>
        <w:rPr>
          <w:vertAlign w:val="subscript"/>
        </w:rPr>
        <w:t>GB</w:t>
      </w:r>
      <w:r>
        <w:t xml:space="preserve"> has the major contribution in 3 of them, and ∆∆</w:t>
      </w:r>
      <w:proofErr w:type="spellStart"/>
      <w:r>
        <w:t>E</w:t>
      </w:r>
      <w:r>
        <w:rPr>
          <w:vertAlign w:val="subscript"/>
        </w:rPr>
        <w:t>elec</w:t>
      </w:r>
      <w:proofErr w:type="spellEnd"/>
      <w:r>
        <w:rPr>
          <w:vertAlign w:val="subscript"/>
        </w:rPr>
        <w:t xml:space="preserve"> </w:t>
      </w:r>
      <w:r>
        <w:t>has the dominant contribution in one. Notably, ∆∆</w:t>
      </w:r>
      <w:proofErr w:type="spellStart"/>
      <w:r>
        <w:t>E</w:t>
      </w:r>
      <w:r>
        <w:rPr>
          <w:vertAlign w:val="subscript"/>
        </w:rPr>
        <w:t>elec</w:t>
      </w:r>
      <w:proofErr w:type="spellEnd"/>
      <w:r>
        <w:t xml:space="preserve"> exhibits </w:t>
      </w:r>
      <w:r>
        <w:rPr>
          <w:i/>
          <w:iCs/>
        </w:rPr>
        <w:t xml:space="preserve">negative </w:t>
      </w:r>
      <w:r>
        <w:t>values in case of 9 out of the 18 genotypes, while ∆∆E</w:t>
      </w:r>
      <w:r>
        <w:rPr>
          <w:vertAlign w:val="subscript"/>
        </w:rPr>
        <w:t>SA</w:t>
      </w:r>
      <w:r>
        <w:t xml:space="preserve"> contributions are universally insignificant.</w:t>
      </w:r>
    </w:p>
    <w:p w14:paraId="12670D90" w14:textId="77777777" w:rsidR="006F69F6" w:rsidRPr="00E536AD" w:rsidRDefault="00DE712C" w:rsidP="00AB26F7">
      <w:pPr>
        <w:pStyle w:val="TAMainText"/>
        <w:spacing w:after="240"/>
        <w:rPr>
          <w:rFonts w:ascii="Times New Roman" w:hAnsi="Times New Roman"/>
        </w:rPr>
      </w:pPr>
      <w:r>
        <w:lastRenderedPageBreak/>
        <w:t>While ∆∆</w:t>
      </w:r>
      <w:proofErr w:type="spellStart"/>
      <w:r>
        <w:t>G</w:t>
      </w:r>
      <w:r>
        <w:rPr>
          <w:vertAlign w:val="subscript"/>
        </w:rPr>
        <w:t>bind</w:t>
      </w:r>
      <w:proofErr w:type="spellEnd"/>
      <w:r>
        <w:t xml:space="preserve"> and ∆∆</w:t>
      </w:r>
      <w:proofErr w:type="spellStart"/>
      <w:r>
        <w:t>E</w:t>
      </w:r>
      <w:r>
        <w:rPr>
          <w:vertAlign w:val="subscript"/>
        </w:rPr>
        <w:t>Total</w:t>
      </w:r>
      <w:proofErr w:type="spellEnd"/>
      <w:r>
        <w:t xml:space="preserve"> exhibit a weak correlation with each other (R</w:t>
      </w:r>
      <w:r>
        <w:rPr>
          <w:vertAlign w:val="superscript"/>
        </w:rPr>
        <w:t xml:space="preserve">2 </w:t>
      </w:r>
      <w:r>
        <w:t>= 0.18, p = 0.08), both of these metrics show practically no correlation with DOR fold-change values observed experimentally - ∆∆</w:t>
      </w:r>
      <w:proofErr w:type="spellStart"/>
      <w:r>
        <w:t>G</w:t>
      </w:r>
      <w:r>
        <w:rPr>
          <w:vertAlign w:val="subscript"/>
        </w:rPr>
        <w:t>bind</w:t>
      </w:r>
      <w:proofErr w:type="spellEnd"/>
      <w:r>
        <w:t xml:space="preserve"> vs log</w:t>
      </w:r>
      <w:r>
        <w:rPr>
          <w:vertAlign w:val="subscript"/>
        </w:rPr>
        <w:t>10</w:t>
      </w:r>
      <w:r>
        <w:t>(Fold-change) (R</w:t>
      </w:r>
      <w:r>
        <w:rPr>
          <w:vertAlign w:val="superscript"/>
        </w:rPr>
        <w:t>2</w:t>
      </w:r>
      <w:r>
        <w:t xml:space="preserve"> = 0.08, p = 0.26) and ∆∆</w:t>
      </w:r>
      <w:proofErr w:type="spellStart"/>
      <w:r>
        <w:t>E</w:t>
      </w:r>
      <w:r>
        <w:rPr>
          <w:vertAlign w:val="subscript"/>
        </w:rPr>
        <w:t>Total</w:t>
      </w:r>
      <w:proofErr w:type="spellEnd"/>
      <w:r>
        <w:t xml:space="preserve"> vs log</w:t>
      </w:r>
      <w:r>
        <w:rPr>
          <w:vertAlign w:val="subscript"/>
        </w:rPr>
        <w:t>10</w:t>
      </w:r>
      <w:r>
        <w:t>(Fold-change) (R</w:t>
      </w:r>
      <w:r>
        <w:rPr>
          <w:vertAlign w:val="superscript"/>
        </w:rPr>
        <w:t>2</w:t>
      </w:r>
      <w:r>
        <w:t xml:space="preserve"> = 0.06, p = 0.31). However, amongst the set of the 13 established DOR </w:t>
      </w:r>
      <w:r>
        <w:rPr>
          <w:i/>
          <w:iCs/>
        </w:rPr>
        <w:t>Susceptible</w:t>
      </w:r>
      <w:r>
        <w:t xml:space="preserve"> and DOR </w:t>
      </w:r>
      <w:r>
        <w:rPr>
          <w:i/>
          <w:iCs/>
        </w:rPr>
        <w:t>Resistant</w:t>
      </w:r>
      <w:r>
        <w:t xml:space="preserve"> phenotype mutations (i.e. dropping the </w:t>
      </w:r>
      <w:r>
        <w:rPr>
          <w:i/>
          <w:iCs/>
        </w:rPr>
        <w:t>Uncertain</w:t>
      </w:r>
      <w:r>
        <w:t xml:space="preserve"> phenotype set), ∆∆</w:t>
      </w:r>
      <w:proofErr w:type="spellStart"/>
      <w:r>
        <w:t>G</w:t>
      </w:r>
      <w:r>
        <w:rPr>
          <w:vertAlign w:val="subscript"/>
        </w:rPr>
        <w:t>bind</w:t>
      </w:r>
      <w:proofErr w:type="spellEnd"/>
      <w:r>
        <w:t xml:space="preserve"> exhibits weak correlation with log</w:t>
      </w:r>
      <w:r>
        <w:rPr>
          <w:vertAlign w:val="subscript"/>
        </w:rPr>
        <w:t>10</w:t>
      </w:r>
      <w:r>
        <w:t>(Fold-change) (R</w:t>
      </w:r>
      <w:r>
        <w:rPr>
          <w:vertAlign w:val="superscript"/>
        </w:rPr>
        <w:t>2</w:t>
      </w:r>
      <w:r>
        <w:t xml:space="preserve"> = 0.26, p = 0.07), while ∆∆</w:t>
      </w:r>
      <w:proofErr w:type="spellStart"/>
      <w:r>
        <w:t>E</w:t>
      </w:r>
      <w:r>
        <w:rPr>
          <w:vertAlign w:val="subscript"/>
        </w:rPr>
        <w:t>Total</w:t>
      </w:r>
      <w:proofErr w:type="spellEnd"/>
      <w:r>
        <w:t xml:space="preserve"> correlation with log</w:t>
      </w:r>
      <w:r>
        <w:rPr>
          <w:vertAlign w:val="subscript"/>
        </w:rPr>
        <w:t>10</w:t>
      </w:r>
      <w:r>
        <w:t>(Fold-change) is weaker still (R</w:t>
      </w:r>
      <w:r>
        <w:rPr>
          <w:vertAlign w:val="superscript"/>
        </w:rPr>
        <w:t>2</w:t>
      </w:r>
      <w:r>
        <w:t xml:space="preserve"> = 0.13, p = 0.23).</w:t>
      </w:r>
    </w:p>
    <w:p w14:paraId="167FFE3F" w14:textId="77777777" w:rsidR="008F1E59" w:rsidRPr="00E536AD" w:rsidRDefault="008F1E59" w:rsidP="008F1E59">
      <w:pPr>
        <w:pStyle w:val="TAMainText"/>
        <w:rPr>
          <w:rFonts w:ascii="Times New Roman" w:hAnsi="Times New Roman"/>
          <w:b/>
          <w:bCs/>
          <w:szCs w:val="24"/>
          <w:u w:val="single"/>
        </w:rPr>
      </w:pPr>
      <w:r>
        <w:rPr>
          <w:b/>
          <w:bCs/>
          <w:u w:val="single"/>
        </w:rPr>
        <w:t xml:space="preserve">Structural consequences of DOR-associated substitutions </w:t>
      </w:r>
    </w:p>
    <w:p w14:paraId="47497274" w14:textId="77777777" w:rsidR="004240A7" w:rsidRPr="00E536AD" w:rsidRDefault="008F1E59" w:rsidP="00007567">
      <w:pPr>
        <w:pStyle w:val="TAMainText"/>
        <w:spacing w:after="240"/>
        <w:rPr>
          <w:rFonts w:ascii="Times New Roman" w:hAnsi="Times New Roman"/>
          <w:szCs w:val="24"/>
        </w:rPr>
      </w:pPr>
      <w:r>
        <w:t xml:space="preserve">To identify potential structural mechanisms underlying these energetic shifts, we measured a set of geometric observables in every equilibrium MD trajectory (see Table 3 and associated details in Supplementary Table 4). We find that the hydrogen bond between the residue 103 main-chain carbonyl oxygen and the DOR triazolinone nitrogen is conserved in most trajectories: 2.97 ± 0.01 Å in WT and lies between 2.80 and 3.22 Å in 16 of the 18 mutant genotypes, including all four genotypes carrying K103N (3.05–3.20 Å); the two exceptions are V106I (3.62 ± 0.30 Å) and V106M (3.56 ± 0.20 Å). Substituting Lys by </w:t>
      </w:r>
      <w:proofErr w:type="spellStart"/>
      <w:r>
        <w:t>Asn</w:t>
      </w:r>
      <w:proofErr w:type="spellEnd"/>
      <w:r>
        <w:t xml:space="preserve"> at position 103 shortens the side chain and brings its polar atoms closer to DOR, from 8.38 ± 0.15 Å in WT to 4.80–5.43 Å in every K103N-containing genotype. In contrast, this distance is 8.07–9.20 Å in every genotype that retains Lys103.</w:t>
      </w:r>
    </w:p>
    <w:p w14:paraId="67B8B57D" w14:textId="77777777" w:rsidR="00EA289C" w:rsidRPr="00E536AD" w:rsidRDefault="009F24E2" w:rsidP="009F24E2">
      <w:pPr>
        <w:pStyle w:val="TAMainText"/>
        <w:spacing w:after="240"/>
        <w:rPr>
          <w:rFonts w:ascii="Times New Roman" w:hAnsi="Times New Roman"/>
          <w:b/>
          <w:bCs/>
          <w:color w:val="000000"/>
          <w:sz w:val="22"/>
          <w:szCs w:val="22"/>
        </w:rPr>
      </w:pPr>
      <w:r>
        <w:t xml:space="preserve">Burial of the chlorocyanophenyl ring, counted as RT heavy-atom contacts within 4.0 Å, is 19.5 ± 0.5 in WT. The largest reduction in the panel occurs in Y188L (13.7 ± 1.5; Figure 3A); the next lowest value, in V106A+F227L, is 17.2 ± 0.3. Y181C is not reduced (24.0 ± 2.6), and the three highest values in the panel are those of Y181C, K103N+M230L (22.8 ± 2.4) and G190E (22.7 ± 2.0). The interplanar angle between the Tyr188 and chlorocyanophenyl ring planes is 13.4 ± 0.4° </w:t>
      </w:r>
      <w:r>
        <w:lastRenderedPageBreak/>
        <w:t>in WT. G190S shows the largest departure from WT (27.4 ± 5.3°) and is the only genotype in the panel whose mean angle differs from WT by more than 10°; several genotypes with intermediate mean angles (V106A, A98G+F227C and V106A+P225H, 20–22°) carry replicate to replicate variability of 7–9° in the observed trajectories.</w:t>
      </w:r>
    </w:p>
    <w:p w14:paraId="34176516" w14:textId="77777777" w:rsidR="00453EE8" w:rsidRPr="00E536AD" w:rsidRDefault="00453EE8" w:rsidP="004240A7">
      <w:pPr>
        <w:rPr>
          <w:rFonts w:ascii="Times New Roman" w:hAnsi="Times New Roman"/>
          <w:b/>
          <w:bCs/>
          <w:color w:val="000000"/>
          <w:sz w:val="22"/>
          <w:szCs w:val="22"/>
        </w:rPr>
        <w:sectPr w:rsidR="00453EE8" w:rsidRPr="00E536AD" w:rsidSect="00453EE8">
          <w:footerReference w:type="even" r:id="rId16"/>
          <w:footerReference w:type="default" r:id="rId17"/>
          <w:pgSz w:w="12240" w:h="15840"/>
          <w:pgMar w:top="1440" w:right="1440" w:bottom="1440" w:left="1440" w:header="0" w:footer="0" w:gutter="0"/>
          <w:cols w:space="720"/>
          <w:docGrid w:linePitch="360"/>
        </w:sectPr>
      </w:pPr>
    </w:p>
    <w:p w14:paraId="008DCD52" w14:textId="77777777" w:rsidR="004240A7" w:rsidRPr="00C634FF" w:rsidRDefault="004240A7" w:rsidP="00563353">
      <w:pPr>
        <w:pStyle w:val="VDTableTitle"/>
        <w:spacing w:after="0"/>
        <w:rPr>
          <w:rFonts w:ascii="Times New Roman" w:hAnsi="Times New Roman"/>
          <w:sz w:val="20"/>
        </w:rPr>
      </w:pPr>
      <w:r>
        <w:rPr>
          <w:b/>
          <w:bCs/>
          <w:color w:val="000000"/>
          <w:sz w:val="20"/>
        </w:rPr>
        <w:lastRenderedPageBreak/>
        <w:t>Table 3. Structural metrics from equilibrium MD simulations</w:t>
      </w:r>
    </w:p>
    <w:tbl>
      <w:tblPr>
        <w:tblStyle w:val="TableGrid"/>
        <w:tblW w:w="496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900"/>
        <w:gridCol w:w="1081"/>
        <w:gridCol w:w="1261"/>
        <w:gridCol w:w="1531"/>
        <w:gridCol w:w="1531"/>
        <w:gridCol w:w="1171"/>
        <w:gridCol w:w="1261"/>
        <w:gridCol w:w="1081"/>
        <w:gridCol w:w="991"/>
        <w:gridCol w:w="1081"/>
      </w:tblGrid>
      <w:tr w:rsidR="00EA289C" w:rsidRPr="00C634FF" w14:paraId="4FB07E82" w14:textId="77777777" w:rsidTr="00D24828">
        <w:trPr>
          <w:trHeight w:val="539"/>
        </w:trPr>
        <w:tc>
          <w:tcPr>
            <w:tcW w:w="985" w:type="dxa"/>
            <w:tcBorders>
              <w:top w:val="single" w:sz="4" w:space="0" w:color="auto"/>
              <w:bottom w:val="single" w:sz="4" w:space="0" w:color="auto"/>
            </w:tcBorders>
            <w:hideMark/>
          </w:tcPr>
          <w:p w14:paraId="5B0A6B79" w14:textId="77777777" w:rsidR="00EA289C" w:rsidRPr="0035326E" w:rsidRDefault="00EA289C" w:rsidP="00EA289C">
            <w:pPr>
              <w:pStyle w:val="TCTableBody"/>
              <w:jc w:val="center"/>
              <w:rPr>
                <w:rFonts w:ascii="Times New Roman" w:hAnsi="Times New Roman"/>
                <w:b/>
                <w:bCs/>
                <w:color w:val="000000"/>
                <w:sz w:val="16"/>
                <w:szCs w:val="16"/>
              </w:rPr>
            </w:pPr>
            <w:r>
              <w:rPr>
                <w:b/>
                <w:bCs/>
                <w:color w:val="000000"/>
                <w:sz w:val="16"/>
                <w:szCs w:val="16"/>
              </w:rPr>
              <w:t>Category</w:t>
            </w:r>
          </w:p>
        </w:tc>
        <w:tc>
          <w:tcPr>
            <w:tcW w:w="900" w:type="dxa"/>
            <w:tcBorders>
              <w:top w:val="single" w:sz="4" w:space="0" w:color="auto"/>
              <w:bottom w:val="single" w:sz="4" w:space="0" w:color="auto"/>
            </w:tcBorders>
            <w:hideMark/>
          </w:tcPr>
          <w:p w14:paraId="39C9F300" w14:textId="77777777" w:rsidR="00EA289C" w:rsidRPr="0035326E" w:rsidRDefault="00EA289C" w:rsidP="00EA289C">
            <w:pPr>
              <w:pStyle w:val="TCTableBody"/>
              <w:spacing w:line="480" w:lineRule="auto"/>
              <w:jc w:val="center"/>
              <w:rPr>
                <w:rFonts w:ascii="Times New Roman" w:hAnsi="Times New Roman"/>
                <w:b/>
                <w:bCs/>
                <w:color w:val="000000"/>
                <w:sz w:val="16"/>
                <w:szCs w:val="16"/>
              </w:rPr>
            </w:pPr>
            <w:r>
              <w:rPr>
                <w:b/>
                <w:bCs/>
                <w:color w:val="000000"/>
                <w:sz w:val="16"/>
                <w:szCs w:val="16"/>
              </w:rPr>
              <w:t>Genotype</w:t>
            </w:r>
          </w:p>
        </w:tc>
        <w:tc>
          <w:tcPr>
            <w:tcW w:w="1080" w:type="dxa"/>
            <w:tcBorders>
              <w:top w:val="single" w:sz="4" w:space="0" w:color="auto"/>
              <w:bottom w:val="single" w:sz="4" w:space="0" w:color="auto"/>
            </w:tcBorders>
            <w:hideMark/>
          </w:tcPr>
          <w:p w14:paraId="137C177A" w14:textId="77777777" w:rsidR="00EA289C" w:rsidRPr="0035326E" w:rsidRDefault="00453EE8" w:rsidP="00EA289C">
            <w:pPr>
              <w:pStyle w:val="TCTableBody"/>
              <w:jc w:val="center"/>
              <w:rPr>
                <w:rFonts w:ascii="Times New Roman" w:hAnsi="Times New Roman"/>
                <w:b/>
                <w:bCs/>
                <w:color w:val="000000"/>
                <w:sz w:val="16"/>
                <w:szCs w:val="16"/>
              </w:rPr>
            </w:pPr>
            <w:r>
              <w:rPr>
                <w:b/>
                <w:bCs/>
                <w:sz w:val="16"/>
                <w:szCs w:val="16"/>
              </w:rPr>
              <w:t>Lys103 C=O to DOR triazolinone N (Å)</w:t>
            </w:r>
          </w:p>
        </w:tc>
        <w:tc>
          <w:tcPr>
            <w:tcW w:w="1260" w:type="dxa"/>
            <w:tcBorders>
              <w:top w:val="single" w:sz="4" w:space="0" w:color="auto"/>
              <w:bottom w:val="single" w:sz="4" w:space="0" w:color="auto"/>
            </w:tcBorders>
            <w:hideMark/>
          </w:tcPr>
          <w:p w14:paraId="1A9D59F2" w14:textId="77777777" w:rsidR="00EA289C" w:rsidRPr="0035326E" w:rsidRDefault="00453EE8" w:rsidP="00EA289C">
            <w:pPr>
              <w:pStyle w:val="TCTableBody"/>
              <w:jc w:val="center"/>
              <w:rPr>
                <w:rFonts w:ascii="Times New Roman" w:hAnsi="Times New Roman"/>
                <w:b/>
                <w:bCs/>
                <w:color w:val="000000"/>
                <w:sz w:val="16"/>
                <w:szCs w:val="16"/>
              </w:rPr>
            </w:pPr>
            <w:r>
              <w:rPr>
                <w:b/>
                <w:bCs/>
                <w:sz w:val="16"/>
                <w:szCs w:val="16"/>
              </w:rPr>
              <w:t>Lys103 side-chain polar atoms to DOR (Å)</w:t>
            </w:r>
          </w:p>
        </w:tc>
        <w:tc>
          <w:tcPr>
            <w:tcW w:w="1530" w:type="dxa"/>
            <w:tcBorders>
              <w:top w:val="single" w:sz="4" w:space="0" w:color="auto"/>
              <w:bottom w:val="single" w:sz="4" w:space="0" w:color="auto"/>
            </w:tcBorders>
            <w:hideMark/>
          </w:tcPr>
          <w:p w14:paraId="21905C5A" w14:textId="77777777" w:rsidR="00EA289C" w:rsidRPr="0035326E" w:rsidRDefault="00EA289C" w:rsidP="00EA289C">
            <w:pPr>
              <w:pStyle w:val="TCTableBody"/>
              <w:jc w:val="center"/>
              <w:rPr>
                <w:rFonts w:ascii="Times New Roman" w:hAnsi="Times New Roman"/>
                <w:b/>
                <w:bCs/>
                <w:color w:val="000000"/>
                <w:sz w:val="16"/>
                <w:szCs w:val="16"/>
              </w:rPr>
            </w:pPr>
            <w:r>
              <w:rPr>
                <w:b/>
                <w:bCs/>
                <w:sz w:val="16"/>
                <w:szCs w:val="16"/>
              </w:rPr>
              <w:t>RT heavy-atom contacts &lt; 4.0 Å of chlorocyanophenyl ring</w:t>
            </w:r>
          </w:p>
        </w:tc>
        <w:tc>
          <w:tcPr>
            <w:tcW w:w="1530" w:type="dxa"/>
            <w:tcBorders>
              <w:top w:val="single" w:sz="4" w:space="0" w:color="auto"/>
              <w:bottom w:val="single" w:sz="4" w:space="0" w:color="auto"/>
            </w:tcBorders>
          </w:tcPr>
          <w:p w14:paraId="3A33AE74" w14:textId="77777777" w:rsidR="00EA289C" w:rsidRPr="0035326E" w:rsidRDefault="00EA289C" w:rsidP="00EA289C">
            <w:pPr>
              <w:pStyle w:val="TCTableBody"/>
              <w:jc w:val="center"/>
              <w:rPr>
                <w:rFonts w:ascii="Times New Roman" w:hAnsi="Times New Roman"/>
                <w:b/>
                <w:bCs/>
                <w:color w:val="000000"/>
                <w:sz w:val="16"/>
                <w:szCs w:val="16"/>
              </w:rPr>
            </w:pPr>
            <w:r>
              <w:rPr>
                <w:b/>
                <w:bCs/>
                <w:sz w:val="16"/>
                <w:szCs w:val="16"/>
              </w:rPr>
              <w:t>Tyr188 / chlorocyanophenyl interplanar angle (°)</w:t>
            </w:r>
          </w:p>
        </w:tc>
        <w:tc>
          <w:tcPr>
            <w:tcW w:w="1170" w:type="dxa"/>
            <w:tcBorders>
              <w:top w:val="single" w:sz="4" w:space="0" w:color="auto"/>
              <w:bottom w:val="single" w:sz="4" w:space="0" w:color="auto"/>
            </w:tcBorders>
          </w:tcPr>
          <w:p w14:paraId="6BB87619" w14:textId="77777777" w:rsidR="00EA289C" w:rsidRPr="0035326E" w:rsidRDefault="00EA289C" w:rsidP="00EA289C">
            <w:pPr>
              <w:pStyle w:val="TCTableBody"/>
              <w:jc w:val="center"/>
              <w:rPr>
                <w:rFonts w:ascii="Times New Roman" w:hAnsi="Times New Roman"/>
                <w:b/>
                <w:bCs/>
                <w:color w:val="000000"/>
                <w:sz w:val="16"/>
                <w:szCs w:val="16"/>
              </w:rPr>
            </w:pPr>
            <w:r>
              <w:rPr>
                <w:b/>
                <w:bCs/>
                <w:sz w:val="16"/>
                <w:szCs w:val="16"/>
              </w:rPr>
              <w:t>Val179 to DOR minimum distance (Å)</w:t>
            </w:r>
          </w:p>
        </w:tc>
        <w:tc>
          <w:tcPr>
            <w:tcW w:w="1260" w:type="dxa"/>
            <w:tcBorders>
              <w:top w:val="single" w:sz="4" w:space="0" w:color="auto"/>
              <w:bottom w:val="single" w:sz="4" w:space="0" w:color="auto"/>
            </w:tcBorders>
          </w:tcPr>
          <w:p w14:paraId="1E9794BF" w14:textId="77777777" w:rsidR="00EA289C" w:rsidRPr="0035326E" w:rsidRDefault="00EA289C" w:rsidP="00EA289C">
            <w:pPr>
              <w:pStyle w:val="TCTableBody"/>
              <w:jc w:val="center"/>
              <w:rPr>
                <w:rFonts w:ascii="Times New Roman" w:hAnsi="Times New Roman"/>
                <w:b/>
                <w:bCs/>
                <w:color w:val="000000"/>
                <w:sz w:val="16"/>
                <w:szCs w:val="16"/>
              </w:rPr>
            </w:pPr>
            <w:r>
              <w:rPr>
                <w:b/>
                <w:bCs/>
                <w:sz w:val="16"/>
                <w:szCs w:val="16"/>
              </w:rPr>
              <w:t>Ser105 to DOR minimum distance (Å)</w:t>
            </w:r>
          </w:p>
        </w:tc>
        <w:tc>
          <w:tcPr>
            <w:tcW w:w="1080" w:type="dxa"/>
            <w:tcBorders>
              <w:top w:val="single" w:sz="4" w:space="0" w:color="auto"/>
              <w:bottom w:val="single" w:sz="4" w:space="0" w:color="auto"/>
            </w:tcBorders>
          </w:tcPr>
          <w:p w14:paraId="38321A03" w14:textId="77777777" w:rsidR="00EA289C" w:rsidRPr="0035326E" w:rsidRDefault="00453EE8" w:rsidP="00EA289C">
            <w:pPr>
              <w:pStyle w:val="TCTableBody"/>
              <w:jc w:val="center"/>
              <w:rPr>
                <w:rFonts w:ascii="Times New Roman" w:hAnsi="Times New Roman"/>
                <w:b/>
                <w:bCs/>
                <w:color w:val="000000"/>
                <w:sz w:val="16"/>
                <w:szCs w:val="16"/>
              </w:rPr>
            </w:pPr>
            <w:r>
              <w:rPr>
                <w:b/>
                <w:bCs/>
                <w:sz w:val="16"/>
                <w:szCs w:val="16"/>
              </w:rPr>
              <w:t>Val106 to DOR minimum distance (Å)</w:t>
            </w:r>
          </w:p>
        </w:tc>
        <w:tc>
          <w:tcPr>
            <w:tcW w:w="990" w:type="dxa"/>
            <w:tcBorders>
              <w:top w:val="single" w:sz="4" w:space="0" w:color="auto"/>
              <w:bottom w:val="single" w:sz="4" w:space="0" w:color="auto"/>
            </w:tcBorders>
          </w:tcPr>
          <w:p w14:paraId="751CA886" w14:textId="77777777" w:rsidR="00EA289C" w:rsidRPr="0035326E" w:rsidRDefault="00EA289C" w:rsidP="00EA289C">
            <w:pPr>
              <w:pStyle w:val="TCTableBody"/>
              <w:jc w:val="center"/>
              <w:rPr>
                <w:rFonts w:ascii="Times New Roman" w:hAnsi="Times New Roman"/>
                <w:b/>
                <w:bCs/>
                <w:color w:val="000000"/>
                <w:sz w:val="16"/>
                <w:szCs w:val="16"/>
              </w:rPr>
            </w:pPr>
            <w:r>
              <w:rPr>
                <w:b/>
                <w:bCs/>
                <w:sz w:val="16"/>
                <w:szCs w:val="16"/>
              </w:rPr>
              <w:t>Pyridinone moiety contacts &lt; 4.0 Å</w:t>
            </w:r>
          </w:p>
        </w:tc>
        <w:tc>
          <w:tcPr>
            <w:tcW w:w="1080" w:type="dxa"/>
            <w:tcBorders>
              <w:top w:val="single" w:sz="4" w:space="0" w:color="auto"/>
              <w:bottom w:val="single" w:sz="4" w:space="0" w:color="auto"/>
            </w:tcBorders>
          </w:tcPr>
          <w:p w14:paraId="677A08CD" w14:textId="77777777" w:rsidR="00EA289C" w:rsidRPr="0035326E" w:rsidRDefault="00EA289C" w:rsidP="00EA289C">
            <w:pPr>
              <w:pStyle w:val="TCTableBody"/>
              <w:jc w:val="center"/>
              <w:rPr>
                <w:rFonts w:ascii="Times New Roman" w:hAnsi="Times New Roman"/>
                <w:b/>
                <w:bCs/>
                <w:color w:val="000000"/>
                <w:sz w:val="16"/>
                <w:szCs w:val="16"/>
              </w:rPr>
            </w:pPr>
            <w:r>
              <w:rPr>
                <w:b/>
                <w:bCs/>
                <w:sz w:val="16"/>
                <w:szCs w:val="16"/>
              </w:rPr>
              <w:t>NNIBP volume (Å</w:t>
            </w:r>
            <w:r>
              <w:rPr>
                <w:b/>
                <w:bCs/>
                <w:sz w:val="16"/>
                <w:szCs w:val="16"/>
                <w:vertAlign w:val="superscript"/>
              </w:rPr>
              <w:t>3</w:t>
            </w:r>
            <w:r>
              <w:rPr>
                <w:b/>
                <w:bCs/>
                <w:sz w:val="16"/>
                <w:szCs w:val="16"/>
              </w:rPr>
              <w:t>)</w:t>
            </w:r>
          </w:p>
        </w:tc>
      </w:tr>
      <w:tr w:rsidR="00FA0CDB" w:rsidRPr="00C634FF" w14:paraId="326F0425" w14:textId="77777777" w:rsidTr="00D24828">
        <w:trPr>
          <w:trHeight w:val="340"/>
        </w:trPr>
        <w:tc>
          <w:tcPr>
            <w:tcW w:w="985" w:type="dxa"/>
            <w:tcBorders>
              <w:top w:val="single" w:sz="4" w:space="0" w:color="auto"/>
              <w:bottom w:val="single" w:sz="4" w:space="0" w:color="auto"/>
            </w:tcBorders>
          </w:tcPr>
          <w:p w14:paraId="40F2197E" w14:textId="77777777" w:rsidR="00FA0CDB" w:rsidRPr="0035326E" w:rsidRDefault="00FA0CDB" w:rsidP="00FA0CDB">
            <w:pPr>
              <w:pStyle w:val="TCTableBody"/>
              <w:jc w:val="center"/>
              <w:rPr>
                <w:rFonts w:ascii="Times New Roman" w:hAnsi="Times New Roman"/>
                <w:b/>
                <w:bCs/>
                <w:i/>
                <w:iCs/>
                <w:color w:val="000000"/>
                <w:sz w:val="16"/>
                <w:szCs w:val="16"/>
              </w:rPr>
            </w:pPr>
            <w:r>
              <w:rPr>
                <w:b/>
                <w:bCs/>
                <w:i/>
                <w:iCs/>
                <w:color w:val="000000"/>
                <w:sz w:val="16"/>
                <w:szCs w:val="16"/>
              </w:rPr>
              <w:t>Wild Type</w:t>
            </w:r>
          </w:p>
        </w:tc>
        <w:tc>
          <w:tcPr>
            <w:tcW w:w="900" w:type="dxa"/>
            <w:tcBorders>
              <w:top w:val="single" w:sz="4" w:space="0" w:color="auto"/>
              <w:bottom w:val="single" w:sz="4" w:space="0" w:color="auto"/>
            </w:tcBorders>
          </w:tcPr>
          <w:p w14:paraId="22C8CF91" w14:textId="77777777" w:rsidR="00FA0CDB" w:rsidRPr="0035326E" w:rsidRDefault="00FA0CDB" w:rsidP="00FA0CDB">
            <w:pPr>
              <w:pStyle w:val="TCTableBody"/>
              <w:jc w:val="center"/>
              <w:rPr>
                <w:rFonts w:ascii="Times New Roman" w:hAnsi="Times New Roman"/>
                <w:color w:val="000000"/>
                <w:sz w:val="16"/>
                <w:szCs w:val="16"/>
              </w:rPr>
            </w:pPr>
            <w:r>
              <w:rPr>
                <w:color w:val="000000"/>
                <w:sz w:val="16"/>
                <w:szCs w:val="16"/>
              </w:rPr>
              <w:t>WT</w:t>
            </w:r>
          </w:p>
        </w:tc>
        <w:tc>
          <w:tcPr>
            <w:tcW w:w="1080" w:type="dxa"/>
            <w:tcBorders>
              <w:top w:val="single" w:sz="4" w:space="0" w:color="auto"/>
              <w:bottom w:val="single" w:sz="4" w:space="0" w:color="auto"/>
            </w:tcBorders>
          </w:tcPr>
          <w:p w14:paraId="0CCFAA85" w14:textId="77777777" w:rsidR="00FA0CDB" w:rsidRPr="0035326E" w:rsidRDefault="00FA0CDB" w:rsidP="00FA0CDB">
            <w:pPr>
              <w:pStyle w:val="TCTableBody"/>
              <w:jc w:val="center"/>
              <w:rPr>
                <w:rFonts w:ascii="Times New Roman" w:hAnsi="Times New Roman"/>
                <w:sz w:val="16"/>
                <w:szCs w:val="16"/>
              </w:rPr>
            </w:pPr>
            <w:r>
              <w:rPr>
                <w:sz w:val="16"/>
                <w:szCs w:val="16"/>
              </w:rPr>
              <w:t>2.97 ± 0.01</w:t>
            </w:r>
          </w:p>
        </w:tc>
        <w:tc>
          <w:tcPr>
            <w:tcW w:w="1260" w:type="dxa"/>
            <w:tcBorders>
              <w:top w:val="single" w:sz="4" w:space="0" w:color="auto"/>
              <w:bottom w:val="single" w:sz="4" w:space="0" w:color="auto"/>
            </w:tcBorders>
          </w:tcPr>
          <w:p w14:paraId="15CD76AD" w14:textId="77777777" w:rsidR="00FA0CDB" w:rsidRPr="0035326E" w:rsidRDefault="00FA0CDB" w:rsidP="00FA0CDB">
            <w:pPr>
              <w:pStyle w:val="TCTableBody"/>
              <w:jc w:val="center"/>
              <w:rPr>
                <w:rFonts w:ascii="Times New Roman" w:hAnsi="Times New Roman"/>
                <w:sz w:val="16"/>
                <w:szCs w:val="16"/>
              </w:rPr>
            </w:pPr>
            <w:r>
              <w:rPr>
                <w:sz w:val="16"/>
                <w:szCs w:val="16"/>
              </w:rPr>
              <w:t>8.38 ± 0.15</w:t>
            </w:r>
          </w:p>
        </w:tc>
        <w:tc>
          <w:tcPr>
            <w:tcW w:w="1530" w:type="dxa"/>
            <w:tcBorders>
              <w:top w:val="single" w:sz="4" w:space="0" w:color="auto"/>
              <w:bottom w:val="single" w:sz="4" w:space="0" w:color="auto"/>
            </w:tcBorders>
          </w:tcPr>
          <w:p w14:paraId="064E93D5" w14:textId="77777777" w:rsidR="00FA0CDB" w:rsidRPr="0035326E" w:rsidRDefault="00FA0CDB" w:rsidP="00FA0CDB">
            <w:pPr>
              <w:pStyle w:val="TCTableBody"/>
              <w:jc w:val="center"/>
              <w:rPr>
                <w:rFonts w:ascii="Times New Roman" w:hAnsi="Times New Roman"/>
                <w:sz w:val="16"/>
                <w:szCs w:val="16"/>
              </w:rPr>
            </w:pPr>
            <w:r>
              <w:rPr>
                <w:sz w:val="16"/>
                <w:szCs w:val="16"/>
              </w:rPr>
              <w:t>19.5 ± 0.5</w:t>
            </w:r>
          </w:p>
        </w:tc>
        <w:tc>
          <w:tcPr>
            <w:tcW w:w="1530" w:type="dxa"/>
            <w:tcBorders>
              <w:top w:val="single" w:sz="4" w:space="0" w:color="auto"/>
              <w:bottom w:val="single" w:sz="4" w:space="0" w:color="auto"/>
            </w:tcBorders>
          </w:tcPr>
          <w:p w14:paraId="0F8A02B6" w14:textId="77777777" w:rsidR="00FA0CDB" w:rsidRPr="0035326E" w:rsidRDefault="00FA0CDB" w:rsidP="00FA0CDB">
            <w:pPr>
              <w:pStyle w:val="TCTableBody"/>
              <w:jc w:val="center"/>
              <w:rPr>
                <w:rFonts w:ascii="Times New Roman" w:hAnsi="Times New Roman"/>
                <w:sz w:val="16"/>
                <w:szCs w:val="16"/>
              </w:rPr>
            </w:pPr>
            <w:r>
              <w:rPr>
                <w:sz w:val="16"/>
                <w:szCs w:val="16"/>
              </w:rPr>
              <w:t>13.4 ± 0.4</w:t>
            </w:r>
          </w:p>
        </w:tc>
        <w:tc>
          <w:tcPr>
            <w:tcW w:w="1170" w:type="dxa"/>
            <w:tcBorders>
              <w:top w:val="single" w:sz="4" w:space="0" w:color="auto"/>
              <w:bottom w:val="single" w:sz="4" w:space="0" w:color="auto"/>
            </w:tcBorders>
          </w:tcPr>
          <w:p w14:paraId="3C96B9AA" w14:textId="77777777" w:rsidR="00FA0CDB" w:rsidRPr="0035326E" w:rsidRDefault="00FA0CDB" w:rsidP="00FA0CDB">
            <w:pPr>
              <w:pStyle w:val="TCTableBody"/>
              <w:jc w:val="center"/>
              <w:rPr>
                <w:rFonts w:ascii="Times New Roman" w:hAnsi="Times New Roman"/>
                <w:sz w:val="16"/>
                <w:szCs w:val="16"/>
              </w:rPr>
            </w:pPr>
            <w:r>
              <w:rPr>
                <w:sz w:val="16"/>
                <w:szCs w:val="16"/>
              </w:rPr>
              <w:t>3.62 ± 0.06</w:t>
            </w:r>
          </w:p>
        </w:tc>
        <w:tc>
          <w:tcPr>
            <w:tcW w:w="1260" w:type="dxa"/>
            <w:tcBorders>
              <w:top w:val="single" w:sz="4" w:space="0" w:color="auto"/>
              <w:bottom w:val="single" w:sz="4" w:space="0" w:color="auto"/>
            </w:tcBorders>
          </w:tcPr>
          <w:p w14:paraId="7D5D7569"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6.65 ± 0.09</w:t>
            </w:r>
          </w:p>
        </w:tc>
        <w:tc>
          <w:tcPr>
            <w:tcW w:w="1080" w:type="dxa"/>
            <w:tcBorders>
              <w:top w:val="single" w:sz="4" w:space="0" w:color="auto"/>
              <w:bottom w:val="single" w:sz="4" w:space="0" w:color="auto"/>
            </w:tcBorders>
          </w:tcPr>
          <w:p w14:paraId="056E485D"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3.36 ± 0.07</w:t>
            </w:r>
          </w:p>
        </w:tc>
        <w:tc>
          <w:tcPr>
            <w:tcW w:w="990" w:type="dxa"/>
            <w:tcBorders>
              <w:top w:val="single" w:sz="4" w:space="0" w:color="auto"/>
              <w:bottom w:val="single" w:sz="4" w:space="0" w:color="auto"/>
            </w:tcBorders>
          </w:tcPr>
          <w:p w14:paraId="72DADDFD"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14.8 ± 1.4</w:t>
            </w:r>
          </w:p>
        </w:tc>
        <w:tc>
          <w:tcPr>
            <w:tcW w:w="1080" w:type="dxa"/>
            <w:tcBorders>
              <w:top w:val="single" w:sz="4" w:space="0" w:color="auto"/>
              <w:bottom w:val="single" w:sz="4" w:space="0" w:color="auto"/>
            </w:tcBorders>
          </w:tcPr>
          <w:p w14:paraId="51833AAE"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228.4 ± 11.7</w:t>
            </w:r>
          </w:p>
        </w:tc>
      </w:tr>
      <w:tr w:rsidR="00FA0CDB" w:rsidRPr="00C634FF" w14:paraId="51C5A330" w14:textId="77777777" w:rsidTr="00D24828">
        <w:trPr>
          <w:trHeight w:val="340"/>
        </w:trPr>
        <w:tc>
          <w:tcPr>
            <w:tcW w:w="985" w:type="dxa"/>
            <w:vMerge w:val="restart"/>
            <w:tcBorders>
              <w:top w:val="single" w:sz="4" w:space="0" w:color="auto"/>
            </w:tcBorders>
            <w:hideMark/>
          </w:tcPr>
          <w:p w14:paraId="67FEDE99" w14:textId="77777777" w:rsidR="00FA0CDB" w:rsidRPr="0035326E" w:rsidRDefault="00FA0CDB" w:rsidP="00FA0CDB">
            <w:pPr>
              <w:pStyle w:val="TCTableBody"/>
              <w:jc w:val="center"/>
              <w:rPr>
                <w:rFonts w:ascii="Times New Roman" w:hAnsi="Times New Roman"/>
                <w:b/>
                <w:bCs/>
                <w:i/>
                <w:iCs/>
                <w:color w:val="000000"/>
                <w:sz w:val="16"/>
                <w:szCs w:val="16"/>
              </w:rPr>
            </w:pPr>
            <w:r>
              <w:rPr>
                <w:b/>
                <w:bCs/>
                <w:i/>
                <w:iCs/>
                <w:color w:val="000000"/>
                <w:sz w:val="16"/>
                <w:szCs w:val="16"/>
              </w:rPr>
              <w:t>Susceptible</w:t>
            </w:r>
          </w:p>
        </w:tc>
        <w:tc>
          <w:tcPr>
            <w:tcW w:w="900" w:type="dxa"/>
            <w:tcBorders>
              <w:top w:val="single" w:sz="4" w:space="0" w:color="auto"/>
            </w:tcBorders>
            <w:hideMark/>
          </w:tcPr>
          <w:p w14:paraId="37AE87A6" w14:textId="77777777" w:rsidR="00FA0CDB" w:rsidRPr="0035326E" w:rsidRDefault="00FA0CDB" w:rsidP="00FA0CDB">
            <w:pPr>
              <w:pStyle w:val="TCTableBody"/>
              <w:jc w:val="center"/>
              <w:rPr>
                <w:rFonts w:ascii="Times New Roman" w:hAnsi="Times New Roman"/>
                <w:color w:val="000000"/>
                <w:sz w:val="16"/>
                <w:szCs w:val="16"/>
              </w:rPr>
            </w:pPr>
            <w:r>
              <w:rPr>
                <w:color w:val="000000"/>
                <w:sz w:val="16"/>
                <w:szCs w:val="16"/>
              </w:rPr>
              <w:t>V106I</w:t>
            </w:r>
          </w:p>
        </w:tc>
        <w:tc>
          <w:tcPr>
            <w:tcW w:w="1080" w:type="dxa"/>
            <w:tcBorders>
              <w:top w:val="single" w:sz="4" w:space="0" w:color="auto"/>
            </w:tcBorders>
            <w:hideMark/>
          </w:tcPr>
          <w:p w14:paraId="3D96ACA5"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3.62 ± 0.30</w:t>
            </w:r>
          </w:p>
        </w:tc>
        <w:tc>
          <w:tcPr>
            <w:tcW w:w="1260" w:type="dxa"/>
            <w:tcBorders>
              <w:top w:val="single" w:sz="4" w:space="0" w:color="auto"/>
            </w:tcBorders>
            <w:hideMark/>
          </w:tcPr>
          <w:p w14:paraId="5869F867"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9.20 ± 0.50</w:t>
            </w:r>
          </w:p>
        </w:tc>
        <w:tc>
          <w:tcPr>
            <w:tcW w:w="1530" w:type="dxa"/>
            <w:tcBorders>
              <w:top w:val="single" w:sz="4" w:space="0" w:color="auto"/>
            </w:tcBorders>
            <w:hideMark/>
          </w:tcPr>
          <w:p w14:paraId="746B65AD"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20.2 ± 0.3</w:t>
            </w:r>
          </w:p>
        </w:tc>
        <w:tc>
          <w:tcPr>
            <w:tcW w:w="1530" w:type="dxa"/>
            <w:tcBorders>
              <w:top w:val="single" w:sz="4" w:space="0" w:color="auto"/>
            </w:tcBorders>
          </w:tcPr>
          <w:p w14:paraId="57288B04"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14.7 ± 2.3</w:t>
            </w:r>
          </w:p>
        </w:tc>
        <w:tc>
          <w:tcPr>
            <w:tcW w:w="1170" w:type="dxa"/>
            <w:tcBorders>
              <w:top w:val="single" w:sz="4" w:space="0" w:color="auto"/>
            </w:tcBorders>
          </w:tcPr>
          <w:p w14:paraId="496A0B51"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3.74 ± 0.20</w:t>
            </w:r>
          </w:p>
        </w:tc>
        <w:tc>
          <w:tcPr>
            <w:tcW w:w="1260" w:type="dxa"/>
            <w:tcBorders>
              <w:top w:val="single" w:sz="4" w:space="0" w:color="auto"/>
            </w:tcBorders>
          </w:tcPr>
          <w:p w14:paraId="04410DBA"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7.15 ± 0.14</w:t>
            </w:r>
          </w:p>
        </w:tc>
        <w:tc>
          <w:tcPr>
            <w:tcW w:w="1080" w:type="dxa"/>
            <w:tcBorders>
              <w:top w:val="single" w:sz="4" w:space="0" w:color="auto"/>
            </w:tcBorders>
          </w:tcPr>
          <w:p w14:paraId="4EB8503E"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3.22 ± 0.09</w:t>
            </w:r>
          </w:p>
        </w:tc>
        <w:tc>
          <w:tcPr>
            <w:tcW w:w="990" w:type="dxa"/>
            <w:tcBorders>
              <w:top w:val="single" w:sz="4" w:space="0" w:color="auto"/>
            </w:tcBorders>
          </w:tcPr>
          <w:p w14:paraId="0FEB32CB"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16.0 ± 0.8</w:t>
            </w:r>
          </w:p>
        </w:tc>
        <w:tc>
          <w:tcPr>
            <w:tcW w:w="1080" w:type="dxa"/>
            <w:tcBorders>
              <w:top w:val="single" w:sz="4" w:space="0" w:color="auto"/>
            </w:tcBorders>
          </w:tcPr>
          <w:p w14:paraId="4D08482C"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247.3 ± 6.7</w:t>
            </w:r>
          </w:p>
        </w:tc>
      </w:tr>
      <w:tr w:rsidR="00FA0CDB" w:rsidRPr="00C634FF" w14:paraId="03D0C0DD" w14:textId="77777777" w:rsidTr="00D24828">
        <w:trPr>
          <w:trHeight w:val="340"/>
        </w:trPr>
        <w:tc>
          <w:tcPr>
            <w:tcW w:w="985" w:type="dxa"/>
            <w:vMerge/>
            <w:hideMark/>
          </w:tcPr>
          <w:p w14:paraId="26125529" w14:textId="77777777" w:rsidR="00FA0CDB" w:rsidRPr="0035326E" w:rsidRDefault="00FA0CDB" w:rsidP="00FA0CDB">
            <w:pPr>
              <w:rPr>
                <w:rFonts w:ascii="Times New Roman" w:hAnsi="Times New Roman"/>
                <w:color w:val="000000"/>
                <w:sz w:val="16"/>
                <w:szCs w:val="16"/>
              </w:rPr>
            </w:pPr>
          </w:p>
        </w:tc>
        <w:tc>
          <w:tcPr>
            <w:tcW w:w="900" w:type="dxa"/>
            <w:hideMark/>
          </w:tcPr>
          <w:p w14:paraId="2859CEE0"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K103N</w:t>
            </w:r>
          </w:p>
        </w:tc>
        <w:tc>
          <w:tcPr>
            <w:tcW w:w="1080" w:type="dxa"/>
            <w:hideMark/>
          </w:tcPr>
          <w:p w14:paraId="18623E12"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3.08 ± 0.06</w:t>
            </w:r>
          </w:p>
        </w:tc>
        <w:tc>
          <w:tcPr>
            <w:tcW w:w="1260" w:type="dxa"/>
            <w:hideMark/>
          </w:tcPr>
          <w:p w14:paraId="0BF3F216"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5.07 ± 0.04</w:t>
            </w:r>
          </w:p>
        </w:tc>
        <w:tc>
          <w:tcPr>
            <w:tcW w:w="1530" w:type="dxa"/>
            <w:hideMark/>
          </w:tcPr>
          <w:p w14:paraId="289AFCA7"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20.3 ± 0.6</w:t>
            </w:r>
          </w:p>
        </w:tc>
        <w:tc>
          <w:tcPr>
            <w:tcW w:w="1530" w:type="dxa"/>
          </w:tcPr>
          <w:p w14:paraId="5CDB5128" w14:textId="77777777" w:rsidR="00FA0CDB" w:rsidRPr="0035326E" w:rsidRDefault="00FA0CDB" w:rsidP="00FA0CDB">
            <w:pPr>
              <w:pStyle w:val="TCTableBody"/>
              <w:jc w:val="center"/>
              <w:rPr>
                <w:rFonts w:ascii="Times New Roman" w:hAnsi="Times New Roman"/>
                <w:sz w:val="16"/>
                <w:szCs w:val="16"/>
              </w:rPr>
            </w:pPr>
            <w:r>
              <w:rPr>
                <w:sz w:val="16"/>
                <w:szCs w:val="16"/>
              </w:rPr>
              <w:t>14.2 ± 1.7</w:t>
            </w:r>
          </w:p>
        </w:tc>
        <w:tc>
          <w:tcPr>
            <w:tcW w:w="1170" w:type="dxa"/>
          </w:tcPr>
          <w:p w14:paraId="64C5581A" w14:textId="77777777" w:rsidR="00FA0CDB" w:rsidRPr="0035326E" w:rsidRDefault="00FA0CDB" w:rsidP="00FA0CDB">
            <w:pPr>
              <w:pStyle w:val="TCTableBody"/>
              <w:jc w:val="center"/>
              <w:rPr>
                <w:rFonts w:ascii="Times New Roman" w:hAnsi="Times New Roman"/>
                <w:sz w:val="16"/>
                <w:szCs w:val="16"/>
              </w:rPr>
            </w:pPr>
            <w:r>
              <w:rPr>
                <w:sz w:val="16"/>
                <w:szCs w:val="16"/>
              </w:rPr>
              <w:t>3.77 ± 0.13</w:t>
            </w:r>
          </w:p>
        </w:tc>
        <w:tc>
          <w:tcPr>
            <w:tcW w:w="1260" w:type="dxa"/>
          </w:tcPr>
          <w:p w14:paraId="01D1BEDB"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6.48 ± 0.10</w:t>
            </w:r>
          </w:p>
        </w:tc>
        <w:tc>
          <w:tcPr>
            <w:tcW w:w="1080" w:type="dxa"/>
          </w:tcPr>
          <w:p w14:paraId="66939021"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3.15 ± 0.14</w:t>
            </w:r>
          </w:p>
        </w:tc>
        <w:tc>
          <w:tcPr>
            <w:tcW w:w="990" w:type="dxa"/>
          </w:tcPr>
          <w:p w14:paraId="460D2126"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17.4 ± 1.7</w:t>
            </w:r>
          </w:p>
        </w:tc>
        <w:tc>
          <w:tcPr>
            <w:tcW w:w="1080" w:type="dxa"/>
          </w:tcPr>
          <w:p w14:paraId="00BD9383"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236.8 ± 3.7</w:t>
            </w:r>
          </w:p>
        </w:tc>
      </w:tr>
      <w:tr w:rsidR="00FA0CDB" w:rsidRPr="00C634FF" w14:paraId="04C4EBB0" w14:textId="77777777" w:rsidTr="00D24828">
        <w:trPr>
          <w:trHeight w:val="340"/>
        </w:trPr>
        <w:tc>
          <w:tcPr>
            <w:tcW w:w="985" w:type="dxa"/>
            <w:vMerge/>
            <w:hideMark/>
          </w:tcPr>
          <w:p w14:paraId="7A83A192" w14:textId="77777777" w:rsidR="00FA0CDB" w:rsidRPr="0035326E" w:rsidRDefault="00FA0CDB" w:rsidP="00FA0CDB">
            <w:pPr>
              <w:rPr>
                <w:rFonts w:ascii="Times New Roman" w:hAnsi="Times New Roman"/>
                <w:color w:val="000000"/>
                <w:sz w:val="16"/>
                <w:szCs w:val="16"/>
              </w:rPr>
            </w:pPr>
          </w:p>
        </w:tc>
        <w:tc>
          <w:tcPr>
            <w:tcW w:w="900" w:type="dxa"/>
            <w:hideMark/>
          </w:tcPr>
          <w:p w14:paraId="26DA47BA"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Y181C</w:t>
            </w:r>
          </w:p>
        </w:tc>
        <w:tc>
          <w:tcPr>
            <w:tcW w:w="1080" w:type="dxa"/>
            <w:hideMark/>
          </w:tcPr>
          <w:p w14:paraId="1EFE7906"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2.95 ± 0.06</w:t>
            </w:r>
          </w:p>
        </w:tc>
        <w:tc>
          <w:tcPr>
            <w:tcW w:w="1260" w:type="dxa"/>
            <w:hideMark/>
          </w:tcPr>
          <w:p w14:paraId="2375957A"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8.17 ± 0.26</w:t>
            </w:r>
          </w:p>
        </w:tc>
        <w:tc>
          <w:tcPr>
            <w:tcW w:w="1530" w:type="dxa"/>
            <w:hideMark/>
          </w:tcPr>
          <w:p w14:paraId="70F428EF"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24.0 ± 2.6</w:t>
            </w:r>
          </w:p>
        </w:tc>
        <w:tc>
          <w:tcPr>
            <w:tcW w:w="1530" w:type="dxa"/>
          </w:tcPr>
          <w:p w14:paraId="61D33AD4" w14:textId="77777777" w:rsidR="00FA0CDB" w:rsidRPr="0035326E" w:rsidRDefault="00FA0CDB" w:rsidP="00FA0CDB">
            <w:pPr>
              <w:pStyle w:val="TCTableBody"/>
              <w:jc w:val="center"/>
              <w:rPr>
                <w:rFonts w:ascii="Times New Roman" w:hAnsi="Times New Roman"/>
                <w:sz w:val="16"/>
                <w:szCs w:val="16"/>
              </w:rPr>
            </w:pPr>
            <w:r>
              <w:rPr>
                <w:sz w:val="16"/>
                <w:szCs w:val="16"/>
              </w:rPr>
              <w:t>14.9 ± 1.6</w:t>
            </w:r>
          </w:p>
        </w:tc>
        <w:tc>
          <w:tcPr>
            <w:tcW w:w="1170" w:type="dxa"/>
          </w:tcPr>
          <w:p w14:paraId="7F84C754" w14:textId="77777777" w:rsidR="00FA0CDB" w:rsidRPr="0035326E" w:rsidRDefault="00FA0CDB" w:rsidP="00FA0CDB">
            <w:pPr>
              <w:pStyle w:val="TCTableBody"/>
              <w:jc w:val="center"/>
              <w:rPr>
                <w:rFonts w:ascii="Times New Roman" w:hAnsi="Times New Roman"/>
                <w:sz w:val="16"/>
                <w:szCs w:val="16"/>
              </w:rPr>
            </w:pPr>
            <w:r>
              <w:rPr>
                <w:sz w:val="16"/>
                <w:szCs w:val="16"/>
              </w:rPr>
              <w:t>3.51 ± 0.13</w:t>
            </w:r>
          </w:p>
        </w:tc>
        <w:tc>
          <w:tcPr>
            <w:tcW w:w="1260" w:type="dxa"/>
          </w:tcPr>
          <w:p w14:paraId="23DFEC6F"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5.99 ± 0.15</w:t>
            </w:r>
          </w:p>
        </w:tc>
        <w:tc>
          <w:tcPr>
            <w:tcW w:w="1080" w:type="dxa"/>
          </w:tcPr>
          <w:p w14:paraId="607E2F05"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3.05 ± 0.17</w:t>
            </w:r>
          </w:p>
        </w:tc>
        <w:tc>
          <w:tcPr>
            <w:tcW w:w="990" w:type="dxa"/>
          </w:tcPr>
          <w:p w14:paraId="63DEC4B5"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16.4 ± 1.1</w:t>
            </w:r>
          </w:p>
        </w:tc>
        <w:tc>
          <w:tcPr>
            <w:tcW w:w="1080" w:type="dxa"/>
          </w:tcPr>
          <w:p w14:paraId="742D3130"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257.3 ± 1.6</w:t>
            </w:r>
          </w:p>
        </w:tc>
      </w:tr>
      <w:tr w:rsidR="00FA0CDB" w:rsidRPr="00C634FF" w14:paraId="468B1339" w14:textId="77777777" w:rsidTr="00D24828">
        <w:trPr>
          <w:trHeight w:val="359"/>
        </w:trPr>
        <w:tc>
          <w:tcPr>
            <w:tcW w:w="985" w:type="dxa"/>
            <w:vMerge/>
            <w:tcBorders>
              <w:bottom w:val="single" w:sz="4" w:space="0" w:color="auto"/>
            </w:tcBorders>
            <w:hideMark/>
          </w:tcPr>
          <w:p w14:paraId="11926BF9" w14:textId="77777777" w:rsidR="00FA0CDB" w:rsidRPr="0035326E" w:rsidRDefault="00FA0CDB" w:rsidP="00FA0CDB">
            <w:pPr>
              <w:rPr>
                <w:rFonts w:ascii="Times New Roman" w:hAnsi="Times New Roman"/>
                <w:color w:val="000000"/>
                <w:sz w:val="16"/>
                <w:szCs w:val="16"/>
              </w:rPr>
            </w:pPr>
          </w:p>
        </w:tc>
        <w:tc>
          <w:tcPr>
            <w:tcW w:w="900" w:type="dxa"/>
            <w:tcBorders>
              <w:bottom w:val="single" w:sz="4" w:space="0" w:color="auto"/>
            </w:tcBorders>
            <w:hideMark/>
          </w:tcPr>
          <w:p w14:paraId="3944E94D"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G190A</w:t>
            </w:r>
          </w:p>
        </w:tc>
        <w:tc>
          <w:tcPr>
            <w:tcW w:w="1080" w:type="dxa"/>
            <w:tcBorders>
              <w:bottom w:val="single" w:sz="4" w:space="0" w:color="auto"/>
            </w:tcBorders>
            <w:hideMark/>
          </w:tcPr>
          <w:p w14:paraId="23B71181"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3.01 ± 0.03</w:t>
            </w:r>
          </w:p>
        </w:tc>
        <w:tc>
          <w:tcPr>
            <w:tcW w:w="1260" w:type="dxa"/>
            <w:tcBorders>
              <w:bottom w:val="single" w:sz="4" w:space="0" w:color="auto"/>
            </w:tcBorders>
            <w:hideMark/>
          </w:tcPr>
          <w:p w14:paraId="4127563C"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8.56 ± 0.20</w:t>
            </w:r>
          </w:p>
        </w:tc>
        <w:tc>
          <w:tcPr>
            <w:tcW w:w="1530" w:type="dxa"/>
            <w:tcBorders>
              <w:bottom w:val="single" w:sz="4" w:space="0" w:color="auto"/>
            </w:tcBorders>
            <w:hideMark/>
          </w:tcPr>
          <w:p w14:paraId="1D240381"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20.0 ± 1.2</w:t>
            </w:r>
          </w:p>
        </w:tc>
        <w:tc>
          <w:tcPr>
            <w:tcW w:w="1530" w:type="dxa"/>
            <w:tcBorders>
              <w:bottom w:val="single" w:sz="4" w:space="0" w:color="auto"/>
            </w:tcBorders>
          </w:tcPr>
          <w:p w14:paraId="09A73F30" w14:textId="77777777" w:rsidR="00FA0CDB" w:rsidRPr="0035326E" w:rsidRDefault="00FA0CDB" w:rsidP="00FA0CDB">
            <w:pPr>
              <w:pStyle w:val="TCTableBody"/>
              <w:jc w:val="center"/>
              <w:rPr>
                <w:rFonts w:ascii="Times New Roman" w:hAnsi="Times New Roman"/>
                <w:sz w:val="16"/>
                <w:szCs w:val="16"/>
              </w:rPr>
            </w:pPr>
            <w:r>
              <w:rPr>
                <w:sz w:val="16"/>
                <w:szCs w:val="16"/>
              </w:rPr>
              <w:t>16.0 ± 1.8</w:t>
            </w:r>
          </w:p>
        </w:tc>
        <w:tc>
          <w:tcPr>
            <w:tcW w:w="1170" w:type="dxa"/>
            <w:tcBorders>
              <w:bottom w:val="single" w:sz="4" w:space="0" w:color="auto"/>
            </w:tcBorders>
          </w:tcPr>
          <w:p w14:paraId="702FC750" w14:textId="77777777" w:rsidR="00FA0CDB" w:rsidRPr="0035326E" w:rsidRDefault="00FA0CDB" w:rsidP="00FA0CDB">
            <w:pPr>
              <w:pStyle w:val="TCTableBody"/>
              <w:jc w:val="center"/>
              <w:rPr>
                <w:rFonts w:ascii="Times New Roman" w:hAnsi="Times New Roman"/>
                <w:sz w:val="16"/>
                <w:szCs w:val="16"/>
              </w:rPr>
            </w:pPr>
            <w:r>
              <w:rPr>
                <w:sz w:val="16"/>
                <w:szCs w:val="16"/>
              </w:rPr>
              <w:t>3.51 ± 0.05</w:t>
            </w:r>
          </w:p>
        </w:tc>
        <w:tc>
          <w:tcPr>
            <w:tcW w:w="1260" w:type="dxa"/>
            <w:tcBorders>
              <w:bottom w:val="single" w:sz="4" w:space="0" w:color="auto"/>
            </w:tcBorders>
          </w:tcPr>
          <w:p w14:paraId="73FE2EB6"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6.81 ± 0.08</w:t>
            </w:r>
          </w:p>
        </w:tc>
        <w:tc>
          <w:tcPr>
            <w:tcW w:w="1080" w:type="dxa"/>
            <w:tcBorders>
              <w:bottom w:val="single" w:sz="4" w:space="0" w:color="auto"/>
            </w:tcBorders>
          </w:tcPr>
          <w:p w14:paraId="7952F679"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3.26 ± 0.10</w:t>
            </w:r>
          </w:p>
        </w:tc>
        <w:tc>
          <w:tcPr>
            <w:tcW w:w="990" w:type="dxa"/>
            <w:tcBorders>
              <w:bottom w:val="single" w:sz="4" w:space="0" w:color="auto"/>
            </w:tcBorders>
          </w:tcPr>
          <w:p w14:paraId="7EC6719F"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14.5 ± 0.7</w:t>
            </w:r>
          </w:p>
        </w:tc>
        <w:tc>
          <w:tcPr>
            <w:tcW w:w="1080" w:type="dxa"/>
            <w:tcBorders>
              <w:bottom w:val="single" w:sz="4" w:space="0" w:color="auto"/>
            </w:tcBorders>
          </w:tcPr>
          <w:p w14:paraId="1E01CFBC"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233.3 ± 1.5</w:t>
            </w:r>
          </w:p>
        </w:tc>
      </w:tr>
      <w:tr w:rsidR="00FA0CDB" w:rsidRPr="00C634FF" w14:paraId="2BFAB69A" w14:textId="77777777" w:rsidTr="00D24828">
        <w:trPr>
          <w:trHeight w:val="340"/>
        </w:trPr>
        <w:tc>
          <w:tcPr>
            <w:tcW w:w="985" w:type="dxa"/>
            <w:vMerge w:val="restart"/>
            <w:tcBorders>
              <w:top w:val="single" w:sz="4" w:space="0" w:color="auto"/>
            </w:tcBorders>
            <w:hideMark/>
          </w:tcPr>
          <w:p w14:paraId="606D46D3" w14:textId="77777777" w:rsidR="00FA0CDB" w:rsidRPr="0035326E" w:rsidRDefault="00FA0CDB" w:rsidP="00FA0CDB">
            <w:pPr>
              <w:pStyle w:val="TCTableBody"/>
              <w:jc w:val="center"/>
              <w:rPr>
                <w:rFonts w:ascii="Times New Roman" w:hAnsi="Times New Roman"/>
                <w:b/>
                <w:bCs/>
                <w:i/>
                <w:iCs/>
                <w:color w:val="000000"/>
                <w:sz w:val="16"/>
                <w:szCs w:val="16"/>
              </w:rPr>
            </w:pPr>
            <w:r>
              <w:rPr>
                <w:b/>
                <w:bCs/>
                <w:i/>
                <w:iCs/>
                <w:color w:val="000000"/>
                <w:sz w:val="16"/>
                <w:szCs w:val="16"/>
              </w:rPr>
              <w:t>Resistant</w:t>
            </w:r>
          </w:p>
        </w:tc>
        <w:tc>
          <w:tcPr>
            <w:tcW w:w="900" w:type="dxa"/>
            <w:tcBorders>
              <w:top w:val="single" w:sz="4" w:space="0" w:color="auto"/>
            </w:tcBorders>
            <w:hideMark/>
          </w:tcPr>
          <w:p w14:paraId="5B42F3AD"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Y318F</w:t>
            </w:r>
          </w:p>
        </w:tc>
        <w:tc>
          <w:tcPr>
            <w:tcW w:w="1080" w:type="dxa"/>
            <w:tcBorders>
              <w:top w:val="single" w:sz="4" w:space="0" w:color="auto"/>
            </w:tcBorders>
            <w:hideMark/>
          </w:tcPr>
          <w:p w14:paraId="328B2AAF"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2.99 ± 0.06</w:t>
            </w:r>
          </w:p>
        </w:tc>
        <w:tc>
          <w:tcPr>
            <w:tcW w:w="1260" w:type="dxa"/>
            <w:tcBorders>
              <w:top w:val="single" w:sz="4" w:space="0" w:color="auto"/>
            </w:tcBorders>
            <w:hideMark/>
          </w:tcPr>
          <w:p w14:paraId="1FF15890"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8.29 ± 0.05</w:t>
            </w:r>
          </w:p>
        </w:tc>
        <w:tc>
          <w:tcPr>
            <w:tcW w:w="1530" w:type="dxa"/>
            <w:tcBorders>
              <w:top w:val="single" w:sz="4" w:space="0" w:color="auto"/>
            </w:tcBorders>
            <w:hideMark/>
          </w:tcPr>
          <w:p w14:paraId="08DF4FC0"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19.2 ± 0.2</w:t>
            </w:r>
          </w:p>
        </w:tc>
        <w:tc>
          <w:tcPr>
            <w:tcW w:w="1530" w:type="dxa"/>
            <w:tcBorders>
              <w:top w:val="single" w:sz="4" w:space="0" w:color="auto"/>
            </w:tcBorders>
          </w:tcPr>
          <w:p w14:paraId="7A033E81"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14.2 ± 0.2</w:t>
            </w:r>
          </w:p>
        </w:tc>
        <w:tc>
          <w:tcPr>
            <w:tcW w:w="1170" w:type="dxa"/>
            <w:tcBorders>
              <w:top w:val="single" w:sz="4" w:space="0" w:color="auto"/>
            </w:tcBorders>
          </w:tcPr>
          <w:p w14:paraId="6981DF2F"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3.69 ± 0.04</w:t>
            </w:r>
          </w:p>
        </w:tc>
        <w:tc>
          <w:tcPr>
            <w:tcW w:w="1260" w:type="dxa"/>
            <w:tcBorders>
              <w:top w:val="single" w:sz="4" w:space="0" w:color="auto"/>
            </w:tcBorders>
          </w:tcPr>
          <w:p w14:paraId="365C05BC"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6.61 ± 0.09</w:t>
            </w:r>
          </w:p>
        </w:tc>
        <w:tc>
          <w:tcPr>
            <w:tcW w:w="1080" w:type="dxa"/>
            <w:tcBorders>
              <w:top w:val="single" w:sz="4" w:space="0" w:color="auto"/>
            </w:tcBorders>
          </w:tcPr>
          <w:p w14:paraId="0354DA36"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3.30 ± 0.00</w:t>
            </w:r>
          </w:p>
        </w:tc>
        <w:tc>
          <w:tcPr>
            <w:tcW w:w="990" w:type="dxa"/>
            <w:tcBorders>
              <w:top w:val="single" w:sz="4" w:space="0" w:color="auto"/>
            </w:tcBorders>
          </w:tcPr>
          <w:p w14:paraId="69440615"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14.2 ± 0.4</w:t>
            </w:r>
          </w:p>
        </w:tc>
        <w:tc>
          <w:tcPr>
            <w:tcW w:w="1080" w:type="dxa"/>
            <w:tcBorders>
              <w:top w:val="single" w:sz="4" w:space="0" w:color="auto"/>
            </w:tcBorders>
          </w:tcPr>
          <w:p w14:paraId="71AA43DF"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233.8 ± 7.8</w:t>
            </w:r>
          </w:p>
        </w:tc>
      </w:tr>
      <w:tr w:rsidR="00FA0CDB" w:rsidRPr="00C634FF" w14:paraId="486BEAE9" w14:textId="77777777" w:rsidTr="00D24828">
        <w:trPr>
          <w:trHeight w:val="340"/>
        </w:trPr>
        <w:tc>
          <w:tcPr>
            <w:tcW w:w="985" w:type="dxa"/>
            <w:vMerge/>
            <w:hideMark/>
          </w:tcPr>
          <w:p w14:paraId="4C3BFDB3" w14:textId="77777777" w:rsidR="00FA0CDB" w:rsidRPr="0035326E" w:rsidRDefault="00FA0CDB" w:rsidP="00FA0CDB">
            <w:pPr>
              <w:rPr>
                <w:rFonts w:ascii="Times New Roman" w:hAnsi="Times New Roman"/>
                <w:color w:val="000000"/>
                <w:sz w:val="16"/>
                <w:szCs w:val="16"/>
              </w:rPr>
            </w:pPr>
          </w:p>
        </w:tc>
        <w:tc>
          <w:tcPr>
            <w:tcW w:w="900" w:type="dxa"/>
            <w:hideMark/>
          </w:tcPr>
          <w:p w14:paraId="34808801"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V106A</w:t>
            </w:r>
          </w:p>
        </w:tc>
        <w:tc>
          <w:tcPr>
            <w:tcW w:w="1080" w:type="dxa"/>
            <w:hideMark/>
          </w:tcPr>
          <w:p w14:paraId="41EE6F3F"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3.05 ± 0.08</w:t>
            </w:r>
          </w:p>
        </w:tc>
        <w:tc>
          <w:tcPr>
            <w:tcW w:w="1260" w:type="dxa"/>
            <w:hideMark/>
          </w:tcPr>
          <w:p w14:paraId="732E9867"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8.45 ± 0.07</w:t>
            </w:r>
          </w:p>
        </w:tc>
        <w:tc>
          <w:tcPr>
            <w:tcW w:w="1530" w:type="dxa"/>
            <w:hideMark/>
          </w:tcPr>
          <w:p w14:paraId="5D99A36C"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17.8 ± 0.7</w:t>
            </w:r>
          </w:p>
        </w:tc>
        <w:tc>
          <w:tcPr>
            <w:tcW w:w="1530" w:type="dxa"/>
          </w:tcPr>
          <w:p w14:paraId="6A1F57C0" w14:textId="77777777" w:rsidR="00FA0CDB" w:rsidRPr="0035326E" w:rsidRDefault="00FA0CDB" w:rsidP="00FA0CDB">
            <w:pPr>
              <w:pStyle w:val="TCTableBody"/>
              <w:jc w:val="center"/>
              <w:rPr>
                <w:rFonts w:ascii="Times New Roman" w:hAnsi="Times New Roman"/>
                <w:sz w:val="16"/>
                <w:szCs w:val="16"/>
              </w:rPr>
            </w:pPr>
            <w:r>
              <w:rPr>
                <w:sz w:val="16"/>
                <w:szCs w:val="16"/>
              </w:rPr>
              <w:t>20.5 ± 7.1</w:t>
            </w:r>
          </w:p>
        </w:tc>
        <w:tc>
          <w:tcPr>
            <w:tcW w:w="1170" w:type="dxa"/>
          </w:tcPr>
          <w:p w14:paraId="4F7641B5" w14:textId="77777777" w:rsidR="00FA0CDB" w:rsidRPr="0035326E" w:rsidRDefault="00FA0CDB" w:rsidP="00FA0CDB">
            <w:pPr>
              <w:pStyle w:val="TCTableBody"/>
              <w:jc w:val="center"/>
              <w:rPr>
                <w:rFonts w:ascii="Times New Roman" w:hAnsi="Times New Roman"/>
                <w:sz w:val="16"/>
                <w:szCs w:val="16"/>
              </w:rPr>
            </w:pPr>
            <w:r>
              <w:rPr>
                <w:sz w:val="16"/>
                <w:szCs w:val="16"/>
              </w:rPr>
              <w:t>3.55 ± 0.07</w:t>
            </w:r>
          </w:p>
        </w:tc>
        <w:tc>
          <w:tcPr>
            <w:tcW w:w="1260" w:type="dxa"/>
          </w:tcPr>
          <w:p w14:paraId="06C3983F"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5.30 ± 0.02</w:t>
            </w:r>
          </w:p>
        </w:tc>
        <w:tc>
          <w:tcPr>
            <w:tcW w:w="1080" w:type="dxa"/>
          </w:tcPr>
          <w:p w14:paraId="18B4540C"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3.54 ± 0.10</w:t>
            </w:r>
          </w:p>
        </w:tc>
        <w:tc>
          <w:tcPr>
            <w:tcW w:w="990" w:type="dxa"/>
          </w:tcPr>
          <w:p w14:paraId="59091BD0"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11.6 ± 1.7</w:t>
            </w:r>
          </w:p>
        </w:tc>
        <w:tc>
          <w:tcPr>
            <w:tcW w:w="1080" w:type="dxa"/>
          </w:tcPr>
          <w:p w14:paraId="4D7CD107"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250.5 ± 7.9</w:t>
            </w:r>
          </w:p>
        </w:tc>
      </w:tr>
      <w:tr w:rsidR="00FA0CDB" w:rsidRPr="00C634FF" w14:paraId="680065A3" w14:textId="77777777" w:rsidTr="00D24828">
        <w:trPr>
          <w:trHeight w:val="340"/>
        </w:trPr>
        <w:tc>
          <w:tcPr>
            <w:tcW w:w="985" w:type="dxa"/>
            <w:vMerge/>
            <w:hideMark/>
          </w:tcPr>
          <w:p w14:paraId="6F1FBFAA" w14:textId="77777777" w:rsidR="00FA0CDB" w:rsidRPr="0035326E" w:rsidRDefault="00FA0CDB" w:rsidP="00FA0CDB">
            <w:pPr>
              <w:rPr>
                <w:rFonts w:ascii="Times New Roman" w:hAnsi="Times New Roman"/>
                <w:color w:val="000000"/>
                <w:sz w:val="16"/>
                <w:szCs w:val="16"/>
              </w:rPr>
            </w:pPr>
          </w:p>
        </w:tc>
        <w:tc>
          <w:tcPr>
            <w:tcW w:w="900" w:type="dxa"/>
            <w:hideMark/>
          </w:tcPr>
          <w:p w14:paraId="3008C07D"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A98G + F227C</w:t>
            </w:r>
          </w:p>
        </w:tc>
        <w:tc>
          <w:tcPr>
            <w:tcW w:w="1080" w:type="dxa"/>
            <w:hideMark/>
          </w:tcPr>
          <w:p w14:paraId="5ACD4C42"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2.97 ± 0.01</w:t>
            </w:r>
          </w:p>
        </w:tc>
        <w:tc>
          <w:tcPr>
            <w:tcW w:w="1260" w:type="dxa"/>
            <w:hideMark/>
          </w:tcPr>
          <w:p w14:paraId="10F35972"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8.32 ± 0.07</w:t>
            </w:r>
          </w:p>
        </w:tc>
        <w:tc>
          <w:tcPr>
            <w:tcW w:w="1530" w:type="dxa"/>
            <w:hideMark/>
          </w:tcPr>
          <w:p w14:paraId="62BB193E"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20.4 ± 3.5</w:t>
            </w:r>
          </w:p>
        </w:tc>
        <w:tc>
          <w:tcPr>
            <w:tcW w:w="1530" w:type="dxa"/>
          </w:tcPr>
          <w:p w14:paraId="3EC44D85" w14:textId="77777777" w:rsidR="00FA0CDB" w:rsidRPr="0035326E" w:rsidRDefault="00FA0CDB" w:rsidP="00FA0CDB">
            <w:pPr>
              <w:pStyle w:val="TCTableBody"/>
              <w:jc w:val="center"/>
              <w:rPr>
                <w:rFonts w:ascii="Times New Roman" w:hAnsi="Times New Roman"/>
                <w:sz w:val="16"/>
                <w:szCs w:val="16"/>
              </w:rPr>
            </w:pPr>
            <w:r>
              <w:rPr>
                <w:sz w:val="16"/>
                <w:szCs w:val="16"/>
              </w:rPr>
              <w:t>22.0 ± 9.4</w:t>
            </w:r>
          </w:p>
        </w:tc>
        <w:tc>
          <w:tcPr>
            <w:tcW w:w="1170" w:type="dxa"/>
          </w:tcPr>
          <w:p w14:paraId="0BDEB3AC" w14:textId="77777777" w:rsidR="00FA0CDB" w:rsidRPr="0035326E" w:rsidRDefault="00FA0CDB" w:rsidP="00FA0CDB">
            <w:pPr>
              <w:pStyle w:val="TCTableBody"/>
              <w:jc w:val="center"/>
              <w:rPr>
                <w:rFonts w:ascii="Times New Roman" w:hAnsi="Times New Roman"/>
                <w:sz w:val="16"/>
                <w:szCs w:val="16"/>
              </w:rPr>
            </w:pPr>
            <w:r>
              <w:rPr>
                <w:sz w:val="16"/>
                <w:szCs w:val="16"/>
              </w:rPr>
              <w:t>3.39 ± 0.01</w:t>
            </w:r>
          </w:p>
        </w:tc>
        <w:tc>
          <w:tcPr>
            <w:tcW w:w="1260" w:type="dxa"/>
          </w:tcPr>
          <w:p w14:paraId="799F847B"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6.19 ± 0.21</w:t>
            </w:r>
          </w:p>
        </w:tc>
        <w:tc>
          <w:tcPr>
            <w:tcW w:w="1080" w:type="dxa"/>
          </w:tcPr>
          <w:p w14:paraId="77AA48F5"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3.41 ± 0.02</w:t>
            </w:r>
          </w:p>
        </w:tc>
        <w:tc>
          <w:tcPr>
            <w:tcW w:w="990" w:type="dxa"/>
          </w:tcPr>
          <w:p w14:paraId="5ABDDCF5"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15.2 ± 0.4</w:t>
            </w:r>
          </w:p>
        </w:tc>
        <w:tc>
          <w:tcPr>
            <w:tcW w:w="1080" w:type="dxa"/>
          </w:tcPr>
          <w:p w14:paraId="40D289E1"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238.1 ± 10.2</w:t>
            </w:r>
          </w:p>
        </w:tc>
      </w:tr>
      <w:tr w:rsidR="00FA0CDB" w:rsidRPr="00C634FF" w14:paraId="0D141F9A" w14:textId="77777777" w:rsidTr="00D24828">
        <w:trPr>
          <w:trHeight w:val="340"/>
        </w:trPr>
        <w:tc>
          <w:tcPr>
            <w:tcW w:w="985" w:type="dxa"/>
            <w:vMerge/>
            <w:hideMark/>
          </w:tcPr>
          <w:p w14:paraId="72480371" w14:textId="77777777" w:rsidR="00FA0CDB" w:rsidRPr="0035326E" w:rsidRDefault="00FA0CDB" w:rsidP="00FA0CDB">
            <w:pPr>
              <w:rPr>
                <w:rFonts w:ascii="Times New Roman" w:hAnsi="Times New Roman"/>
                <w:color w:val="000000"/>
                <w:sz w:val="16"/>
                <w:szCs w:val="16"/>
              </w:rPr>
            </w:pPr>
          </w:p>
        </w:tc>
        <w:tc>
          <w:tcPr>
            <w:tcW w:w="900" w:type="dxa"/>
            <w:hideMark/>
          </w:tcPr>
          <w:p w14:paraId="4FB8EF1A"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V106I + F227C</w:t>
            </w:r>
          </w:p>
        </w:tc>
        <w:tc>
          <w:tcPr>
            <w:tcW w:w="1080" w:type="dxa"/>
            <w:hideMark/>
          </w:tcPr>
          <w:p w14:paraId="04B98540"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2.80 ± 0.16</w:t>
            </w:r>
          </w:p>
        </w:tc>
        <w:tc>
          <w:tcPr>
            <w:tcW w:w="1260" w:type="dxa"/>
            <w:hideMark/>
          </w:tcPr>
          <w:p w14:paraId="5C39A2B1"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8.07 ± 0.07</w:t>
            </w:r>
          </w:p>
        </w:tc>
        <w:tc>
          <w:tcPr>
            <w:tcW w:w="1530" w:type="dxa"/>
            <w:hideMark/>
          </w:tcPr>
          <w:p w14:paraId="2A235437"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19.2 ± 2.3</w:t>
            </w:r>
          </w:p>
        </w:tc>
        <w:tc>
          <w:tcPr>
            <w:tcW w:w="1530" w:type="dxa"/>
          </w:tcPr>
          <w:p w14:paraId="28629BBF" w14:textId="77777777" w:rsidR="00FA0CDB" w:rsidRPr="0035326E" w:rsidRDefault="00FA0CDB" w:rsidP="00FA0CDB">
            <w:pPr>
              <w:pStyle w:val="TCTableBody"/>
              <w:jc w:val="center"/>
              <w:rPr>
                <w:rFonts w:ascii="Times New Roman" w:hAnsi="Times New Roman"/>
                <w:sz w:val="16"/>
                <w:szCs w:val="16"/>
              </w:rPr>
            </w:pPr>
            <w:r>
              <w:rPr>
                <w:sz w:val="16"/>
                <w:szCs w:val="16"/>
              </w:rPr>
              <w:t>14.0 ± 0.3</w:t>
            </w:r>
          </w:p>
        </w:tc>
        <w:tc>
          <w:tcPr>
            <w:tcW w:w="1170" w:type="dxa"/>
          </w:tcPr>
          <w:p w14:paraId="69FDB917" w14:textId="77777777" w:rsidR="00FA0CDB" w:rsidRPr="0035326E" w:rsidRDefault="00FA0CDB" w:rsidP="00FA0CDB">
            <w:pPr>
              <w:pStyle w:val="TCTableBody"/>
              <w:jc w:val="center"/>
              <w:rPr>
                <w:rFonts w:ascii="Times New Roman" w:hAnsi="Times New Roman"/>
                <w:sz w:val="16"/>
                <w:szCs w:val="16"/>
              </w:rPr>
            </w:pPr>
            <w:r>
              <w:rPr>
                <w:sz w:val="16"/>
                <w:szCs w:val="16"/>
              </w:rPr>
              <w:t>3.50 ± 0.06</w:t>
            </w:r>
          </w:p>
        </w:tc>
        <w:tc>
          <w:tcPr>
            <w:tcW w:w="1260" w:type="dxa"/>
          </w:tcPr>
          <w:p w14:paraId="45B284DE"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6.47 ± 0.20</w:t>
            </w:r>
          </w:p>
        </w:tc>
        <w:tc>
          <w:tcPr>
            <w:tcW w:w="1080" w:type="dxa"/>
          </w:tcPr>
          <w:p w14:paraId="6CA0067F"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3.09 ± 0.16</w:t>
            </w:r>
          </w:p>
        </w:tc>
        <w:tc>
          <w:tcPr>
            <w:tcW w:w="990" w:type="dxa"/>
          </w:tcPr>
          <w:p w14:paraId="52262BC6"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16.8 ± 2.7</w:t>
            </w:r>
          </w:p>
        </w:tc>
        <w:tc>
          <w:tcPr>
            <w:tcW w:w="1080" w:type="dxa"/>
          </w:tcPr>
          <w:p w14:paraId="1D6A2B84"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232.8 ± 4.6</w:t>
            </w:r>
          </w:p>
        </w:tc>
      </w:tr>
      <w:tr w:rsidR="00FA0CDB" w:rsidRPr="00C634FF" w14:paraId="7827ED44" w14:textId="77777777" w:rsidTr="00D24828">
        <w:trPr>
          <w:trHeight w:val="340"/>
        </w:trPr>
        <w:tc>
          <w:tcPr>
            <w:tcW w:w="985" w:type="dxa"/>
            <w:vMerge/>
            <w:hideMark/>
          </w:tcPr>
          <w:p w14:paraId="580D16B5" w14:textId="77777777" w:rsidR="00FA0CDB" w:rsidRPr="0035326E" w:rsidRDefault="00FA0CDB" w:rsidP="00FA0CDB">
            <w:pPr>
              <w:rPr>
                <w:rFonts w:ascii="Times New Roman" w:hAnsi="Times New Roman"/>
                <w:color w:val="000000"/>
                <w:sz w:val="16"/>
                <w:szCs w:val="16"/>
              </w:rPr>
            </w:pPr>
          </w:p>
        </w:tc>
        <w:tc>
          <w:tcPr>
            <w:tcW w:w="900" w:type="dxa"/>
            <w:hideMark/>
          </w:tcPr>
          <w:p w14:paraId="092D0DB3"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V106A + F227L</w:t>
            </w:r>
          </w:p>
        </w:tc>
        <w:tc>
          <w:tcPr>
            <w:tcW w:w="1080" w:type="dxa"/>
            <w:hideMark/>
          </w:tcPr>
          <w:p w14:paraId="20734DBE"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3.17 ± 0.08</w:t>
            </w:r>
          </w:p>
        </w:tc>
        <w:tc>
          <w:tcPr>
            <w:tcW w:w="1260" w:type="dxa"/>
            <w:hideMark/>
          </w:tcPr>
          <w:p w14:paraId="027A30F8"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8.54 ± 0.10</w:t>
            </w:r>
          </w:p>
        </w:tc>
        <w:tc>
          <w:tcPr>
            <w:tcW w:w="1530" w:type="dxa"/>
            <w:hideMark/>
          </w:tcPr>
          <w:p w14:paraId="24B53D63"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17.2 ± 0.3</w:t>
            </w:r>
          </w:p>
        </w:tc>
        <w:tc>
          <w:tcPr>
            <w:tcW w:w="1530" w:type="dxa"/>
          </w:tcPr>
          <w:p w14:paraId="5800C7A6" w14:textId="77777777" w:rsidR="00FA0CDB" w:rsidRPr="0035326E" w:rsidRDefault="00FA0CDB" w:rsidP="00FA0CDB">
            <w:pPr>
              <w:pStyle w:val="TCTableBody"/>
              <w:jc w:val="center"/>
              <w:rPr>
                <w:rFonts w:ascii="Times New Roman" w:hAnsi="Times New Roman"/>
                <w:sz w:val="16"/>
                <w:szCs w:val="16"/>
              </w:rPr>
            </w:pPr>
            <w:r>
              <w:rPr>
                <w:sz w:val="16"/>
                <w:szCs w:val="16"/>
              </w:rPr>
              <w:t>16.7 ± 1.8</w:t>
            </w:r>
          </w:p>
        </w:tc>
        <w:tc>
          <w:tcPr>
            <w:tcW w:w="1170" w:type="dxa"/>
          </w:tcPr>
          <w:p w14:paraId="30F7FD21" w14:textId="77777777" w:rsidR="00FA0CDB" w:rsidRPr="0035326E" w:rsidRDefault="00FA0CDB" w:rsidP="00FA0CDB">
            <w:pPr>
              <w:pStyle w:val="TCTableBody"/>
              <w:jc w:val="center"/>
              <w:rPr>
                <w:rFonts w:ascii="Times New Roman" w:hAnsi="Times New Roman"/>
                <w:sz w:val="16"/>
                <w:szCs w:val="16"/>
              </w:rPr>
            </w:pPr>
            <w:r>
              <w:rPr>
                <w:sz w:val="16"/>
                <w:szCs w:val="16"/>
              </w:rPr>
              <w:t>3.50 ± 0.11</w:t>
            </w:r>
          </w:p>
        </w:tc>
        <w:tc>
          <w:tcPr>
            <w:tcW w:w="1260" w:type="dxa"/>
          </w:tcPr>
          <w:p w14:paraId="34B69BF4"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5.24 ± 0.06</w:t>
            </w:r>
          </w:p>
        </w:tc>
        <w:tc>
          <w:tcPr>
            <w:tcW w:w="1080" w:type="dxa"/>
          </w:tcPr>
          <w:p w14:paraId="5C89A59F"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3.63 ± 0.04</w:t>
            </w:r>
          </w:p>
        </w:tc>
        <w:tc>
          <w:tcPr>
            <w:tcW w:w="990" w:type="dxa"/>
          </w:tcPr>
          <w:p w14:paraId="27A3B7A1"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10.3 ± 0.6</w:t>
            </w:r>
          </w:p>
        </w:tc>
        <w:tc>
          <w:tcPr>
            <w:tcW w:w="1080" w:type="dxa"/>
          </w:tcPr>
          <w:p w14:paraId="4EC8606C"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239.2 ± 3.6</w:t>
            </w:r>
          </w:p>
        </w:tc>
      </w:tr>
      <w:tr w:rsidR="00FA0CDB" w:rsidRPr="00C634FF" w14:paraId="192B687F" w14:textId="77777777" w:rsidTr="00D24828">
        <w:trPr>
          <w:trHeight w:val="340"/>
        </w:trPr>
        <w:tc>
          <w:tcPr>
            <w:tcW w:w="985" w:type="dxa"/>
            <w:vMerge/>
            <w:hideMark/>
          </w:tcPr>
          <w:p w14:paraId="2EC64855" w14:textId="77777777" w:rsidR="00FA0CDB" w:rsidRPr="0035326E" w:rsidRDefault="00FA0CDB" w:rsidP="00FA0CDB">
            <w:pPr>
              <w:rPr>
                <w:rFonts w:ascii="Times New Roman" w:hAnsi="Times New Roman"/>
                <w:color w:val="000000"/>
                <w:sz w:val="16"/>
                <w:szCs w:val="16"/>
              </w:rPr>
            </w:pPr>
          </w:p>
        </w:tc>
        <w:tc>
          <w:tcPr>
            <w:tcW w:w="900" w:type="dxa"/>
            <w:hideMark/>
          </w:tcPr>
          <w:p w14:paraId="07D1BDAC"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Y188L</w:t>
            </w:r>
          </w:p>
        </w:tc>
        <w:tc>
          <w:tcPr>
            <w:tcW w:w="1080" w:type="dxa"/>
            <w:hideMark/>
          </w:tcPr>
          <w:p w14:paraId="14662C54"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2.91 ± 0.30</w:t>
            </w:r>
          </w:p>
        </w:tc>
        <w:tc>
          <w:tcPr>
            <w:tcW w:w="1260" w:type="dxa"/>
            <w:hideMark/>
          </w:tcPr>
          <w:p w14:paraId="2EBF58E0"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8.44 ± 0.24</w:t>
            </w:r>
          </w:p>
        </w:tc>
        <w:tc>
          <w:tcPr>
            <w:tcW w:w="1530" w:type="dxa"/>
            <w:hideMark/>
          </w:tcPr>
          <w:p w14:paraId="7DC1525A"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13.7 ± 1.5</w:t>
            </w:r>
          </w:p>
        </w:tc>
        <w:tc>
          <w:tcPr>
            <w:tcW w:w="1530" w:type="dxa"/>
          </w:tcPr>
          <w:p w14:paraId="7C8143BF" w14:textId="77777777" w:rsidR="00FA0CDB" w:rsidRPr="0035326E" w:rsidRDefault="009F24E2" w:rsidP="00FA0CDB">
            <w:pPr>
              <w:pStyle w:val="TCTableBody"/>
              <w:jc w:val="center"/>
              <w:rPr>
                <w:rFonts w:ascii="Times New Roman" w:hAnsi="Times New Roman"/>
                <w:color w:val="000000"/>
                <w:sz w:val="16"/>
                <w:szCs w:val="16"/>
              </w:rPr>
            </w:pPr>
            <w:r>
              <w:rPr>
                <w:color w:val="000000"/>
                <w:sz w:val="16"/>
                <w:szCs w:val="16"/>
              </w:rPr>
              <w:t>*</w:t>
            </w:r>
          </w:p>
        </w:tc>
        <w:tc>
          <w:tcPr>
            <w:tcW w:w="1170" w:type="dxa"/>
          </w:tcPr>
          <w:p w14:paraId="0610FCBD"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3.63 ± 0.03</w:t>
            </w:r>
          </w:p>
        </w:tc>
        <w:tc>
          <w:tcPr>
            <w:tcW w:w="1260" w:type="dxa"/>
          </w:tcPr>
          <w:p w14:paraId="54BC85FF"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6.38 ± 0.42</w:t>
            </w:r>
          </w:p>
        </w:tc>
        <w:tc>
          <w:tcPr>
            <w:tcW w:w="1080" w:type="dxa"/>
          </w:tcPr>
          <w:p w14:paraId="5F6D6F56"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3.13 ± 0.28</w:t>
            </w:r>
          </w:p>
        </w:tc>
        <w:tc>
          <w:tcPr>
            <w:tcW w:w="990" w:type="dxa"/>
          </w:tcPr>
          <w:p w14:paraId="04551F12"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17.4 ± 3.7</w:t>
            </w:r>
          </w:p>
        </w:tc>
        <w:tc>
          <w:tcPr>
            <w:tcW w:w="1080" w:type="dxa"/>
          </w:tcPr>
          <w:p w14:paraId="5095AD6F"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241.6 ± 7.1</w:t>
            </w:r>
          </w:p>
        </w:tc>
      </w:tr>
      <w:tr w:rsidR="00FA0CDB" w:rsidRPr="00C634FF" w14:paraId="36B401F0" w14:textId="77777777" w:rsidTr="00D24828">
        <w:trPr>
          <w:trHeight w:val="340"/>
        </w:trPr>
        <w:tc>
          <w:tcPr>
            <w:tcW w:w="985" w:type="dxa"/>
            <w:vMerge/>
            <w:hideMark/>
          </w:tcPr>
          <w:p w14:paraId="31549C91" w14:textId="77777777" w:rsidR="00FA0CDB" w:rsidRPr="0035326E" w:rsidRDefault="00FA0CDB" w:rsidP="00FA0CDB">
            <w:pPr>
              <w:rPr>
                <w:rFonts w:ascii="Times New Roman" w:hAnsi="Times New Roman"/>
                <w:color w:val="000000"/>
                <w:sz w:val="16"/>
                <w:szCs w:val="16"/>
              </w:rPr>
            </w:pPr>
          </w:p>
        </w:tc>
        <w:tc>
          <w:tcPr>
            <w:tcW w:w="900" w:type="dxa"/>
            <w:hideMark/>
          </w:tcPr>
          <w:p w14:paraId="160724A5"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V106A + P225H</w:t>
            </w:r>
          </w:p>
        </w:tc>
        <w:tc>
          <w:tcPr>
            <w:tcW w:w="1080" w:type="dxa"/>
            <w:hideMark/>
          </w:tcPr>
          <w:p w14:paraId="2B1589BC"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3.11 ± 0.08</w:t>
            </w:r>
          </w:p>
        </w:tc>
        <w:tc>
          <w:tcPr>
            <w:tcW w:w="1260" w:type="dxa"/>
            <w:hideMark/>
          </w:tcPr>
          <w:p w14:paraId="7451C92F"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8.54 ± 0.11</w:t>
            </w:r>
          </w:p>
        </w:tc>
        <w:tc>
          <w:tcPr>
            <w:tcW w:w="1530" w:type="dxa"/>
            <w:hideMark/>
          </w:tcPr>
          <w:p w14:paraId="00A012C1"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17.9 ± 1.2</w:t>
            </w:r>
          </w:p>
        </w:tc>
        <w:tc>
          <w:tcPr>
            <w:tcW w:w="1530" w:type="dxa"/>
          </w:tcPr>
          <w:p w14:paraId="17FC2133" w14:textId="77777777" w:rsidR="00FA0CDB" w:rsidRPr="0035326E" w:rsidRDefault="00FA0CDB" w:rsidP="00FA0CDB">
            <w:pPr>
              <w:pStyle w:val="TCTableBody"/>
              <w:jc w:val="center"/>
              <w:rPr>
                <w:rFonts w:ascii="Times New Roman" w:hAnsi="Times New Roman"/>
                <w:sz w:val="16"/>
                <w:szCs w:val="16"/>
              </w:rPr>
            </w:pPr>
            <w:r>
              <w:rPr>
                <w:sz w:val="16"/>
                <w:szCs w:val="16"/>
              </w:rPr>
              <w:t>21.1 ± 8.3</w:t>
            </w:r>
          </w:p>
        </w:tc>
        <w:tc>
          <w:tcPr>
            <w:tcW w:w="1170" w:type="dxa"/>
          </w:tcPr>
          <w:p w14:paraId="3E926603" w14:textId="77777777" w:rsidR="00FA0CDB" w:rsidRPr="0035326E" w:rsidRDefault="00FA0CDB" w:rsidP="00FA0CDB">
            <w:pPr>
              <w:pStyle w:val="TCTableBody"/>
              <w:jc w:val="center"/>
              <w:rPr>
                <w:rFonts w:ascii="Times New Roman" w:hAnsi="Times New Roman"/>
                <w:sz w:val="16"/>
                <w:szCs w:val="16"/>
              </w:rPr>
            </w:pPr>
            <w:r>
              <w:rPr>
                <w:sz w:val="16"/>
                <w:szCs w:val="16"/>
              </w:rPr>
              <w:t>3.59 ± 0.07</w:t>
            </w:r>
          </w:p>
        </w:tc>
        <w:tc>
          <w:tcPr>
            <w:tcW w:w="1260" w:type="dxa"/>
          </w:tcPr>
          <w:p w14:paraId="1160672F"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5.29 ± 0.17</w:t>
            </w:r>
          </w:p>
        </w:tc>
        <w:tc>
          <w:tcPr>
            <w:tcW w:w="1080" w:type="dxa"/>
          </w:tcPr>
          <w:p w14:paraId="3A632907"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3.64 ± 0.04</w:t>
            </w:r>
          </w:p>
        </w:tc>
        <w:tc>
          <w:tcPr>
            <w:tcW w:w="990" w:type="dxa"/>
          </w:tcPr>
          <w:p w14:paraId="0929B8CE"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11.8 ± 0.1</w:t>
            </w:r>
          </w:p>
        </w:tc>
        <w:tc>
          <w:tcPr>
            <w:tcW w:w="1080" w:type="dxa"/>
          </w:tcPr>
          <w:p w14:paraId="20A36059"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223.3 ± 7.4</w:t>
            </w:r>
          </w:p>
        </w:tc>
      </w:tr>
      <w:tr w:rsidR="00FA0CDB" w:rsidRPr="00C634FF" w14:paraId="3BD6F6A8" w14:textId="77777777" w:rsidTr="00D24828">
        <w:trPr>
          <w:trHeight w:val="386"/>
        </w:trPr>
        <w:tc>
          <w:tcPr>
            <w:tcW w:w="985" w:type="dxa"/>
            <w:vMerge/>
            <w:hideMark/>
          </w:tcPr>
          <w:p w14:paraId="32BB123B" w14:textId="77777777" w:rsidR="00FA0CDB" w:rsidRPr="0035326E" w:rsidRDefault="00FA0CDB" w:rsidP="00FA0CDB">
            <w:pPr>
              <w:rPr>
                <w:rFonts w:ascii="Times New Roman" w:hAnsi="Times New Roman"/>
                <w:color w:val="000000"/>
                <w:sz w:val="16"/>
                <w:szCs w:val="16"/>
              </w:rPr>
            </w:pPr>
          </w:p>
        </w:tc>
        <w:tc>
          <w:tcPr>
            <w:tcW w:w="900" w:type="dxa"/>
            <w:hideMark/>
          </w:tcPr>
          <w:p w14:paraId="4DB72432"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V106A + L234I</w:t>
            </w:r>
          </w:p>
        </w:tc>
        <w:tc>
          <w:tcPr>
            <w:tcW w:w="1080" w:type="dxa"/>
            <w:hideMark/>
          </w:tcPr>
          <w:p w14:paraId="05F465F0"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3.22 ± 0.09</w:t>
            </w:r>
          </w:p>
        </w:tc>
        <w:tc>
          <w:tcPr>
            <w:tcW w:w="1260" w:type="dxa"/>
            <w:hideMark/>
          </w:tcPr>
          <w:p w14:paraId="0BF75E84"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8.48 ± 0.02</w:t>
            </w:r>
          </w:p>
        </w:tc>
        <w:tc>
          <w:tcPr>
            <w:tcW w:w="1530" w:type="dxa"/>
            <w:hideMark/>
          </w:tcPr>
          <w:p w14:paraId="2BF19584"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18.9 ± 0.4</w:t>
            </w:r>
          </w:p>
        </w:tc>
        <w:tc>
          <w:tcPr>
            <w:tcW w:w="1530" w:type="dxa"/>
          </w:tcPr>
          <w:p w14:paraId="6E01BF31" w14:textId="77777777" w:rsidR="00FA0CDB" w:rsidRPr="0035326E" w:rsidRDefault="00FA0CDB" w:rsidP="00FA0CDB">
            <w:pPr>
              <w:pStyle w:val="TCTableBody"/>
              <w:jc w:val="center"/>
              <w:rPr>
                <w:rFonts w:ascii="Times New Roman" w:hAnsi="Times New Roman"/>
                <w:sz w:val="16"/>
                <w:szCs w:val="16"/>
              </w:rPr>
            </w:pPr>
            <w:r>
              <w:rPr>
                <w:sz w:val="16"/>
                <w:szCs w:val="16"/>
              </w:rPr>
              <w:t>16.2 ± 1.7</w:t>
            </w:r>
          </w:p>
        </w:tc>
        <w:tc>
          <w:tcPr>
            <w:tcW w:w="1170" w:type="dxa"/>
          </w:tcPr>
          <w:p w14:paraId="5410BDA0" w14:textId="77777777" w:rsidR="00FA0CDB" w:rsidRPr="0035326E" w:rsidRDefault="00FA0CDB" w:rsidP="00FA0CDB">
            <w:pPr>
              <w:pStyle w:val="TCTableBody"/>
              <w:jc w:val="center"/>
              <w:rPr>
                <w:rFonts w:ascii="Times New Roman" w:hAnsi="Times New Roman"/>
                <w:sz w:val="16"/>
                <w:szCs w:val="16"/>
              </w:rPr>
            </w:pPr>
            <w:r>
              <w:rPr>
                <w:sz w:val="16"/>
                <w:szCs w:val="16"/>
              </w:rPr>
              <w:t>3.43 ± 0.04</w:t>
            </w:r>
          </w:p>
        </w:tc>
        <w:tc>
          <w:tcPr>
            <w:tcW w:w="1260" w:type="dxa"/>
          </w:tcPr>
          <w:p w14:paraId="21478283"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5.13 ± 0.07</w:t>
            </w:r>
          </w:p>
        </w:tc>
        <w:tc>
          <w:tcPr>
            <w:tcW w:w="1080" w:type="dxa"/>
          </w:tcPr>
          <w:p w14:paraId="4F6697D5"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3.58 ± 0.07</w:t>
            </w:r>
          </w:p>
        </w:tc>
        <w:tc>
          <w:tcPr>
            <w:tcW w:w="990" w:type="dxa"/>
          </w:tcPr>
          <w:p w14:paraId="2DDBA1B8"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10.3 ± 0.8</w:t>
            </w:r>
          </w:p>
        </w:tc>
        <w:tc>
          <w:tcPr>
            <w:tcW w:w="1080" w:type="dxa"/>
          </w:tcPr>
          <w:p w14:paraId="5DD7D36D"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237.3 ± 12.0</w:t>
            </w:r>
          </w:p>
        </w:tc>
      </w:tr>
      <w:tr w:rsidR="00FA0CDB" w:rsidRPr="00C634FF" w14:paraId="2910CC22" w14:textId="77777777" w:rsidTr="00D24828">
        <w:trPr>
          <w:trHeight w:val="386"/>
        </w:trPr>
        <w:tc>
          <w:tcPr>
            <w:tcW w:w="985" w:type="dxa"/>
            <w:vMerge/>
            <w:tcBorders>
              <w:bottom w:val="single" w:sz="4" w:space="0" w:color="auto"/>
            </w:tcBorders>
          </w:tcPr>
          <w:p w14:paraId="40C160C0" w14:textId="77777777" w:rsidR="00FA0CDB" w:rsidRPr="0035326E" w:rsidRDefault="00FA0CDB" w:rsidP="00FA0CDB">
            <w:pPr>
              <w:rPr>
                <w:rFonts w:ascii="Times New Roman" w:hAnsi="Times New Roman"/>
                <w:color w:val="000000"/>
                <w:sz w:val="16"/>
                <w:szCs w:val="16"/>
              </w:rPr>
            </w:pPr>
          </w:p>
        </w:tc>
        <w:tc>
          <w:tcPr>
            <w:tcW w:w="900" w:type="dxa"/>
            <w:tcBorders>
              <w:bottom w:val="single" w:sz="4" w:space="0" w:color="auto"/>
            </w:tcBorders>
          </w:tcPr>
          <w:p w14:paraId="55A977CC" w14:textId="77777777" w:rsidR="00FA0CDB" w:rsidRPr="0035326E" w:rsidRDefault="00FA0CDB" w:rsidP="00FA0CDB">
            <w:pPr>
              <w:pStyle w:val="TCTableBody"/>
              <w:jc w:val="center"/>
              <w:rPr>
                <w:rFonts w:ascii="Times New Roman" w:hAnsi="Times New Roman"/>
                <w:sz w:val="16"/>
                <w:szCs w:val="16"/>
              </w:rPr>
            </w:pPr>
            <w:r>
              <w:rPr>
                <w:sz w:val="16"/>
                <w:szCs w:val="16"/>
              </w:rPr>
              <w:t>K103N + M230L</w:t>
            </w:r>
          </w:p>
        </w:tc>
        <w:tc>
          <w:tcPr>
            <w:tcW w:w="1080" w:type="dxa"/>
            <w:tcBorders>
              <w:bottom w:val="single" w:sz="4" w:space="0" w:color="auto"/>
            </w:tcBorders>
          </w:tcPr>
          <w:p w14:paraId="6165A2FA" w14:textId="77777777" w:rsidR="00FA0CDB" w:rsidRPr="0035326E" w:rsidRDefault="00FA0CDB" w:rsidP="00FA0CDB">
            <w:pPr>
              <w:pStyle w:val="TCTableBody"/>
              <w:jc w:val="center"/>
              <w:rPr>
                <w:rFonts w:ascii="Times New Roman" w:hAnsi="Times New Roman"/>
                <w:sz w:val="16"/>
                <w:szCs w:val="16"/>
              </w:rPr>
            </w:pPr>
            <w:r>
              <w:rPr>
                <w:sz w:val="16"/>
                <w:szCs w:val="16"/>
              </w:rPr>
              <w:t>3.05 ± 0.04</w:t>
            </w:r>
          </w:p>
        </w:tc>
        <w:tc>
          <w:tcPr>
            <w:tcW w:w="1260" w:type="dxa"/>
            <w:tcBorders>
              <w:bottom w:val="single" w:sz="4" w:space="0" w:color="auto"/>
            </w:tcBorders>
          </w:tcPr>
          <w:p w14:paraId="132A30CE" w14:textId="77777777" w:rsidR="00FA0CDB" w:rsidRPr="0035326E" w:rsidRDefault="00FA0CDB" w:rsidP="00FA0CDB">
            <w:pPr>
              <w:pStyle w:val="TCTableBody"/>
              <w:jc w:val="center"/>
              <w:rPr>
                <w:rFonts w:ascii="Times New Roman" w:hAnsi="Times New Roman"/>
                <w:sz w:val="16"/>
                <w:szCs w:val="16"/>
              </w:rPr>
            </w:pPr>
            <w:r>
              <w:rPr>
                <w:sz w:val="16"/>
                <w:szCs w:val="16"/>
              </w:rPr>
              <w:t>4.80 ± 0.14</w:t>
            </w:r>
          </w:p>
        </w:tc>
        <w:tc>
          <w:tcPr>
            <w:tcW w:w="1530" w:type="dxa"/>
            <w:tcBorders>
              <w:bottom w:val="single" w:sz="4" w:space="0" w:color="auto"/>
            </w:tcBorders>
          </w:tcPr>
          <w:p w14:paraId="549F1C76" w14:textId="77777777" w:rsidR="00FA0CDB" w:rsidRPr="0035326E" w:rsidRDefault="00FA0CDB" w:rsidP="00FA0CDB">
            <w:pPr>
              <w:pStyle w:val="TCTableBody"/>
              <w:jc w:val="center"/>
              <w:rPr>
                <w:rFonts w:ascii="Times New Roman" w:hAnsi="Times New Roman"/>
                <w:sz w:val="16"/>
                <w:szCs w:val="16"/>
              </w:rPr>
            </w:pPr>
            <w:r>
              <w:rPr>
                <w:sz w:val="16"/>
                <w:szCs w:val="16"/>
              </w:rPr>
              <w:t>22.8 ± 2.4</w:t>
            </w:r>
          </w:p>
        </w:tc>
        <w:tc>
          <w:tcPr>
            <w:tcW w:w="1530" w:type="dxa"/>
            <w:tcBorders>
              <w:bottom w:val="single" w:sz="4" w:space="0" w:color="auto"/>
            </w:tcBorders>
          </w:tcPr>
          <w:p w14:paraId="7713BB99" w14:textId="77777777" w:rsidR="00FA0CDB" w:rsidRPr="0035326E" w:rsidRDefault="00FA0CDB" w:rsidP="00FA0CDB">
            <w:pPr>
              <w:pStyle w:val="TCTableBody"/>
              <w:jc w:val="center"/>
              <w:rPr>
                <w:rFonts w:ascii="Times New Roman" w:hAnsi="Times New Roman"/>
                <w:sz w:val="16"/>
                <w:szCs w:val="16"/>
              </w:rPr>
            </w:pPr>
            <w:r>
              <w:rPr>
                <w:sz w:val="16"/>
                <w:szCs w:val="16"/>
              </w:rPr>
              <w:t>13.8 ± 0.3</w:t>
            </w:r>
          </w:p>
        </w:tc>
        <w:tc>
          <w:tcPr>
            <w:tcW w:w="1170" w:type="dxa"/>
            <w:tcBorders>
              <w:bottom w:val="single" w:sz="4" w:space="0" w:color="auto"/>
            </w:tcBorders>
          </w:tcPr>
          <w:p w14:paraId="4B10C987" w14:textId="77777777" w:rsidR="00FA0CDB" w:rsidRPr="0035326E" w:rsidRDefault="00FA0CDB" w:rsidP="00FA0CDB">
            <w:pPr>
              <w:pStyle w:val="TCTableBody"/>
              <w:jc w:val="center"/>
              <w:rPr>
                <w:rFonts w:ascii="Times New Roman" w:hAnsi="Times New Roman"/>
                <w:sz w:val="16"/>
                <w:szCs w:val="16"/>
              </w:rPr>
            </w:pPr>
            <w:r>
              <w:rPr>
                <w:sz w:val="16"/>
                <w:szCs w:val="16"/>
              </w:rPr>
              <w:t>3.53 ± 0.08</w:t>
            </w:r>
          </w:p>
        </w:tc>
        <w:tc>
          <w:tcPr>
            <w:tcW w:w="1260" w:type="dxa"/>
            <w:tcBorders>
              <w:bottom w:val="single" w:sz="4" w:space="0" w:color="auto"/>
            </w:tcBorders>
          </w:tcPr>
          <w:p w14:paraId="5E101DED"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6.19 ± 0.29</w:t>
            </w:r>
          </w:p>
        </w:tc>
        <w:tc>
          <w:tcPr>
            <w:tcW w:w="1080" w:type="dxa"/>
            <w:tcBorders>
              <w:bottom w:val="single" w:sz="4" w:space="0" w:color="auto"/>
            </w:tcBorders>
          </w:tcPr>
          <w:p w14:paraId="2B58FDCB"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3.20 ± 0.12</w:t>
            </w:r>
          </w:p>
        </w:tc>
        <w:tc>
          <w:tcPr>
            <w:tcW w:w="990" w:type="dxa"/>
            <w:tcBorders>
              <w:bottom w:val="single" w:sz="4" w:space="0" w:color="auto"/>
            </w:tcBorders>
          </w:tcPr>
          <w:p w14:paraId="100D0F6B"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16.6 ± 0.6</w:t>
            </w:r>
          </w:p>
        </w:tc>
        <w:tc>
          <w:tcPr>
            <w:tcW w:w="1080" w:type="dxa"/>
            <w:tcBorders>
              <w:bottom w:val="single" w:sz="4" w:space="0" w:color="auto"/>
            </w:tcBorders>
          </w:tcPr>
          <w:p w14:paraId="601537F6"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250.5 ± 1.2</w:t>
            </w:r>
          </w:p>
        </w:tc>
      </w:tr>
      <w:tr w:rsidR="00FA0CDB" w:rsidRPr="00C634FF" w14:paraId="623240C6" w14:textId="77777777" w:rsidTr="00D24828">
        <w:trPr>
          <w:trHeight w:val="340"/>
        </w:trPr>
        <w:tc>
          <w:tcPr>
            <w:tcW w:w="985" w:type="dxa"/>
            <w:vMerge w:val="restart"/>
            <w:tcBorders>
              <w:top w:val="single" w:sz="4" w:space="0" w:color="auto"/>
            </w:tcBorders>
            <w:hideMark/>
          </w:tcPr>
          <w:p w14:paraId="0474002F" w14:textId="77777777" w:rsidR="00FA0CDB" w:rsidRPr="0035326E" w:rsidRDefault="00FA0CDB" w:rsidP="00FA0CDB">
            <w:pPr>
              <w:pStyle w:val="TCTableBody"/>
              <w:jc w:val="center"/>
              <w:rPr>
                <w:rFonts w:ascii="Times New Roman" w:hAnsi="Times New Roman"/>
                <w:b/>
                <w:bCs/>
                <w:i/>
                <w:iCs/>
                <w:color w:val="000000"/>
                <w:sz w:val="16"/>
                <w:szCs w:val="16"/>
              </w:rPr>
            </w:pPr>
            <w:r>
              <w:rPr>
                <w:b/>
                <w:bCs/>
                <w:i/>
                <w:iCs/>
                <w:color w:val="000000"/>
                <w:sz w:val="16"/>
                <w:szCs w:val="16"/>
              </w:rPr>
              <w:t xml:space="preserve">Uncertain </w:t>
            </w:r>
          </w:p>
        </w:tc>
        <w:tc>
          <w:tcPr>
            <w:tcW w:w="900" w:type="dxa"/>
            <w:tcBorders>
              <w:top w:val="single" w:sz="4" w:space="0" w:color="auto"/>
            </w:tcBorders>
            <w:hideMark/>
          </w:tcPr>
          <w:p w14:paraId="7137B7A7"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V106M</w:t>
            </w:r>
          </w:p>
        </w:tc>
        <w:tc>
          <w:tcPr>
            <w:tcW w:w="1080" w:type="dxa"/>
            <w:tcBorders>
              <w:top w:val="single" w:sz="4" w:space="0" w:color="auto"/>
            </w:tcBorders>
            <w:hideMark/>
          </w:tcPr>
          <w:p w14:paraId="018D84CC"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3.56 ± 0.20</w:t>
            </w:r>
          </w:p>
        </w:tc>
        <w:tc>
          <w:tcPr>
            <w:tcW w:w="1260" w:type="dxa"/>
            <w:tcBorders>
              <w:top w:val="single" w:sz="4" w:space="0" w:color="auto"/>
            </w:tcBorders>
            <w:hideMark/>
          </w:tcPr>
          <w:p w14:paraId="2D2C34A4"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8.88 ± 0.38</w:t>
            </w:r>
          </w:p>
        </w:tc>
        <w:tc>
          <w:tcPr>
            <w:tcW w:w="1530" w:type="dxa"/>
            <w:tcBorders>
              <w:top w:val="single" w:sz="4" w:space="0" w:color="auto"/>
            </w:tcBorders>
            <w:hideMark/>
          </w:tcPr>
          <w:p w14:paraId="13EC49B4"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19.3 ± 0.9</w:t>
            </w:r>
          </w:p>
        </w:tc>
        <w:tc>
          <w:tcPr>
            <w:tcW w:w="1530" w:type="dxa"/>
            <w:tcBorders>
              <w:top w:val="single" w:sz="4" w:space="0" w:color="auto"/>
            </w:tcBorders>
          </w:tcPr>
          <w:p w14:paraId="6AD4405D" w14:textId="77777777" w:rsidR="00FA0CDB" w:rsidRPr="0035326E" w:rsidRDefault="00FA0CDB" w:rsidP="00FA0CDB">
            <w:pPr>
              <w:pStyle w:val="TCTableBody"/>
              <w:jc w:val="center"/>
              <w:rPr>
                <w:rFonts w:ascii="Times New Roman" w:hAnsi="Times New Roman"/>
                <w:sz w:val="16"/>
                <w:szCs w:val="16"/>
              </w:rPr>
            </w:pPr>
            <w:r>
              <w:rPr>
                <w:sz w:val="16"/>
                <w:szCs w:val="16"/>
              </w:rPr>
              <w:t>16.7 ± 1.5</w:t>
            </w:r>
          </w:p>
        </w:tc>
        <w:tc>
          <w:tcPr>
            <w:tcW w:w="1170" w:type="dxa"/>
            <w:tcBorders>
              <w:top w:val="single" w:sz="4" w:space="0" w:color="auto"/>
            </w:tcBorders>
          </w:tcPr>
          <w:p w14:paraId="6BB61A4B" w14:textId="77777777" w:rsidR="00FA0CDB" w:rsidRPr="0035326E" w:rsidRDefault="00FA0CDB" w:rsidP="00FA0CDB">
            <w:pPr>
              <w:pStyle w:val="TCTableBody"/>
              <w:jc w:val="center"/>
              <w:rPr>
                <w:rFonts w:ascii="Times New Roman" w:hAnsi="Times New Roman"/>
                <w:sz w:val="16"/>
                <w:szCs w:val="16"/>
              </w:rPr>
            </w:pPr>
            <w:r>
              <w:rPr>
                <w:sz w:val="16"/>
                <w:szCs w:val="16"/>
              </w:rPr>
              <w:t>3.76 ± 0.23</w:t>
            </w:r>
          </w:p>
        </w:tc>
        <w:tc>
          <w:tcPr>
            <w:tcW w:w="1260" w:type="dxa"/>
            <w:tcBorders>
              <w:top w:val="single" w:sz="4" w:space="0" w:color="auto"/>
            </w:tcBorders>
          </w:tcPr>
          <w:p w14:paraId="441BA40F"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7.04 ± 0.46</w:t>
            </w:r>
          </w:p>
        </w:tc>
        <w:tc>
          <w:tcPr>
            <w:tcW w:w="1080" w:type="dxa"/>
            <w:tcBorders>
              <w:top w:val="single" w:sz="4" w:space="0" w:color="auto"/>
            </w:tcBorders>
          </w:tcPr>
          <w:p w14:paraId="7371B42E"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3.16 ± 0.14</w:t>
            </w:r>
          </w:p>
        </w:tc>
        <w:tc>
          <w:tcPr>
            <w:tcW w:w="990" w:type="dxa"/>
            <w:tcBorders>
              <w:top w:val="single" w:sz="4" w:space="0" w:color="auto"/>
            </w:tcBorders>
          </w:tcPr>
          <w:p w14:paraId="6C1A35A8"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16.8 ± 2.4</w:t>
            </w:r>
          </w:p>
        </w:tc>
        <w:tc>
          <w:tcPr>
            <w:tcW w:w="1080" w:type="dxa"/>
            <w:tcBorders>
              <w:top w:val="single" w:sz="4" w:space="0" w:color="auto"/>
            </w:tcBorders>
          </w:tcPr>
          <w:p w14:paraId="44894BEB"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239.6 ± 22.6</w:t>
            </w:r>
          </w:p>
        </w:tc>
      </w:tr>
      <w:tr w:rsidR="00FA0CDB" w:rsidRPr="00C634FF" w14:paraId="216E00CA" w14:textId="77777777" w:rsidTr="00D24828">
        <w:trPr>
          <w:trHeight w:val="467"/>
        </w:trPr>
        <w:tc>
          <w:tcPr>
            <w:tcW w:w="985" w:type="dxa"/>
            <w:vMerge/>
            <w:hideMark/>
          </w:tcPr>
          <w:p w14:paraId="3CEBD3EE" w14:textId="77777777" w:rsidR="00FA0CDB" w:rsidRPr="0035326E" w:rsidRDefault="00FA0CDB" w:rsidP="00FA0CDB">
            <w:pPr>
              <w:spacing w:line="480" w:lineRule="auto"/>
              <w:rPr>
                <w:rFonts w:ascii="Times New Roman" w:hAnsi="Times New Roman"/>
                <w:color w:val="000000"/>
                <w:sz w:val="16"/>
                <w:szCs w:val="16"/>
              </w:rPr>
            </w:pPr>
          </w:p>
        </w:tc>
        <w:tc>
          <w:tcPr>
            <w:tcW w:w="900" w:type="dxa"/>
            <w:hideMark/>
          </w:tcPr>
          <w:p w14:paraId="3E2E2FCC"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G190S</w:t>
            </w:r>
          </w:p>
        </w:tc>
        <w:tc>
          <w:tcPr>
            <w:tcW w:w="1080" w:type="dxa"/>
            <w:hideMark/>
          </w:tcPr>
          <w:p w14:paraId="0CEC72E3"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3.00 ± 0.03</w:t>
            </w:r>
          </w:p>
        </w:tc>
        <w:tc>
          <w:tcPr>
            <w:tcW w:w="1260" w:type="dxa"/>
            <w:hideMark/>
          </w:tcPr>
          <w:p w14:paraId="660036C5"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8.72 ± 0.04</w:t>
            </w:r>
          </w:p>
        </w:tc>
        <w:tc>
          <w:tcPr>
            <w:tcW w:w="1530" w:type="dxa"/>
            <w:hideMark/>
          </w:tcPr>
          <w:p w14:paraId="31420845"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19.0 ± 0.4</w:t>
            </w:r>
          </w:p>
        </w:tc>
        <w:tc>
          <w:tcPr>
            <w:tcW w:w="1530" w:type="dxa"/>
          </w:tcPr>
          <w:p w14:paraId="4D441DB3" w14:textId="77777777" w:rsidR="00FA0CDB" w:rsidRPr="0035326E" w:rsidRDefault="00FA0CDB" w:rsidP="00FA0CDB">
            <w:pPr>
              <w:pStyle w:val="TCTableBody"/>
              <w:jc w:val="center"/>
              <w:rPr>
                <w:rFonts w:ascii="Times New Roman" w:hAnsi="Times New Roman"/>
                <w:sz w:val="16"/>
                <w:szCs w:val="16"/>
              </w:rPr>
            </w:pPr>
            <w:r>
              <w:rPr>
                <w:sz w:val="16"/>
                <w:szCs w:val="16"/>
              </w:rPr>
              <w:t>27.4 ± 5.3</w:t>
            </w:r>
          </w:p>
        </w:tc>
        <w:tc>
          <w:tcPr>
            <w:tcW w:w="1170" w:type="dxa"/>
          </w:tcPr>
          <w:p w14:paraId="493445AD" w14:textId="77777777" w:rsidR="00FA0CDB" w:rsidRPr="0035326E" w:rsidRDefault="00FA0CDB" w:rsidP="00FA0CDB">
            <w:pPr>
              <w:pStyle w:val="TCTableBody"/>
              <w:jc w:val="center"/>
              <w:rPr>
                <w:rFonts w:ascii="Times New Roman" w:hAnsi="Times New Roman"/>
                <w:sz w:val="16"/>
                <w:szCs w:val="16"/>
              </w:rPr>
            </w:pPr>
            <w:r>
              <w:rPr>
                <w:sz w:val="16"/>
                <w:szCs w:val="16"/>
              </w:rPr>
              <w:t>3.78 ± 0.08</w:t>
            </w:r>
          </w:p>
        </w:tc>
        <w:tc>
          <w:tcPr>
            <w:tcW w:w="1260" w:type="dxa"/>
          </w:tcPr>
          <w:p w14:paraId="7561DC08"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5.95 ± 0.28</w:t>
            </w:r>
          </w:p>
        </w:tc>
        <w:tc>
          <w:tcPr>
            <w:tcW w:w="1080" w:type="dxa"/>
          </w:tcPr>
          <w:p w14:paraId="4643051C"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3.15 ± 0.20</w:t>
            </w:r>
          </w:p>
        </w:tc>
        <w:tc>
          <w:tcPr>
            <w:tcW w:w="990" w:type="dxa"/>
          </w:tcPr>
          <w:p w14:paraId="1427D3B9"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17.2 ± 2.4</w:t>
            </w:r>
          </w:p>
        </w:tc>
        <w:tc>
          <w:tcPr>
            <w:tcW w:w="1080" w:type="dxa"/>
          </w:tcPr>
          <w:p w14:paraId="56F21DCC"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268.1 ± 18.3</w:t>
            </w:r>
          </w:p>
        </w:tc>
      </w:tr>
      <w:tr w:rsidR="00FA0CDB" w:rsidRPr="00C634FF" w14:paraId="1809FA0E" w14:textId="77777777" w:rsidTr="00D24828">
        <w:trPr>
          <w:trHeight w:val="521"/>
        </w:trPr>
        <w:tc>
          <w:tcPr>
            <w:tcW w:w="985" w:type="dxa"/>
            <w:vMerge/>
            <w:hideMark/>
          </w:tcPr>
          <w:p w14:paraId="14210B85" w14:textId="77777777" w:rsidR="00FA0CDB" w:rsidRPr="0035326E" w:rsidRDefault="00FA0CDB" w:rsidP="00FA0CDB">
            <w:pPr>
              <w:spacing w:line="480" w:lineRule="auto"/>
              <w:rPr>
                <w:rFonts w:ascii="Times New Roman" w:hAnsi="Times New Roman"/>
                <w:color w:val="000000"/>
                <w:sz w:val="16"/>
                <w:szCs w:val="16"/>
              </w:rPr>
            </w:pPr>
          </w:p>
        </w:tc>
        <w:tc>
          <w:tcPr>
            <w:tcW w:w="900" w:type="dxa"/>
            <w:hideMark/>
          </w:tcPr>
          <w:p w14:paraId="52C3A164"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L100I + K103N</w:t>
            </w:r>
          </w:p>
        </w:tc>
        <w:tc>
          <w:tcPr>
            <w:tcW w:w="1080" w:type="dxa"/>
            <w:hideMark/>
          </w:tcPr>
          <w:p w14:paraId="36135C62"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3.20 ± 0.15</w:t>
            </w:r>
          </w:p>
        </w:tc>
        <w:tc>
          <w:tcPr>
            <w:tcW w:w="1260" w:type="dxa"/>
            <w:hideMark/>
          </w:tcPr>
          <w:p w14:paraId="1FCBFA63"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5.43 ± 0.20</w:t>
            </w:r>
          </w:p>
        </w:tc>
        <w:tc>
          <w:tcPr>
            <w:tcW w:w="1530" w:type="dxa"/>
            <w:hideMark/>
          </w:tcPr>
          <w:p w14:paraId="6F51792F"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18.4 ± 0.5</w:t>
            </w:r>
          </w:p>
        </w:tc>
        <w:tc>
          <w:tcPr>
            <w:tcW w:w="1530" w:type="dxa"/>
          </w:tcPr>
          <w:p w14:paraId="23A2FC62"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12.7 ± 0.3</w:t>
            </w:r>
          </w:p>
        </w:tc>
        <w:tc>
          <w:tcPr>
            <w:tcW w:w="1170" w:type="dxa"/>
          </w:tcPr>
          <w:p w14:paraId="3EB8FC44"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3.89 ± 0.29</w:t>
            </w:r>
          </w:p>
        </w:tc>
        <w:tc>
          <w:tcPr>
            <w:tcW w:w="1260" w:type="dxa"/>
          </w:tcPr>
          <w:p w14:paraId="59B28D2D"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6.31 ± 0.23</w:t>
            </w:r>
          </w:p>
        </w:tc>
        <w:tc>
          <w:tcPr>
            <w:tcW w:w="1080" w:type="dxa"/>
          </w:tcPr>
          <w:p w14:paraId="31DED456"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3.38 ± 0.02</w:t>
            </w:r>
          </w:p>
        </w:tc>
        <w:tc>
          <w:tcPr>
            <w:tcW w:w="990" w:type="dxa"/>
          </w:tcPr>
          <w:p w14:paraId="4C84AAAD"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17.8 ± 0.4</w:t>
            </w:r>
          </w:p>
        </w:tc>
        <w:tc>
          <w:tcPr>
            <w:tcW w:w="1080" w:type="dxa"/>
          </w:tcPr>
          <w:p w14:paraId="18949AF9"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229.9 ± 6.9</w:t>
            </w:r>
          </w:p>
        </w:tc>
      </w:tr>
      <w:tr w:rsidR="00FA0CDB" w:rsidRPr="00C634FF" w14:paraId="32375A83" w14:textId="77777777" w:rsidTr="00D24828">
        <w:trPr>
          <w:trHeight w:val="350"/>
        </w:trPr>
        <w:tc>
          <w:tcPr>
            <w:tcW w:w="985" w:type="dxa"/>
            <w:vMerge/>
            <w:hideMark/>
          </w:tcPr>
          <w:p w14:paraId="51CABC62" w14:textId="77777777" w:rsidR="00FA0CDB" w:rsidRPr="0035326E" w:rsidRDefault="00FA0CDB" w:rsidP="00FA0CDB">
            <w:pPr>
              <w:spacing w:line="480" w:lineRule="auto"/>
              <w:rPr>
                <w:rFonts w:ascii="Times New Roman" w:hAnsi="Times New Roman"/>
                <w:color w:val="000000"/>
                <w:sz w:val="16"/>
                <w:szCs w:val="16"/>
              </w:rPr>
            </w:pPr>
          </w:p>
        </w:tc>
        <w:tc>
          <w:tcPr>
            <w:tcW w:w="900" w:type="dxa"/>
            <w:hideMark/>
          </w:tcPr>
          <w:p w14:paraId="69A9D883"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K103N + P225H</w:t>
            </w:r>
          </w:p>
        </w:tc>
        <w:tc>
          <w:tcPr>
            <w:tcW w:w="1080" w:type="dxa"/>
            <w:hideMark/>
          </w:tcPr>
          <w:p w14:paraId="33E3FC6C"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3.10 ± 0.02</w:t>
            </w:r>
          </w:p>
        </w:tc>
        <w:tc>
          <w:tcPr>
            <w:tcW w:w="1260" w:type="dxa"/>
            <w:hideMark/>
          </w:tcPr>
          <w:p w14:paraId="4C57851D"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5.06 ± 0.14</w:t>
            </w:r>
          </w:p>
        </w:tc>
        <w:tc>
          <w:tcPr>
            <w:tcW w:w="1530" w:type="dxa"/>
            <w:hideMark/>
          </w:tcPr>
          <w:p w14:paraId="549A871F" w14:textId="77777777" w:rsidR="00FA0CDB" w:rsidRPr="0035326E" w:rsidRDefault="00FA0CDB" w:rsidP="00FA0CDB">
            <w:pPr>
              <w:pStyle w:val="TCTableBody"/>
              <w:jc w:val="center"/>
              <w:rPr>
                <w:rFonts w:ascii="Times New Roman" w:hAnsi="Times New Roman"/>
                <w:color w:val="000000"/>
                <w:sz w:val="16"/>
                <w:szCs w:val="16"/>
              </w:rPr>
            </w:pPr>
            <w:r>
              <w:rPr>
                <w:sz w:val="16"/>
                <w:szCs w:val="16"/>
              </w:rPr>
              <w:t>18.3 ± 0.6</w:t>
            </w:r>
          </w:p>
        </w:tc>
        <w:tc>
          <w:tcPr>
            <w:tcW w:w="1530" w:type="dxa"/>
          </w:tcPr>
          <w:p w14:paraId="473E8515" w14:textId="77777777" w:rsidR="00FA0CDB" w:rsidRPr="0035326E" w:rsidRDefault="00FA0CDB" w:rsidP="00FA0CDB">
            <w:pPr>
              <w:pStyle w:val="TCTableBody"/>
              <w:jc w:val="center"/>
              <w:rPr>
                <w:rFonts w:ascii="Times New Roman" w:hAnsi="Times New Roman"/>
                <w:sz w:val="16"/>
                <w:szCs w:val="16"/>
              </w:rPr>
            </w:pPr>
            <w:r>
              <w:rPr>
                <w:sz w:val="16"/>
                <w:szCs w:val="16"/>
              </w:rPr>
              <w:t>15.5 ± 3.0</w:t>
            </w:r>
          </w:p>
        </w:tc>
        <w:tc>
          <w:tcPr>
            <w:tcW w:w="1170" w:type="dxa"/>
          </w:tcPr>
          <w:p w14:paraId="448441C8" w14:textId="77777777" w:rsidR="00FA0CDB" w:rsidRPr="0035326E" w:rsidRDefault="00FA0CDB" w:rsidP="00FA0CDB">
            <w:pPr>
              <w:pStyle w:val="TCTableBody"/>
              <w:jc w:val="center"/>
              <w:rPr>
                <w:rFonts w:ascii="Times New Roman" w:hAnsi="Times New Roman"/>
                <w:sz w:val="16"/>
                <w:szCs w:val="16"/>
              </w:rPr>
            </w:pPr>
            <w:r>
              <w:rPr>
                <w:sz w:val="16"/>
                <w:szCs w:val="16"/>
              </w:rPr>
              <w:t>3.71 ± 0.08</w:t>
            </w:r>
          </w:p>
        </w:tc>
        <w:tc>
          <w:tcPr>
            <w:tcW w:w="1260" w:type="dxa"/>
          </w:tcPr>
          <w:p w14:paraId="20DC769E"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6.37 ± 0.15</w:t>
            </w:r>
          </w:p>
        </w:tc>
        <w:tc>
          <w:tcPr>
            <w:tcW w:w="1080" w:type="dxa"/>
          </w:tcPr>
          <w:p w14:paraId="44BF4086"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3.34 ± 0.09</w:t>
            </w:r>
          </w:p>
        </w:tc>
        <w:tc>
          <w:tcPr>
            <w:tcW w:w="990" w:type="dxa"/>
          </w:tcPr>
          <w:p w14:paraId="781B2633"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15.7 ± 0.5</w:t>
            </w:r>
          </w:p>
        </w:tc>
        <w:tc>
          <w:tcPr>
            <w:tcW w:w="1080" w:type="dxa"/>
          </w:tcPr>
          <w:p w14:paraId="44956458"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239.7 ± 11.5</w:t>
            </w:r>
          </w:p>
        </w:tc>
      </w:tr>
      <w:tr w:rsidR="00FA0CDB" w:rsidRPr="00C634FF" w14:paraId="019D13F1" w14:textId="77777777" w:rsidTr="00D24828">
        <w:trPr>
          <w:trHeight w:val="350"/>
        </w:trPr>
        <w:tc>
          <w:tcPr>
            <w:tcW w:w="985" w:type="dxa"/>
            <w:vMerge/>
            <w:tcBorders>
              <w:bottom w:val="single" w:sz="4" w:space="0" w:color="auto"/>
            </w:tcBorders>
          </w:tcPr>
          <w:p w14:paraId="10982591" w14:textId="77777777" w:rsidR="00FA0CDB" w:rsidRPr="0035326E" w:rsidRDefault="00FA0CDB" w:rsidP="00FA0CDB">
            <w:pPr>
              <w:spacing w:line="480" w:lineRule="auto"/>
              <w:rPr>
                <w:rFonts w:ascii="Times New Roman" w:hAnsi="Times New Roman"/>
                <w:color w:val="000000"/>
                <w:sz w:val="16"/>
                <w:szCs w:val="16"/>
              </w:rPr>
            </w:pPr>
          </w:p>
        </w:tc>
        <w:tc>
          <w:tcPr>
            <w:tcW w:w="900" w:type="dxa"/>
            <w:tcBorders>
              <w:bottom w:val="single" w:sz="4" w:space="0" w:color="auto"/>
            </w:tcBorders>
          </w:tcPr>
          <w:p w14:paraId="37E5D436" w14:textId="77777777" w:rsidR="00FA0CDB" w:rsidRPr="0035326E" w:rsidRDefault="00FA0CDB" w:rsidP="00FA0CDB">
            <w:pPr>
              <w:pStyle w:val="TCTableBody"/>
              <w:jc w:val="center"/>
              <w:rPr>
                <w:rFonts w:ascii="Times New Roman" w:hAnsi="Times New Roman"/>
                <w:sz w:val="16"/>
                <w:szCs w:val="16"/>
              </w:rPr>
            </w:pPr>
            <w:r>
              <w:rPr>
                <w:sz w:val="16"/>
                <w:szCs w:val="16"/>
              </w:rPr>
              <w:t>G190E</w:t>
            </w:r>
          </w:p>
        </w:tc>
        <w:tc>
          <w:tcPr>
            <w:tcW w:w="1080" w:type="dxa"/>
            <w:tcBorders>
              <w:bottom w:val="single" w:sz="4" w:space="0" w:color="auto"/>
            </w:tcBorders>
          </w:tcPr>
          <w:p w14:paraId="070AFFBA" w14:textId="77777777" w:rsidR="00FA0CDB" w:rsidRPr="0035326E" w:rsidRDefault="00FA0CDB" w:rsidP="00FA0CDB">
            <w:pPr>
              <w:pStyle w:val="TCTableBody"/>
              <w:jc w:val="center"/>
              <w:rPr>
                <w:rFonts w:ascii="Times New Roman" w:hAnsi="Times New Roman"/>
                <w:sz w:val="16"/>
                <w:szCs w:val="16"/>
              </w:rPr>
            </w:pPr>
            <w:r>
              <w:rPr>
                <w:sz w:val="16"/>
                <w:szCs w:val="16"/>
              </w:rPr>
              <w:t>3.17 ± 0.09</w:t>
            </w:r>
          </w:p>
        </w:tc>
        <w:tc>
          <w:tcPr>
            <w:tcW w:w="1260" w:type="dxa"/>
            <w:tcBorders>
              <w:bottom w:val="single" w:sz="4" w:space="0" w:color="auto"/>
            </w:tcBorders>
          </w:tcPr>
          <w:p w14:paraId="4C012975" w14:textId="77777777" w:rsidR="00FA0CDB" w:rsidRPr="0035326E" w:rsidRDefault="00FA0CDB" w:rsidP="00FA0CDB">
            <w:pPr>
              <w:pStyle w:val="TCTableBody"/>
              <w:jc w:val="center"/>
              <w:rPr>
                <w:rFonts w:ascii="Times New Roman" w:hAnsi="Times New Roman"/>
                <w:sz w:val="16"/>
                <w:szCs w:val="16"/>
              </w:rPr>
            </w:pPr>
            <w:r>
              <w:rPr>
                <w:sz w:val="16"/>
                <w:szCs w:val="16"/>
              </w:rPr>
              <w:t>8.63 ± 0.16</w:t>
            </w:r>
          </w:p>
        </w:tc>
        <w:tc>
          <w:tcPr>
            <w:tcW w:w="1530" w:type="dxa"/>
            <w:tcBorders>
              <w:bottom w:val="single" w:sz="4" w:space="0" w:color="auto"/>
            </w:tcBorders>
          </w:tcPr>
          <w:p w14:paraId="63A051C2" w14:textId="77777777" w:rsidR="00FA0CDB" w:rsidRPr="0035326E" w:rsidRDefault="00FA0CDB" w:rsidP="00FA0CDB">
            <w:pPr>
              <w:pStyle w:val="TCTableBody"/>
              <w:jc w:val="center"/>
              <w:rPr>
                <w:rFonts w:ascii="Times New Roman" w:hAnsi="Times New Roman"/>
                <w:sz w:val="16"/>
                <w:szCs w:val="16"/>
              </w:rPr>
            </w:pPr>
            <w:r>
              <w:rPr>
                <w:sz w:val="16"/>
                <w:szCs w:val="16"/>
              </w:rPr>
              <w:t>22.7 ± 2.0</w:t>
            </w:r>
          </w:p>
        </w:tc>
        <w:tc>
          <w:tcPr>
            <w:tcW w:w="1530" w:type="dxa"/>
            <w:tcBorders>
              <w:bottom w:val="single" w:sz="4" w:space="0" w:color="auto"/>
            </w:tcBorders>
          </w:tcPr>
          <w:p w14:paraId="186D5AAB" w14:textId="77777777" w:rsidR="00FA0CDB" w:rsidRPr="0035326E" w:rsidRDefault="00FA0CDB" w:rsidP="00FA0CDB">
            <w:pPr>
              <w:pStyle w:val="TCTableBody"/>
              <w:jc w:val="center"/>
              <w:rPr>
                <w:rFonts w:ascii="Times New Roman" w:hAnsi="Times New Roman"/>
                <w:sz w:val="16"/>
                <w:szCs w:val="16"/>
              </w:rPr>
            </w:pPr>
            <w:r>
              <w:rPr>
                <w:sz w:val="16"/>
                <w:szCs w:val="16"/>
              </w:rPr>
              <w:t>12.0 ± 0.9</w:t>
            </w:r>
          </w:p>
        </w:tc>
        <w:tc>
          <w:tcPr>
            <w:tcW w:w="1170" w:type="dxa"/>
            <w:tcBorders>
              <w:bottom w:val="single" w:sz="4" w:space="0" w:color="auto"/>
            </w:tcBorders>
          </w:tcPr>
          <w:p w14:paraId="363C07C5" w14:textId="77777777" w:rsidR="00FA0CDB" w:rsidRPr="0035326E" w:rsidRDefault="00FA0CDB" w:rsidP="00FA0CDB">
            <w:pPr>
              <w:pStyle w:val="TCTableBody"/>
              <w:jc w:val="center"/>
              <w:rPr>
                <w:rFonts w:ascii="Times New Roman" w:hAnsi="Times New Roman"/>
                <w:sz w:val="16"/>
                <w:szCs w:val="16"/>
              </w:rPr>
            </w:pPr>
            <w:r>
              <w:rPr>
                <w:sz w:val="16"/>
                <w:szCs w:val="16"/>
              </w:rPr>
              <w:t>6.47 ± 0.44</w:t>
            </w:r>
          </w:p>
        </w:tc>
        <w:tc>
          <w:tcPr>
            <w:tcW w:w="1260" w:type="dxa"/>
            <w:tcBorders>
              <w:bottom w:val="single" w:sz="4" w:space="0" w:color="auto"/>
            </w:tcBorders>
          </w:tcPr>
          <w:p w14:paraId="3802EC81"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5.70 ± 0.45</w:t>
            </w:r>
          </w:p>
        </w:tc>
        <w:tc>
          <w:tcPr>
            <w:tcW w:w="1080" w:type="dxa"/>
            <w:tcBorders>
              <w:bottom w:val="single" w:sz="4" w:space="0" w:color="auto"/>
            </w:tcBorders>
          </w:tcPr>
          <w:p w14:paraId="6337E5D5"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2.92 ± 0.24</w:t>
            </w:r>
          </w:p>
        </w:tc>
        <w:tc>
          <w:tcPr>
            <w:tcW w:w="990" w:type="dxa"/>
            <w:tcBorders>
              <w:bottom w:val="single" w:sz="4" w:space="0" w:color="auto"/>
            </w:tcBorders>
          </w:tcPr>
          <w:p w14:paraId="7278F577"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17.3 ± 2.7</w:t>
            </w:r>
          </w:p>
        </w:tc>
        <w:tc>
          <w:tcPr>
            <w:tcW w:w="1080" w:type="dxa"/>
            <w:tcBorders>
              <w:bottom w:val="single" w:sz="4" w:space="0" w:color="auto"/>
            </w:tcBorders>
          </w:tcPr>
          <w:p w14:paraId="256DD550" w14:textId="77777777" w:rsidR="00FA0CDB" w:rsidRPr="0035326E" w:rsidRDefault="00FA0CDB" w:rsidP="00FA0CDB">
            <w:pPr>
              <w:pStyle w:val="TCTableBody"/>
              <w:jc w:val="center"/>
              <w:rPr>
                <w:rFonts w:ascii="Times New Roman" w:hAnsi="Times New Roman"/>
                <w:b/>
                <w:bCs/>
                <w:color w:val="000000"/>
                <w:sz w:val="16"/>
                <w:szCs w:val="16"/>
              </w:rPr>
            </w:pPr>
            <w:r>
              <w:rPr>
                <w:sz w:val="16"/>
                <w:szCs w:val="16"/>
              </w:rPr>
              <w:t>284.3 ± 3.2</w:t>
            </w:r>
          </w:p>
        </w:tc>
      </w:tr>
    </w:tbl>
    <w:p w14:paraId="0212A8AC" w14:textId="77777777" w:rsidR="004240A7" w:rsidRPr="00A53223" w:rsidRDefault="009F24E2" w:rsidP="00007567">
      <w:pPr>
        <w:pStyle w:val="TAMainText"/>
        <w:spacing w:after="240"/>
        <w:rPr>
          <w:rFonts w:ascii="Times New Roman" w:hAnsi="Times New Roman"/>
          <w:b/>
          <w:bCs/>
          <w:noProof/>
          <w:sz w:val="16"/>
          <w:szCs w:val="16"/>
        </w:rPr>
      </w:pPr>
      <w:r>
        <w:rPr>
          <w:sz w:val="16"/>
          <w:szCs w:val="16"/>
        </w:rPr>
        <w:t>*Loss of tyrosine sidechain precludes calculation of ring stacking angle in this genotype</w:t>
      </w:r>
    </w:p>
    <w:p w14:paraId="20DD70BB" w14:textId="77777777" w:rsidR="00453EE8" w:rsidRPr="00E536AD" w:rsidRDefault="00DB78AA" w:rsidP="00007567">
      <w:pPr>
        <w:spacing w:after="240"/>
        <w:rPr>
          <w:rFonts w:ascii="Times New Roman" w:hAnsi="Times New Roman"/>
          <w:b/>
          <w:bCs/>
          <w:noProof/>
          <w:sz w:val="20"/>
        </w:rPr>
        <w:sectPr w:rsidR="00453EE8" w:rsidRPr="00E536AD" w:rsidSect="00453EE8">
          <w:pgSz w:w="15840" w:h="12240" w:orient="landscape"/>
          <w:pgMar w:top="1440" w:right="1440" w:bottom="1440" w:left="1440" w:header="720" w:footer="720" w:gutter="0"/>
          <w:cols w:space="720"/>
          <w:docGrid w:linePitch="360"/>
        </w:sectPr>
      </w:pPr>
      <w:r>
        <w:rPr>
          <w:rFonts w:ascii="Times New Roman" w:hAnsi="Times New Roman"/>
          <w:b/>
          <w:bCs/>
          <w:noProof/>
          <w:sz w:val="20"/>
        </w:rPr>
        <w:t xml:space="preserve"> </w:t>
      </w:r>
    </w:p>
    <w:p w14:paraId="6A3A7548" w14:textId="77777777" w:rsidR="006D47C9" w:rsidRDefault="006D47C9" w:rsidP="00007567">
      <w:pPr>
        <w:pStyle w:val="TAMainText"/>
        <w:spacing w:after="240"/>
        <w:rPr>
          <w:noProof/>
        </w:rPr>
      </w:pPr>
      <w:r>
        <w:lastRenderedPageBreak/>
        <w:t>G190A leaves the DOR pose essentially unperturbed, with chlorocyanophenyl ring burial (20.0 ± 1.2), stacking angle with Tyr188 sidechain (16.0 ± 1.8°), the distances to Ser105, Val179 and Val106, and the NNIBP volume (233 ± 2 Å³) all within replicate error of the corresponding WT values. G190E is distinct from every other genotype in two respects: (i) the minimum distance from Val179 to DOR increases from 3.62 ± 0.06 Å in WT to 6.47 ± 0.44 Å, more than 2.5 Å beyond the next largest value in the panel (3.89 ± 0.29 Å, in L100I+K103N), and (ii) the NNIBP volume expands from 228 ± 12 Å³ in WT to 284 ± 3 Å³, the largest of any genotype. At the same time, the G190E pocket expansion is not accompanied by any loss of aromatic packing: its stacking angle (12.0 ± 0.9°) is marginally closer to coplanar than WT and its chlorocyanophenyl burial (22.7 ± 2.0) is above the WT value.</w:t>
      </w:r>
    </w:p>
    <w:p w14:paraId="5FB23750" w14:textId="77777777" w:rsidR="00007567" w:rsidRPr="00E536AD" w:rsidRDefault="00007567" w:rsidP="00007567">
      <w:pPr>
        <w:pStyle w:val="TAMainText"/>
        <w:spacing w:after="240"/>
        <w:rPr>
          <w:rFonts w:ascii="Times New Roman" w:hAnsi="Times New Roman"/>
          <w:sz w:val="22"/>
          <w:szCs w:val="22"/>
        </w:rPr>
      </w:pPr>
      <w:r>
        <w:rPr>
          <w:b/>
          <w:bCs/>
          <w:noProof/>
        </w:rPr>
        <w:drawing>
          <wp:inline distT="0" distB="0" distL="0" distR="0" wp14:anchorId="73CDFBA4" wp14:editId="403BC87A">
            <wp:extent cx="5943600" cy="2352040"/>
            <wp:effectExtent l="0" t="0" r="0" b="0"/>
            <wp:docPr id="164251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14402" name="Picture 1642514402"/>
                    <pic:cNvPicPr/>
                  </pic:nvPicPr>
                  <pic:blipFill>
                    <a:blip r:embed="rId18"/>
                    <a:stretch>
                      <a:fillRect/>
                    </a:stretch>
                  </pic:blipFill>
                  <pic:spPr>
                    <a:xfrm>
                      <a:off x="0" y="0"/>
                      <a:ext cx="5943600" cy="2352040"/>
                    </a:xfrm>
                    <a:prstGeom prst="rect">
                      <a:avLst/>
                    </a:prstGeom>
                  </pic:spPr>
                </pic:pic>
              </a:graphicData>
            </a:graphic>
          </wp:inline>
        </w:drawing>
      </w:r>
      <w:r>
        <w:rPr>
          <w:b/>
          <w:bCs/>
        </w:rPr>
        <w:t xml:space="preserve"> </w:t>
      </w:r>
      <w:r>
        <w:rPr>
          <w:b/>
          <w:bCs/>
          <w:sz w:val="22"/>
          <w:szCs w:val="18"/>
        </w:rPr>
        <w:t>Figure 3: Trajectory-level evidence for two distinct resistance mechanisms.</w:t>
      </w:r>
      <w:r>
        <w:rPr>
          <w:sz w:val="22"/>
          <w:szCs w:val="18"/>
        </w:rPr>
        <w:t xml:space="preserve"> </w:t>
      </w:r>
      <w:r>
        <w:rPr>
          <w:b/>
          <w:bCs/>
          <w:sz w:val="22"/>
          <w:szCs w:val="18"/>
        </w:rPr>
        <w:t>(A)</w:t>
      </w:r>
      <w:r>
        <w:rPr>
          <w:sz w:val="22"/>
          <w:szCs w:val="18"/>
        </w:rPr>
        <w:t xml:space="preserve"> Burial of the DOR chlorocyanophenyl ring, defined as the number of protein heavy atom contacts within 4.0 Å of the ring, for WT and Y188L. </w:t>
      </w:r>
      <w:r>
        <w:rPr>
          <w:b/>
          <w:bCs/>
          <w:sz w:val="22"/>
          <w:szCs w:val="18"/>
        </w:rPr>
        <w:t xml:space="preserve">(B) </w:t>
      </w:r>
      <w:r>
        <w:rPr>
          <w:sz w:val="22"/>
          <w:szCs w:val="18"/>
        </w:rPr>
        <w:t>Displacement of DOR toward Ser105, defined as the minimum heavy-atom distance between DOR and the Ser105 side chain, for WT and the four V106A-containing genotypes (cf. Table 2). Solid lines are means over three independent 100 ns replicates interpolated onto a common time grid; shading is the standard error of the mean across replicates.</w:t>
      </w:r>
    </w:p>
    <w:p w14:paraId="5300ECBA" w14:textId="77777777" w:rsidR="006D47C9" w:rsidRPr="00E536AD" w:rsidRDefault="00905856" w:rsidP="006D47C9">
      <w:pPr>
        <w:pStyle w:val="TAMainText"/>
        <w:spacing w:after="240"/>
        <w:rPr>
          <w:rFonts w:ascii="Times New Roman" w:hAnsi="Times New Roman"/>
          <w:noProof/>
          <w:szCs w:val="24"/>
        </w:rPr>
      </w:pPr>
      <w:r>
        <w:rPr>
          <w:noProof/>
        </w:rPr>
        <w:lastRenderedPageBreak/>
        <w:t>One of the most dramatic observations is in simulations of V106 substitutions, that displace DOR in opposite directions depending on whether the side chain is shortened or enlarged. In all four V106A-containing genotypes DOR (i) moves toward Ser105, from 6.65 ± 0.09 Å in WT to between 5.13 and 5.30 Å (Figure 3B), (ii) moves away from residue 106 (3.36 ± 0.07 Å in WT to 3.54–3.64 Å), and (iii) loses pyridinone contacts, from 14.8 ± 1.4 in WT to between 10.3 and 11.8. In V106I and V106M the displacement is reversed: DOR moves away from Ser105 (7.15 ± 0.14 and 7.04 ± 0.46 Å) and closer to residue 106 (3.22 ± 0.09 and 3.16 ± 0.14 Å), while pyridinone contacts are unchanged or slightly higher (16.0 ± 0.8 and 16.8 ± 2.4).</w:t>
      </w:r>
    </w:p>
    <w:p w14:paraId="65866E4A" w14:textId="77777777" w:rsidR="008F1E59" w:rsidRPr="00E536AD" w:rsidRDefault="008F1E59" w:rsidP="006D47C9">
      <w:pPr>
        <w:pStyle w:val="TAMainText"/>
        <w:spacing w:after="240"/>
        <w:ind w:firstLine="0"/>
        <w:rPr>
          <w:rFonts w:ascii="Times New Roman" w:hAnsi="Times New Roman"/>
          <w:szCs w:val="24"/>
        </w:rPr>
      </w:pPr>
    </w:p>
    <w:p w14:paraId="7141FB1A" w14:textId="77777777" w:rsidR="002975D3" w:rsidRPr="006D47C9" w:rsidRDefault="002975D3" w:rsidP="002975D3">
      <w:pPr>
        <w:pStyle w:val="TAMainText"/>
        <w:rPr>
          <w:rFonts w:ascii="Times New Roman" w:hAnsi="Times New Roman"/>
          <w:b/>
          <w:bCs/>
          <w:sz w:val="36"/>
          <w:szCs w:val="28"/>
        </w:rPr>
      </w:pPr>
      <w:r>
        <w:rPr>
          <w:b/>
          <w:bCs/>
          <w:sz w:val="28"/>
          <w:szCs w:val="22"/>
        </w:rPr>
        <w:t>Discussion</w:t>
      </w:r>
    </w:p>
    <w:p w14:paraId="0B4AF5B5" w14:textId="77777777" w:rsidR="00D51091" w:rsidRPr="00E536AD" w:rsidRDefault="00C22299" w:rsidP="00D51091">
      <w:pPr>
        <w:pStyle w:val="TAMainText"/>
        <w:spacing w:after="240"/>
        <w:rPr>
          <w:rFonts w:ascii="Times New Roman" w:hAnsi="Times New Roman"/>
        </w:rPr>
      </w:pPr>
      <w:r>
        <w:t>DOR exhibits a distinct resistance profile among second-generation NNRTIs. Like ETR and RPV, DOR retains activity against common first-generation NNRTI resistance mutations such as K103N and G190A, while at the same time retaining substantial activity against mutations such as Y181C and E138K that compromise ETR and RPV. Conversely, resistance emerging under DOR pressure is dominated by a different set of substitutions, particularly V106A, Y188L, F227C/L, M230L, and Y318F.</w:t>
      </w:r>
      <w:r>
        <w:fldChar w:fldCharType="begin"/>
      </w:r>
      <w:r>
        <w:instrText xml:space="preserve"> ADDIN ZOTERO_ITEM CSL_CITATION {"citationID":"91D6pEKH","properties":{"unsorted":false,"formattedCitation":"\\super 18\\nosupersub{}","plainCitation":"18","noteIndex":0},"citationItems":[{"id":107,"uris":["http://zotero.org/users/19404620/items/MU4N386R"],"itemData":{"id":107,"type":"article-journal","abstract":"Doravirine has a unique resistance profile but how this profile might increase its usefulness beyond first-line therapy in persons with susceptible viruses has not been well studied. We sought to determine scenarios in which doravirine would retain activity against isolates from ART-naïve persons with transmitted drug resistance (TDR) and to identify gaps in available doravirine susceptibility data.","container-title":"AIDS Research and Therapy","DOI":"10.1186/s12981-023-00503-5","ISSN":"1742-6405","issue":"1","journalAbbreviation":"AIDS Res Ther","language":"en","page":"8","source":"Springer Link","title":"Potential role of doravirine for the treatment of HIV-1-infected persons with transmitted drug resistance","volume":"20","author":[{"family":"Rhee","given":"Soo-Yon"},{"family":"Schapiro","given":"Jonathan M."},{"family":"Saladini","given":"Francesco"},{"family":"Zazzi","given":"Maurizio"},{"family":"Khoo","given":"Saye"},{"family":"Shafer","given":"Robert W."}],"issued":{"date-parts":[["2023",2,7]]}}}],"schema":"https://github.com/citation-style-language/schema/raw/master/csl-citation.json"} </w:instrText>
      </w:r>
      <w:r>
        <w:fldChar w:fldCharType="separate"/>
      </w:r>
      <w:r>
        <w:rPr>
          <w:vertAlign w:val="superscript"/>
        </w:rPr>
        <w:t>18</w:t>
      </w:r>
      <w:r>
        <w:fldChar w:fldCharType="end"/>
      </w:r>
      <w:r>
        <w:t xml:space="preserve"> Despite these observations, publicly available isolate-level susceptibility data for DOR remain sparse. As of September 2026, Stanford HIVDB indexes only 134 DOR-associated isolates tested by the </w:t>
      </w:r>
      <w:proofErr w:type="spellStart"/>
      <w:r>
        <w:t>PhenoSense</w:t>
      </w:r>
      <w:proofErr w:type="spellEnd"/>
      <w:r>
        <w:t xml:space="preserve"> assay, compared with 330 for RPV and 1,193 for ETR. This mismatch between growing clinical relevance and limited public phenotype data for DOR resistance motivated the present study. </w:t>
      </w:r>
    </w:p>
    <w:p w14:paraId="55C0CB63" w14:textId="5B10C76D" w:rsidR="00D51091" w:rsidRPr="00E536AD" w:rsidRDefault="001B25CB" w:rsidP="00D51091">
      <w:pPr>
        <w:pStyle w:val="TAMainText"/>
        <w:spacing w:after="240"/>
        <w:rPr>
          <w:rFonts w:ascii="Times New Roman" w:hAnsi="Times New Roman"/>
        </w:rPr>
      </w:pPr>
      <w:bookmarkStart w:id="1" w:name="_Hlk238122711"/>
      <w:r>
        <w:t xml:space="preserve">We asked whether explicit-solvent MD simulations of RT-DOR complex could provide an </w:t>
      </w:r>
      <w:r>
        <w:rPr>
          <w:i/>
          <w:iCs/>
        </w:rPr>
        <w:t xml:space="preserve">in silico </w:t>
      </w:r>
      <w:r>
        <w:t xml:space="preserve">framework to complement </w:t>
      </w:r>
      <w:r>
        <w:rPr>
          <w:i/>
          <w:iCs/>
        </w:rPr>
        <w:t xml:space="preserve">in vitro </w:t>
      </w:r>
      <w:r>
        <w:t xml:space="preserve">susceptibility data for clinically relevant genotypes. </w:t>
      </w:r>
      <w:r>
        <w:lastRenderedPageBreak/>
        <w:t>Specifically, we used both MM/GBSA-based absolute energy computation from equilibrium MD simulations and a recently developed</w:t>
      </w:r>
      <w:r>
        <w:fldChar w:fldCharType="begin"/>
      </w:r>
      <w:r>
        <w:instrText xml:space="preserve"> ADDIN ZOTERO_ITEM CSL_CITATION {"citationID":"3aC1ecTa","properties":{"unsorted":true,"formattedCitation":"\\super 31,32\\nosupersub{}","plainCitation":"31,32","noteIndex":0},"citationItems":[{"id":257,"uris":["http://zotero.org/users/19404620/items/3AGKTMV5"],"itemData":{"id":257,"type":"article-journal","abstract":"This Account discusses recent\nprogress and challenges in binding\nfree energy computations, focusing on two classes of enhanced sampling techniques: alchemical transformations and path-based methods. Binding free energy is a crucial metric in drug discovery, as it measures the affinity of a ligand for its target receptor. Free energy and affinity guide the ranking and selection of potential drug candidates. The theoretical foundations of free energy calculations were established several decades ago, but their efficient application to drug-target binding remains a grand challenge in computational drug design. The main obstacles stem from sampling issues (as binding is a rare event), force field accuracy limitations, and simulation convergence. Alchemical transformations are now the most used methods for computing binding free energies in the pharmaceutical industry. However, while they efficiently calculate energy differences, the application of these methods is often limited to relative binding free energy calculations. Absolute and accurate (error &amp;lt; 1 kcal/mol) binding free energy predictions remain one of the great challenges for computational chemists and physicists. Another limitation of alchemical methods is that they lack the ability to provide mechanistic or kinetic insights into the binding process, crucial for optimizing lead compounds and designing novel therapies. Path-based methods offer, in principle, the possibility to accurately estimate absolute binding free energy while also providing insights into binding pathways and interactions.This Account\nexplores recent advances in binding free energy methods\nfor drug-target recognition and binding. In particular, we discuss the similarities and differences between alchemical and path-based approaches, highlighting recent innovations in both families of methods and providing perspectives from our group’s contributions.\nWe examine the foundational role of alchemical methods, which have been employed since the inception of free energy calculations, in both equilibrium and nonequilibrium contexts. We also emphasize the growing importance of path-based methods in drug discovery and their ability to predict binding and unbinding pathways, free energy profiles, and binding free energy estimates. In particular, the combination of path methods with machine learning has proven to be a powerful means for accurate path generation and free energy estimations. Building on our recent research, we discuss several path-based applications for drug discovery. Moreover, we focus on two semiautomatic protocols representing our group’s state-of-the-art in free energy calculations. The first protocol is based on MetaDynamics simulation. From this, a recent innovation is instead based on nonequilibrium simulations combined with nonequilibrium estimators. We discuss in depth the advantages and drawbacks of equilibrium and nonequilibrium approaches to drug-target binding free energy predictions.","container-title":"Accounts of Chemical Research","DOI":"10.1021/acs.accounts.5c00465","ISSN":"0001-4842","issue":"20","journalAbbreviation":"Acc. Chem. Res.","page":"3137-3145","source":"Silverchair","title":"On Free Energy Calculations in Drug Discovery","volume":"58","author":[{"family":"Ghidini","given":"Alessia"},{"family":"Serra","given":"Eleonora"},{"family":"Cavalli","given":"Andrea"}],"issued":{"date-parts":[["2025",10,10]]}}},{"id":251,"uris":["http://zotero.org/users/19404620/items/ERMW24MN"],"itemData":{"id":251,"type":"article-journal","abstract":"Ligand binding affinity calculations based on molecular dynamics (MD) simulations and non-physical (alchemical) thermodynamic cycles have shown great promise for structure-based drug design. However, their broad uptake and impact is held back by the notoriously complex setup of the calculations. Only a few tools other than the free energy perturbation approach by Schrödinger Inc. (referred to as FEP+) currently enable end-to-end application. Here, we present for the first time an approach based on the open-source software pmx that allows to easily set up and run alchemical calculations for diverse sets of small molecules using the GROMACS MD engine. The method relies on theoretically rigorous non-equilibrium thermodynamic integration (TI) foundations, and its flexibility allows calculations with multiple force fields. In this study, results from the Amber and Charmm force fields were combined to yield a consensus outcome performing on par with the commercial FEP+ approach. A large dataset of 482 perturbations from 13 different protein–ligand datasets led to an average unsigned error (AUE) of 3.64 ± 0.14 kJ mol−1, equivalent to Schrödinger's FEP+ AUE of 3.66 ± 0.14 kJ mol−1. For the first time, a setup is presented for overall high precision and high accuracy relative protein–ligand alchemical free energy calculations based on open-source software.","container-title":"Chemical Science","DOI":"10.1039/c9sc03754c","ISSN":"2041-6520","issue":"4","journalAbbreviation":"Chem. Sci.","page":"1140-1152","source":"Silverchair","title":"Large scale relative protein ligand binding affinities using non-equilibrium alchemy","volume":"11","author":[{"family":"Gapsys","given":"Vytautas"},{"family":"Pérez-Benito","given":"Laura"},{"family":"Aldeghi","given":"Matteo"},{"family":"Seeliger","given":"Daniel"},{"family":"Vlijmen","given":"Herman","non-dropping-particle":"van"},{"family":"Tresadern","given":"Gary"},{"family":"Groot","given":"Bert L.","non-dropping-particle":"de"}],"issued":{"date-parts":[["2020",1,28]]}}}],"schema":"https://github.com/citation-style-language/schema/raw/master/csl-citation.json"} </w:instrText>
      </w:r>
      <w:r>
        <w:fldChar w:fldCharType="separate"/>
      </w:r>
      <w:r>
        <w:rPr>
          <w:vertAlign w:val="superscript"/>
        </w:rPr>
        <w:t>31,32</w:t>
      </w:r>
      <w:r>
        <w:fldChar w:fldCharType="end"/>
      </w:r>
      <w:r>
        <w:t xml:space="preserve"> nonequilibrium switching-based alchemical FEP method. </w:t>
      </w:r>
      <w:bookmarkEnd w:id="1"/>
      <w:r>
        <w:t>This choice was motivated by prior studies that successfully used such free energy calculations from MD simulations to interrogate resistance mutations in infectious diseases,</w:t>
      </w:r>
      <w:r>
        <w:fldChar w:fldCharType="begin"/>
      </w:r>
      <w:r w:rsidR="00CC484F">
        <w:instrText xml:space="preserve"> ADDIN ZOTERO_ITEM CSL_CITATION {"citationID":"YsIGJLYx","properties":{"unsorted":true,"formattedCitation":"\\super 63\\uc0\\u8211{}65\\nosupersub{}","plainCitation":"63</w:instrText>
      </w:r>
      <w:r w:rsidR="00CC484F">
        <w:rPr>
          <w:rFonts w:hint="eastAsia"/>
        </w:rPr>
        <w:instrText>–</w:instrText>
      </w:r>
      <w:r w:rsidR="00CC484F">
        <w:instrText>65","noteIndex":0},"citationItems":[{"id":322,"uris":["http://zotero.org/users/19404620/items/38PDJNEN"],"itemData":{"id":322,"type":"article-journal","abstract":"Point mutations in the influenza virus enzyme neuraminidase (NA) have been reported that lead to dramatic loss of activity for known NA inhibitors including the FDA approved sialic acid mimics zanamivir and oseltamivir. A more complete understanding of the molecular basis for such resistance is a critical component toward development of improved next-generation drugs. In this study, we have used explicit solvent all-atom molecular dynamics simulations, free energy calculations (MM-GBSA), and residue-based decomposition to model binding of four ligands with NA from influenza virus subtype N9. The goal is to elucidate which structural and energetic properties change as a result of a mutation at position R292K. Computed binding free energies show strong correlation with experiment (r2 = 0.76), and an examination of individual energy components reveal that changes in intermolecular Coulombic terms (</w:instrText>
      </w:r>
      <w:r w:rsidR="00CC484F">
        <w:rPr>
          <w:rFonts w:hint="eastAsia"/>
        </w:rPr>
        <w:instrText>Δ</w:instrText>
      </w:r>
      <w:r w:rsidR="00CC484F">
        <w:instrText xml:space="preserve">Ecoul) best describe the variation in affinity with structure (r2 = 0.93). H-bond populations also parallel the experimental ordering (r = −0.96, r2 = 0.86) reinforcing the view that electrostatics modulate binding in this system. Notably, in every case, the simulation results correctly predict that loss of binding occurs as a result of the R292K mutation. Per-residue binding footprints reveal that changes in </w:instrText>
      </w:r>
      <w:r w:rsidR="00CC484F">
        <w:rPr>
          <w:rFonts w:hint="eastAsia"/>
        </w:rPr>
        <w:instrText>ΔΔ</w:instrText>
      </w:r>
      <w:r w:rsidR="00CC484F">
        <w:instrText>Ecoul for R292K-wildtype at position 292 parallel the change in experimental fold resistance energies (</w:instrText>
      </w:r>
      <w:r w:rsidR="00CC484F">
        <w:rPr>
          <w:rFonts w:hint="eastAsia"/>
        </w:rPr>
        <w:instrText>ΔΔ</w:instrText>
      </w:r>
      <w:r w:rsidR="00CC484F">
        <w:instrText xml:space="preserve">GR292K-WT) with S03 &amp;lt; S00 &amp;lt; S02 &amp;lt; S01. The footprints also reveal that the most potent ligands have (1) less reliance on R292 for intrinsic affinity, (2) enhanced binding via residues E119, E227, and E277, and (3) flatter </w:instrText>
      </w:r>
      <w:r w:rsidR="00CC484F">
        <w:rPr>
          <w:rFonts w:hint="eastAsia"/>
        </w:rPr>
        <w:instrText>Δ</w:instrText>
      </w:r>
      <w:r w:rsidR="00CC484F">
        <w:instrText xml:space="preserve">Ecoul and </w:instrText>
      </w:r>
      <w:r w:rsidR="00CC484F">
        <w:rPr>
          <w:rFonts w:hint="eastAsia"/>
        </w:rPr>
        <w:instrText>Δ</w:instrText>
      </w:r>
      <w:r w:rsidR="00CC484F">
        <w:instrText>H-bond profiles. Improved resistance for S03 appears to be a function of the ligand</w:instrText>
      </w:r>
      <w:r w:rsidR="00CC484F">
        <w:rPr>
          <w:rFonts w:hint="eastAsia"/>
        </w:rPr>
        <w:instrText>’</w:instrText>
      </w:r>
      <w:r w:rsidR="00CC484F">
        <w:instrText xml:space="preserve">s larger guanidinium group which leads to an increased affinity for wildtype NA while at the same time a reduction in favorable interactions localized to R292. Overall, the computational results significantly enhance experimental observations through quantification of specific interactions which govern molecular recognition along the N9-ligand binding interface.","container-title":"Journal of Chemical Theory and Computation","DOI":"10.1021/ct800068v","ISSN":"1549-9618","issue":"9","journalAbbreviation":"J. Chem. Theory Comput.","page":"1526-1540","source":"Silverchair","title":"Origins of Resistance Conferred by the R292K Neuraminidase Mutation via Molecular Dynamics and Free Energy Calculations","volume":"4","author":[{"family":"Chachra","given":"Ricky"},{"family":"Rizzo","given":"Robert C."}],"issued":{"date-parts":[["2008",8,12]]}}},{"id":262,"uris":["http://zotero.org/users/19404620/items/2RZ7UFA3"],"itemData":{"id":262,"type":"article-journal","abstract":"Quantitatively predicting changes in drug sensitivity associated with residue mutations is a major challenge in structural biology. By expanding the limits of free energy calculations, we successfully identified mutations in influenza neuraminidase (NA) that confer drug resistance to two antiviral drugs, zanamivir and oseltamivir. We augmented molecular dynamics (MD) with Hamiltonian Replica Exchange and calculated binding free energy changes for H274Y, N294S, and Y252H mutants. Based on experimental data, our calculations achieved high accuracy and precision compared with results from established computational methods. Analysis of 15 </w:instrText>
      </w:r>
      <w:r w:rsidR="00CC484F">
        <w:rPr>
          <w:rFonts w:hint="eastAsia"/>
        </w:rPr>
        <w:instrText>µ</w:instrText>
      </w:r>
      <w:r w:rsidR="00CC484F">
        <w:instrText>s of aggregated MD trajectories provided insights into the molecular mechanisms underlying drug resistance that are at odds with current interpretations of the crystallographic data. Contrary to the notion that resistance is caused by mutant-induced changes in hydrophobicity of the binding pocket, our simulations showed that drug resistance mutations in NA led to subtle rearrangements in the protein structure and its dynamics that together alter the active-site electrostatic environment and modulate inhibitor binding. Importantly, different mutations confer resistance through different conformational changes, suggesting that a generalized mechanism for NA drug resistance is unlikely.","container-title":"PLOS Computational Biology","DOI":"10.1371/journal.pcbi.1002665","ISSN":"1553-7358","issue":"8","journalAbbreviation":"PLOS Computational Biology","language":"en","page":"e1002665","publisher":"Public Library of Science","source":"PLoS Journals","title":"Quantitative Predictions of Binding Free Energy Changes in Drug-Resistant Influenza Neuraminidase","volume":"8","author":[{"family":"Ripoll","given":"Daniel R."},{"family":"Khavrutskii","given":"Ilja V."},{"family":"Chaudhury","given":"Sidhartha"},{"family":"Liu","given":"Jin"},{"family":"Kuschner","given":"Robert A."},{"family":"Wallqvist","given":"Anders"},{"family":"Reifman","given":"Jaques"}],"issued":{"date-parts":[["2012",8,30]]}}},{"id":324,"uris":["http://zotero.org/users/19404620/items/9HJIF5MA"],"itemData":{"id":324,"type":"article-journal","abstract":"The\nCOVID-19 pandemic has emphasized the urgency for effective\nantiviral therapies against SARS-CoV-2. Targeting the main protease (3CLpro) of the virus has emerged as a promising approach, and nirmatrelvir (PF-07321332), the active component of Pfizer</w:instrText>
      </w:r>
      <w:r w:rsidR="00CC484F">
        <w:rPr>
          <w:rFonts w:hint="eastAsia"/>
        </w:rPr>
        <w:instrText>’</w:instrText>
      </w:r>
      <w:r w:rsidR="00CC484F">
        <w:instrText xml:space="preserve">s oral drug Paxlovid, has demonstrated remarkable clinical efficacy. However, the emergence of resistance mutations poses a challenge to its continued success. In this study, we employed alchemical free energy perturbation (FEP) alanine scanning to identify nirmatrelvir-resistance mutations within SARS-CoV-2 3CLpro. FEP identified several mutations, which were validated through in vitro IC50 experiments and found to result in\n8- and 72-fold increases in nirmatrelvir IC50 values. Additionally, we constructed SARS-CoV-2 omicron replicons containing these mutations, and one of the mutants (S144A/E166A) displayed a 20-fold increase in EC50, confirming the role of FEP in identifying drug-resistance mutations. Our findings suggest that FEP can be a valuable tool in proactively monitoring the emergence of resistant strains and guiding the design of future inhibitors with reduced susceptibility to drug resistance. As nirmatrelvir is currently widely used for treating COVID-19, this research has important implications for surveillance efforts and antiviral development.","container-title":"Journal of Chemical Information and Modeling","DOI":"10.1021/acs.jcim.3c01269","ISSN":"1549-9596","issue":"22","journalAbbreviation":"J. Chem. Inf. Model.","page":"7180-7188","source":"Silverchair","title":"Discovery of Nirmatrelvir Resistance Mutations in SARS-CoV‑2 3CLpro: A Computational-Experimental Approach","title-short":"Discovery of Nirmatrelvir Resistance Mutations in SARS-CoV‑2 3CLpro","volume":"63","author":[{"family":"Havranek","given":"Brandon"},{"family":"Demissie","given":"Robel"},{"family":"Lee","given":"Hyun"},{"family":"Lan","given":"Shuiyun"},{"family":"Zhang","given":"Huanchun"},{"family":"Sarafianos","given":"Stefanos"},{"family":"Ayitou","given":"Anoklase Jean-Luc"},{"family":"Islam","given":"Shahidul M."}],"issued":{"date-parts":[["2023",11,10]]}}}],"schema":"https://github.com/citation-style-language/schema/raw/master/csl-citation.json"} </w:instrText>
      </w:r>
      <w:r>
        <w:fldChar w:fldCharType="separate"/>
      </w:r>
      <w:r w:rsidR="00CC484F" w:rsidRPr="00CC484F">
        <w:rPr>
          <w:rFonts w:cs="Mangal"/>
          <w:szCs w:val="24"/>
          <w:vertAlign w:val="superscript"/>
          <w:lang w:bidi="hi-IN"/>
        </w:rPr>
        <w:t>63–65</w:t>
      </w:r>
      <w:r>
        <w:fldChar w:fldCharType="end"/>
      </w:r>
      <w:r>
        <w:t xml:space="preserve"> including HIV,</w:t>
      </w:r>
      <w:r>
        <w:fldChar w:fldCharType="begin"/>
      </w:r>
      <w:r w:rsidR="00CC484F">
        <w:instrText xml:space="preserve"> ADDIN ZOTERO_ITEM CSL_CITATION {"citationID":"FwFMZHUY","properties":{"unsorted":true,"formattedCitation":"\\super 26,66\\uc0\\u8211{}70\\nosupersub{}","plainCitation":"26,66</w:instrText>
      </w:r>
      <w:r w:rsidR="00CC484F">
        <w:rPr>
          <w:rFonts w:hint="eastAsia"/>
        </w:rPr>
        <w:instrText>–</w:instrText>
      </w:r>
      <w:r w:rsidR="00CC484F">
        <w:instrText>70","noteIndex":0},"citationItems":[{"id":318,"uris":["http://zotero.org/users/19404620/items/Z3JHCUEJ"],"itemData":{"id":318,"type":"article-journal","abstract":"The effect of the K103N mutation of HIV-1 reverse transcriptase (RT) on the activity of efavirenz\nanalogues was studied via Monte Carlo/free energy perturbation calculations. The relative fold\nresistance energies indicate that efavirenz binds to K103N RT in a manner similar to the wild-type enzyme. The improved performance of the quinazolinones against the mutant enzyme is\nattributed to formation of a more optimal hydrogen-bonding network with bridging water\nmolecules between the ligands and Glu138.","container-title":"Journal of Medicinal Chemistry","DOI":"10.1021/jm0303507","ISSN":"0022-2623","issue":"9","journalAbbreviation":"J. Med. Chem.","page":"2389-2392","source":"Silverchair","title":"Structural and Energetic Analyses of the Effects of the K103N Mutation of HIV-1 Reverse Transcriptase on Efavirenz Analogues","volume":"47","author":[{"family":"Udier-Blagovi</w:instrText>
      </w:r>
      <w:r w:rsidR="00CC484F">
        <w:rPr>
          <w:rFonts w:hint="eastAsia"/>
        </w:rPr>
        <w:instrText>ć</w:instrText>
      </w:r>
      <w:r w:rsidR="00CC484F">
        <w:instrText xml:space="preserve">","given":"Marina"},{"family":"Tirado-Rives","given":"Julian"},{"family":"Jorgensen","given":"William L."}],"issued":{"date-parts":[["2004",3,20]]}}},{"id":267,"uris":["http://zotero.org/users/19404620/items/FLDCEDH2"],"itemData":{"id":267,"type":"article-journal","abstract":"Darunavir (DRV) is a high affinity (4.5 </w:instrText>
      </w:r>
      <w:r w:rsidR="00CC484F">
        <w:rPr>
          <w:rFonts w:hint="eastAsia"/>
        </w:rPr>
        <w:instrText>×</w:instrText>
      </w:r>
      <w:r w:rsidR="00CC484F">
        <w:instrText xml:space="preserve"> 10−12 M, </w:instrText>
      </w:r>
      <w:r w:rsidR="00CC484F">
        <w:rPr>
          <w:rFonts w:hint="eastAsia"/>
        </w:rPr>
        <w:instrText>Δ</w:instrText>
      </w:r>
      <w:r w:rsidR="00CC484F">
        <w:instrText>G = −15.2 kcal/mol) HIV-1 protease inhibitor. Two drug-resistant protease variants FLAP+ (L10I, G48V, I54V, V82A) and ACT (V82T, I84V) decrease the binding affinity with DRV by 1.0 and 1.6 kcal/mol, respectively. In this study, the absolute and relative binding free energies of DRV with wild-type protease, FLAP+, and ACT were calculated with MM-PB/GBSA and thermodynamic integration methods, respectively. Free energy decomposition elucidated that the mutations conferred resistance by distorting the active site of HIV-1 protease so that the residues that lost binding free energy were not limited to the sites of mutation. Specifically the bis-tetrahydrofuranylurethane moiety of DRV maintained interactions with the FLAP+ and ACT variants, whereas the 4-amino phenyl group lost more binding free energy with the protease in the FLAP+ and ACT complexes than in the wild-type protease, which could account for the majority of the loss in binding free energy. This suggested that replacement of the 4-amino phenyl group might generate new inhibitors less susceptible to the drug resistant mutations.","container-title":"Journal of Chemical Theory and Computation","DOI":"10.1021/ct9004678","ISSN":"1549-9618","issue":"4","journalAbbreviation":"J. Chem. Theory Comput.","page":"1358-1368","source":"Silverchair","title":"Decomposing the Energetic Impact of Drug Resistant Mutations in HIV-1 Protease on Binding DRV","volume":"6","author":[{"family":"Cai","given":"Yufeng"},{"family":"Schiffer","given":"Celia A."}],"issued":{"date-parts":[["2010",3,4]]}}},{"id":327,"uris":["http://zotero.org/users/19404620/items/WP7NF3PU"],"itemData":{"id":327,"type":"article-journal","abstract":"Despite\na large number of antiretroviral drugs targeting HIV-1 protease for\ninhibition, mutations in this protein during the course of patient\ntreatment can render them inefficient. This emerging resistance inspired\nnumerous computational studies of the HIV-1 protease aimed at predicting\nthe effect of mutations on drug binding in terms of free binding energy\n</w:instrText>
      </w:r>
      <w:r w:rsidR="00CC484F">
        <w:rPr>
          <w:rFonts w:hint="eastAsia"/>
        </w:rPr>
        <w:instrText>Δ</w:instrText>
      </w:r>
      <w:r w:rsidR="00CC484F">
        <w:instrText>G, as well as in mechanistic terms. In this\nstudy, we analyze ten different protease-inhibitor complexes carrying\nmajor resistance-associated mutations (RAMs) G48V, I50V, and L90M\nusing molecular dynamics simulations. We demonstrate that alchemical\nfree energy calculations can consistently predict the effect of mutations\non drug binding. By explicitly probing different protonation states\nof the catalytic aspartic dyad, we reveal the importance of the correct\nchoice of protonation state for the accuracy of the result. We also\nprovide insight into how different mutations affect drug binding in\ntheir specific ways, with the unifying theme of how all of them affect\nthe crucial drug binding regions of the protease.","container-title":"Journal of Chemical Theory and Computation","DOI":"10.1021/acs.jctc.7b01109","ISSN":"1549-9618","issue":"7","journalAbbreviation":"J. Chem. Theory Comput.","page":"3397-3408","source":"Silverchair","title":"Consistent Prediction of Mutation Effect on Drug Binding in HIV‑1 Protease Using Alchemical Calculations","volume":"14","author":[{"family":"Bastys","given":"Tomas"},{"family":"Gapsys","given":"Vytautas"},{"family":"Doncheva","given":"Nadezhda T."},{"family":"Kaiser","given":"Rolf"},{"family":"Groot","given":"Bert L.","non-dropping-particle":"de"},{"family":"Kalinina","given":"Olga V."}],"issued":{"date-parts":[["2018",5,30]]}}},{"id":329,"uris":["http://zotero.org/users/19404620/items/775UP9TG"],"itemData":{"id":329,"type":"article-journal","abstract":"HIV-1 can develop resistance to antiretroviral drugs, mainly through mutations within the target regions of the drugs. In HIV-1 protease, a majority of resistance-associated mutations that develop in response to therapy with protease inhibitors are found in the protease</w:instrText>
      </w:r>
      <w:r w:rsidR="00CC484F">
        <w:rPr>
          <w:rFonts w:hint="eastAsia"/>
        </w:rPr>
        <w:instrText>’</w:instrText>
      </w:r>
      <w:r w:rsidR="00CC484F">
        <w:instrText>s active site that serves also as a binding pocket for the protease inhibitors, thus directly impacting the protease-inhibitor interactions. Some resistance-associated mutations, however, are found in more distant regions, and the exact mechanisms how these mutations affect protease-inhibitor interactions are unclear. Furthermore, some of these mutations, e.g. N88S and L76V, do not only induce resistance to the currently administered drugs, but contrarily induce sensitivity towards other drugs. In this study, mutations N88S and L76V, along with three other resistance-associated mutations, M46I, I50L, and I84V, are analysed by means of molecular dynamics simulations to investigate their role in complexes of the protease with different inhibitors and in different background sequence contexts.","container-title":"Retrovirology","DOI":"10.1186/s12977-020-00520-6","ISSN":"1742-4690","issue":"1","journalAbbreviation":"Retrovirology","language":"en","page":"13","source":"Springer Link","title":"Non-active site mutants of HIV-1 protease influence resistance and sensitisation towards protease inhibitors","volume":"17","author":[{"family":"Bastys","given":"Tomas"},{"family":"Gapsys","given":"Vytautas"},{"family":"Walter","given":"Hauke"},{"family":"Heger","given":"Eva"},{"family":"Doncheva","given":"Nadezhda T."},{"family":"Kaiser","given":"Rolf"},{"family":"Groot","given":"Bert L.","non-dropping-particle":"de"},{"family":"Kalinina","given":"Olga V."}],"issued":{"date-parts":[["2020",5,19]]}}},{"id":270,"uris":["http://zotero.org/users/19404620/items/P7V7XDZF"],"itemData":{"id":270,"type":"article-journal","abstract":"While drug resistance mutations can often be attributed to the loss of direct or solvent-mediated protein−ligand interactions in the drug-mutant complex, in this study we show that a resistance mutation for the picomolar HIV-1 capsid (CA)-targeting antiviral (GS-6207) is mainly due to the free energy cost of the drug-induced protein side chain reorganization in the mutant protein. Among several mutations, M66I causes the most suppression of the GS-6207 antiviral activity (up to ~84,000-fold), and only 83- and 68-fold reductions for PF74 and ZW-1261, respectively. To understand the molecular basis of this drug resistance, we conducted molecular dynamics free energy simulations to study the structures, energetics, and conformational free energy landscapes involved in the inhibitors binding at the interface of two CA monomers. To minimize the protein−ligand steric clash, the I66 side chain in the M66I−GS-6207 complex switches to a higher free energy conformation from the one adopted in the apo M66I. In contrast, the binding of GS-6207 to the wild-type CA does not lead to any significant M66 conformational change. Based on an analysis that decomposes the absolute binding free energy into contributions from two receptor conformational states, it appears that it is the free energy cost of side chain reorganization rather than the reduced protein−ligand interaction that is largely responsible for the drug resistance against GS-6207.","container-title":"Viruses","DOI":"10.3390/v13050920","ISSN":"1999-4915","issue":"5","language":"en","license":"http://creativecommons.org/licenses/by/3.0/","page":"920","publisher":"Multidisciplinary Digital Publishing Institute","source":"www.mdpi.com","title":"Molecular Dynamics Free Energy Simulations Reveal the Mechanism for the Antiviral Resistance of the M66I HIV-1 Capsid Mutation","volume":"13","author":[{"family":"Sun","given":"Qinfang"},{"family":"Levy","given":"Ronald M."},{"family":"Kirby","given":"Karen A."},{"family":"Wang","given":"Zhengqiang"},{"family":"Sarafianos","given":"Stefan G."},{"family":"Deng","given":"Nanjie"}],"issued":{"date-parts":[["2021",5]]}}},{"id":331,"uris":["http://zotero.org/users/19404620/items/ACB8G8WJ"],"itemData":{"id":331,"type":"article-journal","abstract":"HIV-1 infection depends on the integration of viral DNA into host chromatin. Integration is mediated by the viral enzyme integrase and is blocked by integrase strand transfer inhibitors (INSTIs), first-line antiretroviral therapeutics widely used in the clinic. Resistance to even the best INSTIs is a problem, and the mechanisms of resistance are poorly understood. Here, we analyze combinations of the mutations E138K, G140A/S, and Q148H/K/R, which confer resistance to INSTIs. The investigational drug 4d more effectively inhibited the mutants compared with the approved drug Dolutegravir (DTG). We present 11 new cryo-EM structures of drug-resistant HIV-1 intasomes bound to DTG or 4d, with better than 3-</w:instrText>
      </w:r>
      <w:r w:rsidR="00CC484F">
        <w:rPr>
          <w:rFonts w:hint="eastAsia"/>
        </w:rPr>
        <w:instrText>Å</w:instrText>
      </w:r>
      <w:r w:rsidR="00CC484F">
        <w:instrText xml:space="preserve"> resolution. These structures, complemented with free energy simulations, virology, and enzymology, explain the mechanisms of DTG resistance involving E138K + G140A/S + Q148H/K/R and show why 4d maintains potency better than DTG. These data establish a foundation for further development of INSTIs that potently inhibit resistant forms in integrase.","container-title":"Science Advances","DOI":"10.1126/sciadv.adg5953","issue":"29","page":"eadg5953","publisher":"American Association for the Advancement of Science","source":"science.org (Atypon)","title":"Mechanisms of HIV-1 integrase resistance to dolutegravir and potent inhibition of drug-resistant variants","volume":"9","author":[{"family":"Li","given":"Min"},{"family":"Oliveira Passos","given":"Dario"},{"family":"Shan","given":"Zelin"},{"family":"Smith","given":"Steven J."},{"family":"Sun","given":"Qinfang"},{"family":"Biswas","given":"Avik"},{"family":"Choudhuri","given":"Indrani"},{"family":"Strutzenberg","given":"Timothy S."},{"family":"Haldane","given":"Allan"},{"family":"Deng","given":"Nanjie"},{"family":"Li","given":"Zhaoyang"},{"family":"Zhao","given":"Xue Zhi"},{"family":"Briganti","given":"Lorenzo"},{"family":"Kvaratskhelia","given":"Mamuka"},{"family":"Burke","given":"Terrence R."},{"family":"Levy","given":"Ronald M."},{"family":"Hughes","given":"Stephen H."},{"family":"Craigie","given":"Robert"},{"family":"Lyumkis","given":"Dmitry"}],"issued":{"date-parts":[["2023",7,21]]}}}],"schema":"https://github.com/citation-style-language/schema/raw/master/csl-citation.json"} </w:instrText>
      </w:r>
      <w:r>
        <w:fldChar w:fldCharType="separate"/>
      </w:r>
      <w:r w:rsidR="00CC484F" w:rsidRPr="00CC484F">
        <w:rPr>
          <w:rFonts w:cs="Mangal"/>
          <w:szCs w:val="24"/>
          <w:vertAlign w:val="superscript"/>
          <w:lang w:bidi="hi-IN"/>
        </w:rPr>
        <w:t>26,66–70</w:t>
      </w:r>
      <w:r>
        <w:fldChar w:fldCharType="end"/>
      </w:r>
      <w:r>
        <w:t xml:space="preserve"> and cancer.</w:t>
      </w:r>
      <w:r>
        <w:fldChar w:fldCharType="begin"/>
      </w:r>
      <w:r w:rsidR="00CC484F">
        <w:instrText xml:space="preserve"> ADDIN ZOTERO_ITEM CSL_CITATION {"citationID":"7z8cciZU","properties":{"unsorted":false,"formattedCitation":"\\super 71,72\\nosupersub{}","plainCitation":"71,72","noteIndex":0},"citationItems":[{"id":260,"uris":["http://zotero.org/users/19404620/items/6VJGNZIE"],"itemData":{"id":260,"type":"article-journal","abstract":"The therapeutic effect of targeted kinase inhibitors can be significantly reduced by intrinsic or acquired resistance mutations that modulate the affinity of the drug for the kinase. In cancer, the majority of missense mutations are rare, making it difficult to predict their impact on inhibitor affinity. We examine the potential for alchemical free-energy calculations to predict how kinase mutations modulate inhibitor affinities to Abl, a major target in chronic myelogenous leukemia (CML). These calculations have useful accuracy in predicting resistance for eight FDA-approved kinase inhibitors across 144 clinically identified point mutations, with a root mean square error in binding free-energy changes of $$1.1_{0.9}^{1.3}$$kcal mol−1 (95% confidence interval) and correctly classifying mutations as resistant or susceptible with $$88_{82}^{93}$$% accuracy. This benchmark establishes the potential for physical modeling to collaboratively support the assessment and anticipation of patient mutations to affect drug potency in clinical applications.","container-title":"Communications Biology","DOI":"10.1038/s42003-018-0075-x","ISSN":"2399-3642","issue":"1","journalAbbreviation":"Commun Biol","language":"en","license":"2018 The Author(s)","page":"70","publisher":"Nature Publishing Group","source":"www.nature.com","title":"Predicting resistance of clinical Abl mutations to targeted kinase inhibitors using alchemical free-energy calculations","volume":"1","author":[{"family":"Hauser","given":"Kevin"},{"family":"Negron","given":"Christopher"},{"family":"Albanese","given":"Steven K."},{"family":"Ray","given":"Soumya"},{"family":"Steinbrecher","given":"Thomas"},{"family":"Abel","given":"Robert"},{"family":"Chodera","given":"John D."},{"family":"Wang","given":"Lingle"}],"issued":{"date-parts":[["2018",6,13]]}}},{"id":264,"uris":["http://zotero.org/users/19404620/items/Y9HA6Y4U"],"itemData":{"id":264,"type":"article-journal","abstract":"Drug resistance is a critical challenge\nin treating diseases\nlike\ncancer and infectious disease. This study presents a novel computational workflow for predicting on-target resistance mutations to small molecule inhibitors (SMIs). The approach integrates genetic models with alchemical free energy perturbation (FEP+) calculations to identify likely resistance mutations. Specifically, a genetic model, RECODE, leverages cancer-specific mutation patterns to prioritize probable amino acid changes. Physics-based calculations assess the impact of these mutations on protein stability, endogenous substrate binding, and inhibitor binding. We apply this approach retrospectively to gefitinib and osimertinib, two clinical epidermal growth factor receptor (EGFR) inhibitors used to treat nonsmall cell lung cancer (NSCLC). Among hundreds of possible mutations, the pipeline accurately predicted 4 out of 11 and 7 out of 19 known binding site mutations for gefitinib and osimertinib, respectively, including the clinically relevant T790M and C797S resistance mutations. This study demonstrates the potential of integrating genetic models and physics-based calculations to predict SMI resistance mutations. This approach can be applied to other kinases and target classes, potentially enabling the design of next-generation inhibitors with improved durability of response in patients.","container-title":"Journal of Chemical Information and Modeling","DOI":"10.1021/acs.jcim.4c02313","ISSN":"1549-9596","issue":"5","journalAbbreviation":"J. Chem. Inf. Model.","page":"2543-2557","source":"Silverchair","title":"Predicting Resistance to Small Molecule Kinase Inhibitors","volume":"65","author":[{"family":"Nagarajan","given":"Anu"},{"family":"Amberg-Johnson","given":"Katherine"},{"family":"Paull","given":"Evan"},{"family":"Huang","given":"Kunling"},{"family":"Ghanakota","given":"Phani"},{"family":"Chandrasinghe","given":"Asela"},{"family":"Chief Elk","given":"Jackson"},{"family":"Sampson","given":"Jared M."},{"family":"Wang","given":"Lingle"},{"family":"Abel","given":"Robert"},{"family":"Albanese","given":"Steven K."}],"issued":{"date-parts":[["2025",2,20]]}}}],"schema":"https://github.com/citation-style-language/schema/raw/master/csl-citation.json"} </w:instrText>
      </w:r>
      <w:r>
        <w:fldChar w:fldCharType="separate"/>
      </w:r>
      <w:r w:rsidR="00CC484F" w:rsidRPr="00CC484F">
        <w:rPr>
          <w:rFonts w:cs="Mangal"/>
          <w:szCs w:val="24"/>
          <w:vertAlign w:val="superscript"/>
          <w:lang w:bidi="hi-IN"/>
        </w:rPr>
        <w:t>71,72</w:t>
      </w:r>
      <w:r>
        <w:fldChar w:fldCharType="end"/>
      </w:r>
      <w:r>
        <w:t xml:space="preserve"> For transparency and reproducibility, we used open source alternatives to the more widely-used, commercial FEP workflows.</w:t>
      </w:r>
      <w:r>
        <w:fldChar w:fldCharType="begin"/>
      </w:r>
      <w:r w:rsidR="00CC484F">
        <w:instrText xml:space="preserve"> ADDIN ZOTERO_ITEM CSL_CITATION {"citationID":"9NrNcyuP","properties":{"unsorted":true,"formattedCitation":"\\super 73,74\\nosupersub{}","plainCitation":"73,74","noteIndex":0},"citationItems":[{"id":333,"uris":["http://zotero.org/users/19404620/items/88HGJU5N"],"itemData":{"id":333,"type":"article-journal","abstract":"Designing\ntight-binding ligands is a primary objective of small-molecule\ndrug discovery. Over the past few decades, free-energy calculations have benefited from improved force fields and sampling algorithms, as well as the advent of low-cost parallel computing. However, it has proven to be challenging to reliably achieve the level of accuracy that would be needed to guide lead optimization (</w:instrText>
      </w:r>
      <w:r w:rsidR="00CC484F">
        <w:rPr>
          <w:rFonts w:ascii="Cambria Math" w:hAnsi="Cambria Math" w:cs="Cambria Math"/>
        </w:rPr>
        <w:instrText>∼</w:instrText>
      </w:r>
      <w:r w:rsidR="00CC484F">
        <w:instrText>5</w:instrText>
      </w:r>
      <w:r w:rsidR="00CC484F">
        <w:rPr>
          <w:rFonts w:hint="eastAsia"/>
        </w:rPr>
        <w:instrText>×</w:instrText>
      </w:r>
      <w:r w:rsidR="00CC484F">
        <w:instrText xml:space="preserve"> in\nbinding affinity) for a wide range of ligands and protein targets. Not surprisingly, widespread commercial application of free-energy simulations has been limited due to the lack of large-scale validation coupled with the technical challenges traditionally associated with running these types of calculations. Here, we report an approach that achieves an unprecedented level of accuracy across a broad range of target classes and ligands, with retrospective results encompassing 200 ligands and a wide variety of chemical perturbations, many of which involve significant changes in ligand chemical structures. In addition, we have applied the method in prospective drug discovery projects and found a significant improvement in the quality of the compounds synthesized that have been predicted to be potent. Compounds predicted to be potent by this approach have a substantial reduction in false positives relative to compounds synthesized on the basis of other computational or medicinal chemistry approaches. Furthermore, the results are consistent with those obtained from our retrospective studies, demonstrating the robustness and broad range of applicability of this approach, which can be used to drive decisions in lead optimization.","container-title":"Journal of the American Chemical Society","DOI":"10.1021/ja512751q","ISSN":"0002-7863","issue":"7","journalAbbreviation":"Journal American Chemical Society","page":"2695-2703","source":"Silverchair","title":"Accurate and Reliable Prediction of Relative Ligand Binding Potency in Prospective Drug Discovery by Way of a Modern Free-Energy Calculation Protocol and Force Field","volume":"137","author":[{"family":"Wang","given":"Lingle"},{"family":"Wu","given":"Yujie"},{"family":"Deng","given":"Yuqing"},{"family":"Kim","given":"Byungchan"},{"family":"Pierce","given":"Levi"},{"family":"Krilov","given":"Goran"},{"family":"Lupyan","given":"Dmitry"},{"family":"Robinson","given":"Shaughnessy"},{"family":"Dahlgren","given":"Markus K."},{"family":"Greenwood","given":"Jeremy"},{"family":"Romero","given":"Donna L."},{"family":"Masse","given":"Craig"},{"family":"Knight","given":"Jennifer L."},{"family":"Steinbrecher","given":"Thomas"},{"family":"Beuming","given":"Thijs"},{"family":"Damm","given":"Wolfgang"},{"family":"Harder","given":"Ed"},{"family":"Sherman","given":"Woody"},{"family":"Brewer","given":"Mark"},{"family":"Wester","given":"Ron"},{"family":"Murcko","given":"Mark"},{"family":"Frye","given":"Leah"},{"family":"Farid","given":"Ramy"},{"family":"Lin","given":"Teng"},{"family":"Mobley","given":"David L."},{"family":"Jorgensen","given":"William L."},{"family":"Berne","given":"Bruce J."},{"family":"Friesner","given":"Richard A."},{"family":"Abel","given":"Robert"}],"issued":{"date-parts":[["2015",1,27]]}}},{"id":336,"uris":["http://zotero.org/users/19404620/items/26EFTDXH"],"itemData":{"id":336,"type":"article-journal","abstract":"Accurate\nranking of compounds with regards to their binding affinity\nto a protein using computational methods is of great interest to pharmaceutical research. Physics-based free energy calculations are regarded as the most rigorous way to estimate binding affinity. In recent years, many retrospective studies carried out both in academia and industry have\ndemonstrated its potential. Here, we present the results of large-scale prospective application of the FEP+ method in active drug\ndiscovery projects in an industry setting at Merck KGaA, Darmstadt,\nGermany. We compare these prospective data to results obtained on\na new diverse, public benchmark of eight pharmaceutically relevant\ntargets. Our results offer insights into the challenges faced when\nusing free energy calculations in real-life drug discovery projects\nand identify limitations that could be tackled by future method development.\nThe new public data set we provide to the community can support further\nmethod development and comparative benchmarking of free energy calculations.","container-title":"Journal of Chemical Information and Modeling","DOI":"10.1021/acs.jcim.0c00900","ISSN":"1549-9596","issue":"11","journalAbbreviation":"J. Chem. Inf. Model.","page":"5457-5474","source":"Silverchair","title":"Large-Scale Assessment of Binding Free Energy Calculations in Active Drug Discovery Projects","volume":"60","author":[{"family":"Schindler","given":"Christina E. M."},{"family":"Baumann","given":"Hannah"},{"family":"Blum","given":"Andreas"},{"family":"B</w:instrText>
      </w:r>
      <w:r w:rsidR="00CC484F">
        <w:rPr>
          <w:rFonts w:hint="eastAsia"/>
        </w:rPr>
        <w:instrText>ö</w:instrText>
      </w:r>
      <w:r w:rsidR="00CC484F">
        <w:instrText>se","given":"Dietrich"},{"family":"Buchstaller","given":"Hans-Peter"},{"family":"Burgdorf","given":"Lars"},{"family":"Cappel","given":"Daniel"},{"family":"Chekler","given":"Eugene"},{"family":"Czodrowski","given":"Paul"},{"family":"Dorsch","given":"Dieter"},{"family":"Eguida","given":"Merveille K. I."},{"family":"Follows","given":"Bruce"},{"family":"Fuch</w:instrText>
      </w:r>
      <w:r w:rsidR="00CC484F">
        <w:rPr>
          <w:rFonts w:hint="eastAsia"/>
        </w:rPr>
        <w:instrText>ß</w:instrText>
      </w:r>
      <w:r w:rsidR="00CC484F">
        <w:instrText>","given":"Thomas"},{"family":"Gr</w:instrText>
      </w:r>
      <w:r w:rsidR="00CC484F">
        <w:rPr>
          <w:rFonts w:hint="eastAsia"/>
        </w:rPr>
        <w:instrText>ä</w:instrText>
      </w:r>
      <w:r w:rsidR="00CC484F">
        <w:instrText xml:space="preserve">dler","given":"Ulrich"},{"family":"Gunera","given":"Jakub"},{"family":"Johnson","given":"Theresa"},{"family":"Jorand Lebrun","given":"Catherine"},{"family":"Karra","given":"Srinivasa"},{"family":"Klein","given":"Markus"},{"family":"Knehans","given":"Tim"},{"family":"Koetzner","given":"Lisa"},{"family":"Krier","given":"Mireille"},{"family":"Leiendecker","given":"Matthias"},{"family":"Leuthner","given":"Birgitta"},{"family":"Li","given":"Liwei"},{"family":"Mochalkin","given":"Igor"},{"family":"Musil","given":"Djordje"},{"family":"Neagu","given":"Constantin"},{"family":"Rippmann","given":"Friedrich"},{"family":"Schiemann","given":"Kai"},{"family":"Schulz","given":"Robert"},{"family":"Steinbrecher","given":"Thomas"},{"family":"Tanzer","given":"Eva-Maria"},{"family":"Unzue Lopez","given":"Andrea"},{"family":"Viacava Follis","given":"Ariele"},{"family":"Wegener","given":"Ansgar"},{"family":"Kuhn","given":"Daniel"}],"issued":{"date-parts":[["2020",8,19]]}}}],"schema":"https://github.com/citation-style-language/schema/raw/master/csl-citation.json"} </w:instrText>
      </w:r>
      <w:r>
        <w:fldChar w:fldCharType="separate"/>
      </w:r>
      <w:r w:rsidR="00CC484F" w:rsidRPr="00CC484F">
        <w:rPr>
          <w:rFonts w:cs="Mangal"/>
          <w:szCs w:val="24"/>
          <w:vertAlign w:val="superscript"/>
          <w:lang w:bidi="hi-IN"/>
        </w:rPr>
        <w:t>73,74</w:t>
      </w:r>
      <w:r>
        <w:fldChar w:fldCharType="end"/>
      </w:r>
    </w:p>
    <w:p w14:paraId="60477C5D" w14:textId="77777777" w:rsidR="000E355B" w:rsidRPr="00E536AD" w:rsidRDefault="0045260D" w:rsidP="00991496">
      <w:pPr>
        <w:pStyle w:val="TAMainText"/>
        <w:spacing w:after="240"/>
        <w:rPr>
          <w:rFonts w:ascii="Times New Roman" w:hAnsi="Times New Roman"/>
        </w:rPr>
      </w:pPr>
      <w:r>
        <w:t>We found that the relative binding free energy, ∆∆</w:t>
      </w:r>
      <w:proofErr w:type="spellStart"/>
      <w:r>
        <w:t>G</w:t>
      </w:r>
      <w:r>
        <w:rPr>
          <w:vertAlign w:val="subscript"/>
        </w:rPr>
        <w:t>bind</w:t>
      </w:r>
      <w:proofErr w:type="spellEnd"/>
      <w:r>
        <w:t xml:space="preserve">, obtained from the FEP simulations correctly predicted low impact on RT-DOR binding affinity for 3 out of 4 </w:t>
      </w:r>
      <w:r>
        <w:rPr>
          <w:i/>
          <w:iCs/>
        </w:rPr>
        <w:t>Susceptible</w:t>
      </w:r>
      <w:r>
        <w:t xml:space="preserve"> mutations and, conversely, high impact on the RT-DOR binding affinity for 7 out of 9 </w:t>
      </w:r>
      <w:r>
        <w:rPr>
          <w:i/>
          <w:iCs/>
        </w:rPr>
        <w:t xml:space="preserve">Resistant </w:t>
      </w:r>
      <w:r>
        <w:t xml:space="preserve">mutations. Notably, the three </w:t>
      </w:r>
      <w:r>
        <w:rPr>
          <w:i/>
          <w:iCs/>
        </w:rPr>
        <w:t>Susceptible</w:t>
      </w:r>
      <w:r>
        <w:t xml:space="preserve"> mutations that the calculations got right, K103N (0.54 ± 0.23 kcal/mol), Y181C (-0.66 ± 1.06 kcal/mol) and G190A (0.27 ± 0.17 kcal/mol), are the canonical NNRTI resistance mutations against which DOR was designed to have high efficacy. However, as opposed to other second-generation NNRTIs, e.g. ETR and RPV, our simulations suggest DOR may evade resistance to these genotypes using mechanisms other than positional and conformational flexibility.</w:t>
      </w:r>
    </w:p>
    <w:p w14:paraId="317AEF1A" w14:textId="77777777" w:rsidR="003C49AE" w:rsidRDefault="003C49AE" w:rsidP="00991496">
      <w:pPr>
        <w:pStyle w:val="TAMainText"/>
        <w:spacing w:after="240"/>
      </w:pPr>
      <w:bookmarkStart w:id="2" w:name="_Hlk239096334"/>
      <w:r>
        <w:t>K103N confers resistance by stabilizing the closed, unliganded form of the NNIBP and thereby slows inhibitor entry,</w:t>
      </w:r>
      <w:r>
        <w:fldChar w:fldCharType="begin"/>
      </w:r>
      <w:r>
        <w:instrText xml:space="preserve"> ADDIN ZOTERO_ITEM CSL_CITATION {"citationID":"X5Z071le","properties":{"unsorted":false,"formattedCitation":"\\super 9\\nosupersub{}","plainCitation":"9","noteIndex":0},"citationItems":[{"id":92,"uris":["http://zotero.org/users/19404620/items/W528QLF7"],"itemData":{"id":92,"type":"article-journal","abstract":"Inhibitors of human immunodeficiency virus (HIV) reverse transcriptase (RT) are widely used in the treatment of HIV infection. Loviride (an α-APA derivative) and HBY 097 (a quinoxaline derivative) are two potent non-nucleoside RT inhibitors (NNRTIs) that have been used in human clinical trials. A major problem for existing anti-retroviral therapy is the emergence of drug-resistant mutants with reduced susceptibility to the inhibitors. Amino acid residue 103 in the p66 subunit of HIV-1 RT is located near a putative entrance to a hydrophobic pocket that binds NNRTIs. Substitution of asparagine for lysine at position 103 of HIV-1 RT is associated with the development of resistance to NNRTIs; this mutation contributes to clinical failure of treatments employing NNRTIs. We have determined the structures of the unliganded form of the Lys103Asn mutant HIV-1 RT and in complexes with loviride and HBY 097. The structures of wild-type and Lys103Asn mutant HIV-1 RT in complexes with NNRTIs are quite similar overall as well as in the vicinity of the bound NNRTIs. Comparison of unliganded wild-type and Lys103Asn mutant HIV-1 RT structures reveals a network of hydrogen bonds in the Lys103Asn mutant that is not present in the wild-type enzyme. Hydrogen bonds in the unliganded Lys103Asn mutant but not in wild-type HIV-1 RT are observed between (1) the side-chains of Asn103 and Tyr188 and (2) well-ordered water molecules in the pocket and nearby pocket residues. The structural differences between unliganded wild-type and Lys103Asn mutant HIV-1 RT may correspond to stabilization of the closed-pocket form of the enzyme, which could interfere with the ability of inhibitors to bind to the enzyme. These results are consistent with kinetic data indicating that NNRTIs bind more slowly to Lys103Asn mutant than to wild-type HIV-1 RT. This novel drug-resistance mechanism explains the broad cross-resistance of Lys103Asn mutant HIV-1 RT to different classes of NNRTIs. Design of NNRTIs that make favorable interactions with the Asn103 side-chain should be relatively effective against the Lys103Asn drug-resistant mutant.","container-title":"Journal of Molecular Biology","DOI":"10.1006/jmbi.2001.4648","ISSN":"0022-2836","issue":"2","journalAbbreviation":"Journal of Molecular Biology","page":"437-445","source":"ScienceDirect","title":"The Lys103Asn mutation of HIV-1 RT: a novel mechanism of drug resistance","title-short":"The Lys103Asn mutation of HIV-1 RT","volume":"309","author":[{"family":"Hsiou","given":"Yu"},{"family":"Ding","given":"Jianping"},{"family":"Das","given":"Kalyan"},{"family":"Clark","given":"Arthur D"},{"family":"Boyer","given":"Paul L"},{"family":"Lewi","given":"Paul"},{"family":"Janssen","given":"Paul A. J"},{"family":"Kleim","given":"Jörg-Peter"},{"family":"Rösner","given":"Manfred"},{"family":"Hughes","given":"Stephen H"},{"family":"Arnold","given":"Edward"}],"issued":{"date-parts":[["2001",6,1]]}}}],"schema":"https://github.com/citation-style-language/schema/raw/master/csl-citation.json"} </w:instrText>
      </w:r>
      <w:r>
        <w:fldChar w:fldCharType="separate"/>
      </w:r>
      <w:r>
        <w:rPr>
          <w:vertAlign w:val="superscript"/>
        </w:rPr>
        <w:t>9</w:t>
      </w:r>
      <w:r>
        <w:fldChar w:fldCharType="end"/>
      </w:r>
      <w:r>
        <w:t xml:space="preserve"> and allowing a catalytically productive RT–template/primer–dNTP complex to assemble even with EFV still bound.</w:t>
      </w:r>
      <w:r>
        <w:fldChar w:fldCharType="begin"/>
      </w:r>
      <w:r>
        <w:instrText xml:space="preserve"> ADDIN ZOTERO_ITEM CSL_CITATION {"citationID":"V3h1y1YS","properties":{"unsorted":false,"formattedCitation":"\\super 8\\nosupersub{}","plainCitation":"8","noteIndex":0},"citationItems":[{"id":127,"uris":["http://zotero.org/users/19404620/items/88BXE5MA"],"itemData":{"id":127,"type":"article-journal","abstract":"Non-nucleoside reverse transcriptase (RT) inhibitors (NNRTIs) are routinely used to treat HIV-1 infection, yet their mechanism of action remains unclear despite intensive investigation. In this study, we developed complementary single-molecule fluorescence and ensemble fluorescence anisotropy approaches to discover how NNRTIs modulate the intra-molecular conformational changes and inter-molecular dynamics of RT-template/primer (T/P) and RT–T/P–dNTP complexes. We found that NNRTI binding to RT induces opening of the fingers and thumb subdomains, which increases the dynamic sliding motion of the enzyme on the T/P and reduces dNTP binding affinity. Further, efavirenz promotes formation of the E138-K101 salt bridge between the p51 and p66 subunits of RT, which contributes to opening of the thumb/fingers subdomains. Engineering a more polar salt bridge between p51 and p66 resulted in even greater increases in the thumb/fingers opening, RT sliding, dNTP binding disruption and in vitro and in vivo RT inhibition than were observed with wild-type RT. We also observed that K103N, a clinically relevant NNRTI resistance mutation, does not prevent binding between efavirenz and RT-T/P but instead allows formation of a stable and productive RT–T/P–dNTP complex, possibly through disruption of the E138-K101 salt bridge. Collectively, these data describe unique structure–activity–resistance relationships that could be exploited for drug development.","container-title":"Nucleic Acids Research","DOI":"10.1093/nar/gku819","ISSN":"0305-1048","issue":"18","journalAbbreviation":"Nucleic Acids Res","page":"11687-11696","source":"Silverchair","title":"Mechanism of allosteric inhibition of HIV-1 reverse transcriptase revealed by single-molecule and ensemble fluorescence","volume":"42","author":[{"family":"Schauer","given":"Grant D."},{"family":"Huber","given":"Kelly D."},{"family":"Leuba","given":"Sanford H."},{"family":"Sluis-Cremer","given":"Nicolas"}],"issued":{"date-parts":[["2014",10,13]]}}}],"schema":"https://github.com/citation-style-language/schema/raw/master/csl-citation.json"} </w:instrText>
      </w:r>
      <w:r>
        <w:fldChar w:fldCharType="separate"/>
      </w:r>
      <w:r>
        <w:rPr>
          <w:vertAlign w:val="superscript"/>
        </w:rPr>
        <w:t>8</w:t>
      </w:r>
      <w:r>
        <w:fldChar w:fldCharType="end"/>
      </w:r>
      <w:r>
        <w:t xml:space="preserve"> ETR and RPV counter this mechanism by reorienting and repositioning within an altered pocket, preserving productive contacts, and remaining active against these mutant strains.</w:t>
      </w:r>
      <w:r>
        <w:fldChar w:fldCharType="begin"/>
      </w:r>
      <w:r>
        <w:instrText xml:space="preserve"> ADDIN ZOTERO_ITEM CSL_CITATION {"citationID":"AJTAOZpC","properties":{"unsorted":false,"formattedCitation":"\\super 12,13\\nosupersub{}","plainCitation":"12,13","noteIndex":0},"citationItems":[{"id":51,"uris":["http://zotero.org/users/19404620/items/KKL35H8K"],"itemData":{"id":51,"type":"article-journal","abstract":"Anti-AIDS drug candidate and non-nucleoside reverse transcriptase inhibitor (NNRTI) TMC125-R165335 (etravirine) caused an initial drop in viral load similar to that observed with a five-drug combination in na</w:instrText>
      </w:r>
      <w:r>
        <w:rPr>
          <w:rFonts w:hint="eastAsia"/>
        </w:rPr>
        <w:instrText>ï</w:instrText>
      </w:r>
      <w:r>
        <w:instrText>ve patients and retains potency in patients infected with NNRTI-resistant HIV-1 variants. TMC125-R165335 and related anti-AIDS drug candidates can bind the enzyme RT in multiple conformations and thereby escape the effects of drug-resistance mutations. Structural studies showed that this inhibitor and other diarylpyrimidine (DAPY) analogues can adapt to changes in the NNRTI-binding pocket in several ways:  (1) DAPY analogues can bind in at least two conformationally distinct modes; (2) within a given binding mode, torsional flexibility (</w:instrText>
      </w:r>
      <w:r>
        <w:rPr>
          <w:rFonts w:hint="eastAsia"/>
        </w:rPr>
        <w:instrText>“</w:instrText>
      </w:r>
      <w:r>
        <w:instrText>wiggling</w:instrText>
      </w:r>
      <w:r>
        <w:rPr>
          <w:rFonts w:hint="eastAsia"/>
        </w:rPr>
        <w:instrText>”</w:instrText>
      </w:r>
      <w:r>
        <w:instrText>) of DAPY analogues permits access to numerous conformational variants; and (3) the compact design of the DAPY analogues permits significant repositioning and reorientation (translation and rotation) within the pocket (</w:instrText>
      </w:r>
      <w:r>
        <w:rPr>
          <w:rFonts w:hint="eastAsia"/>
        </w:rPr>
        <w:instrText>“</w:instrText>
      </w:r>
      <w:r>
        <w:instrText>jiggling</w:instrText>
      </w:r>
      <w:r>
        <w:rPr>
          <w:rFonts w:hint="eastAsia"/>
        </w:rPr>
        <w:instrText>”</w:instrText>
      </w:r>
      <w:r>
        <w:instrText>). Such adaptations appear to be critical for potency against wild-type and a wide range of drug-resistant mutant HIV-1 RTs. Exploitation of favorable components of inhibitor conformational flexibility (such as torsional flexibility about strategically located chemical bonds) can be a powerful drug design concept, especially for designing drugs that will be effective against rapidly mutating targets.","container-title":"Journal of Medicinal Chemistry","DOI":"10.1021/jm030558s","ISSN":"0022-2623","issue":"10","journalAbbreviation":"J. Med. Chem.","page":"2550-2560","publisher":"American Chemical Society","source":"ACS Publications","title":"Roles of Conformational and Positional Adaptability in Structure-Based Design of TMC125-R165335 (Etravirine) and Related Non-nucleoside Reverse Transcriptase Inhibitors That Are Highly Potent and Effective against Wild-Type and Drug-Resistant HIV-1 Variants","volume":"47","author":[{"family":"Das","given":"Kalyan"},{"family":"Clark","given":"","suffix":"Arthur D."},{"family":"Lewi","given":"Paul J."},{"family":"Heeres","given":"Jan"},{"family":"Jonge","given":"Marc R.","non-dropping-particle":"de"},{"family":"Koymans","given":"Lucien M. H."},{"family":"Vinkers","given":"H. Maarten"},{"family":"Daeyaert","given":"Frederik"},{"family":"Ludovici","given":"Donald W."},{"family":"Kukla","given":"Michael J."},{"family":"De Corte","given":"Bart"},{"family":"Kavash","given":"Robert W."},{"family":"Ho","given":"Chih Y."},{"family":"Ye","given":"Hong"},{"family":"Lichtenstein","given":"Mark. A."},{"family":"Andries","given":"Koen"},{"family":"Pauwels","given":"Rudi"},{"family":"B</w:instrText>
      </w:r>
      <w:r>
        <w:rPr>
          <w:rFonts w:hint="eastAsia"/>
        </w:rPr>
        <w:instrText>é</w:instrText>
      </w:r>
      <w:r>
        <w:instrText>thune","given":"Marie-Pierre","non-dropping-particle":"de"},{"family":"Boyer","given":"Paul L."},{"family":"Clark","given":"Patrick"},{"family":"Hughes","given":"Stephen H."},{"family":"Janssen","given":"Paul A. J."},{"family":"Arnold","given":"Eddy"}],"issued":{"date-parts":[["2004",5,1]]}}},{"id":129,"uris":["http://zotero.org/users/19404620/items/SLGF6I4Z"],"itemData":{"id":129,"type":"article-journal","abstract":"TMC278 is a diarylpyrimidine (DAPY) nonnucleoside reverse transcriptase inhibitor (NNRTI) that is highly effective in treating wild-type and drug-resistant HIV-1 infections in clinical trials at relatively low doses (</w:instrText>
      </w:r>
      <w:r>
        <w:rPr>
          <w:rFonts w:ascii="Cambria Math" w:hAnsi="Cambria Math" w:cs="Cambria Math"/>
        </w:rPr>
        <w:instrText>∼</w:instrText>
      </w:r>
      <w:r>
        <w:instrText>25</w:instrText>
      </w:r>
      <w:r>
        <w:rPr>
          <w:rFonts w:hint="eastAsia"/>
        </w:rPr>
        <w:instrText>–</w:instrText>
      </w:r>
      <w:r>
        <w:instrText xml:space="preserve">75 mg/day). We have determined the structure of wild-type HIV-1 RT complexed with TMC278 at 1.8 </w:instrText>
      </w:r>
      <w:r>
        <w:rPr>
          <w:rFonts w:hint="eastAsia"/>
        </w:rPr>
        <w:instrText>Å</w:instrText>
      </w:r>
      <w:r>
        <w:instrText xml:space="preserve"> resolution, using an RT crystal form engineered by systematic RT mutagenesis. This high-resolution structure reveals that the cyanovinyl group of TMC278 is positioned in a hydrophobic tunnel connecting the NNRTI-binding pocket to the nucleic acid-binding cleft. The crystal structures of TMC278 in complexes with the double mutant K103N/Y181C (2.1 </w:instrText>
      </w:r>
      <w:r>
        <w:rPr>
          <w:rFonts w:hint="eastAsia"/>
        </w:rPr>
        <w:instrText>Å</w:instrText>
      </w:r>
      <w:r>
        <w:instrText xml:space="preserve">) and L100I/K103N HIV-1 RTs (2.9 </w:instrText>
      </w:r>
      <w:r>
        <w:rPr>
          <w:rFonts w:hint="eastAsia"/>
        </w:rPr>
        <w:instrText>Å</w:instrText>
      </w:r>
      <w:r>
        <w:instrText xml:space="preserve">) demonstrated that TMC278 adapts to bind mutant RTs. In the K103N/Y181C RT/TMC278 structure, loss of the aromatic ring interaction caused by the Y181C mutation is counterbalanced by interactions between the cyanovinyl group of TMC278 and the aromatic side chain of Y183, which is facilitated by an </w:instrText>
      </w:r>
      <w:r>
        <w:rPr>
          <w:rFonts w:ascii="Cambria Math" w:hAnsi="Cambria Math" w:cs="Cambria Math"/>
        </w:rPr>
        <w:instrText>∼</w:instrText>
      </w:r>
      <w:r>
        <w:instrText xml:space="preserve">1.5 </w:instrText>
      </w:r>
      <w:r>
        <w:rPr>
          <w:rFonts w:hint="eastAsia"/>
        </w:rPr>
        <w:instrText>Å</w:instrText>
      </w:r>
      <w:r>
        <w:instrText xml:space="preserve"> shift of the conserved Y183MDD motif. In the L100I/K103N RT/TMC278 structure, the binding mode of TMC278 is significantly altered so that the drug conforms to changes in the binding pocket primarily caused by the L100I mutation. The flexible binding pocket acts as a molecular </w:instrText>
      </w:r>
      <w:r>
        <w:rPr>
          <w:rFonts w:hint="eastAsia"/>
        </w:rPr>
        <w:instrText>“</w:instrText>
      </w:r>
      <w:r>
        <w:instrText>shrink wrap</w:instrText>
      </w:r>
      <w:r>
        <w:rPr>
          <w:rFonts w:hint="eastAsia"/>
        </w:rPr>
        <w:instrText>”</w:instrText>
      </w:r>
      <w:r>
        <w:instrText xml:space="preserve"> that makes a shape complementary to the optimized TMC278 in wild-type and drug-resistant forms of HIV-1 RT. The crystal structures provide a better understanding of how the flexibility of an inhibitor can compensate for drug-resistance mutations.","container-title":"Proceedings of the National Academy of Sciences","DOI":"10.1073/pnas.0711209105","issue":"5","page":"1466-1471","publisher":"Proceedings of the National Academy of Sciences","source":"www-pnas-org.stanford.idm.oclc.org (Atypon)","title":"High-resolution structures of HIV-1 reverse transcriptase/TMC278 complexes: Strategic flexibility explains potency against resistance mutations","title-short":"High-resolution structures of HIV-1 reverse transcriptase/TMC278 complexes","volume":"105","author":[{"family":"Das","given":"Kalyan"},{"family":"Bauman","given":"Joseph D."},{"family":"Clark","given":"Arthur D."},{"family":"Frenkel","given":"Yulia V."},{"family":"Lewi","given":"Paul J."},{"family":"Shatkin","given":"Aaron J."},{"family":"Hughes","given":"Stephen H."},{"family":"Arnold","given":"Eddy"}],"issued":{"date-parts":[["2008",2,5]]}}}],"schema":"https://github.com/citation-style-language/schema/raw/master/csl-citation.json"} </w:instrText>
      </w:r>
      <w:r>
        <w:fldChar w:fldCharType="separate"/>
      </w:r>
      <w:r>
        <w:rPr>
          <w:rFonts w:cs="Mangal"/>
          <w:szCs w:val="24"/>
          <w:vertAlign w:val="superscript"/>
          <w:lang w:bidi="hi-IN"/>
        </w:rPr>
        <w:t>12,13</w:t>
      </w:r>
      <w:r>
        <w:fldChar w:fldCharType="end"/>
      </w:r>
      <w:r>
        <w:t xml:space="preserve"> Our simulations suggest DOR may not rely on positional and conformational flexibility for evading resistance to K103N, since the mainchain H-bond between DOR and residue 103 remains intact in all four K103N-containing genotypes analyzed here (Table 3), consistent with its design intent.</w:t>
      </w:r>
      <w:r>
        <w:fldChar w:fldCharType="begin"/>
      </w:r>
      <w:r>
        <w:instrText xml:space="preserve"> ADDIN ZOTERO_ITEM CSL_CITATION {"citationID":"x5YFQiK4","properties":{"unsorted":false,"formattedCitation":"\\super 14,15\\nosupersub{}","plainCitation":"14,15","noteIndex":0},"citationItems":[{"id":137,"uris":["http://zotero.org/users/19404620/items/RH8X5FM6"],"itemData":{"id":137,"type":"article-journal","abstract":"The optimization of a novel series of non-nucleoside reverse transcriptase inhibitors (NNRTI) led to the identification of pyridone 36. In cell cultures, this new NNRTI shows a superior potency profile against a range of wild type and clinically relevant, resistant mutant HIV viruses. The overall favorable preclinical pharmacokinetic profile of 36 led to the prediction of a once daily low dose regimen in human. NNRTI 36, now known as MK-1439, is currently in clinical development for the treatment of HIV infection.","container-title":"Bioorganic &amp; Medicinal Chemistry Letters","DOI":"10.1016/j.bmcl.2013.12.070","ISSN":"0960-894X","issue":"3","journalAbbreviation":"Bioorganic &amp; Medicinal Chemistry Letters","page":"917-922","source":"ScienceDirect","title":"Discovery of MK-1439, an orally bioavailable non-nucleoside reverse transcriptase inhibitor potent against a wide range of resistant mutant HIV viruses","volume":"24","author":[{"family":"C</w:instrText>
      </w:r>
      <w:r>
        <w:rPr>
          <w:rFonts w:hint="eastAsia"/>
        </w:rPr>
        <w:instrText>ô</w:instrText>
      </w:r>
      <w:r>
        <w:instrText>t</w:instrText>
      </w:r>
      <w:r>
        <w:rPr>
          <w:rFonts w:hint="eastAsia"/>
        </w:rPr>
        <w:instrText>é</w:instrText>
      </w:r>
      <w:r>
        <w:instrText>","given":"Bernard"},{"family":"Burch","given":"Jason D."},{"family":"Asante-Appiah","given":"Ernest"},{"family":"Bayly","given":"Chris"},{"family":"B</w:instrText>
      </w:r>
      <w:r>
        <w:rPr>
          <w:rFonts w:hint="eastAsia"/>
        </w:rPr>
        <w:instrText>é</w:instrText>
      </w:r>
      <w:r>
        <w:instrText>dard","given":"Leanne"},{"family":"Blouin","given":"Marc"},{"family":"Campeau","given":"Louis-Charles"},{"family":"Cauchon","given":"Elizabeth"},{"family":"Chan","given":"Manuel"},{"family":"Chefson","given":"Amandine"},{"family":"Coulombe","given":"Nathalie"},{"family":"Cromlish","given":"Wanda"},{"family":"Debnath","given":"Smita"},{"family":"Desch</w:instrText>
      </w:r>
      <w:r>
        <w:rPr>
          <w:rFonts w:hint="eastAsia"/>
        </w:rPr>
        <w:instrText>ê</w:instrText>
      </w:r>
      <w:r>
        <w:instrText>nes","given":"Denis"},{"family":"Dupont-Gaudet","given":"Kristina"},{"family":"Falgueyret","given":"Jean-Pierre"},{"family":"Forget","given":"Robert"},{"family":"Gagn</w:instrText>
      </w:r>
      <w:r>
        <w:rPr>
          <w:rFonts w:hint="eastAsia"/>
        </w:rPr>
        <w:instrText>é</w:instrText>
      </w:r>
      <w:r>
        <w:instrText>","given":"S</w:instrText>
      </w:r>
      <w:r>
        <w:rPr>
          <w:rFonts w:hint="eastAsia"/>
        </w:rPr>
        <w:instrText>é</w:instrText>
      </w:r>
      <w:r>
        <w:instrText>bastien"},{"family":"Gauvreau","given":"Danny"},{"family":"Girardin","given":"Melina"},{"family":"Guiral","given":"S</w:instrText>
      </w:r>
      <w:r>
        <w:rPr>
          <w:rFonts w:hint="eastAsia"/>
        </w:rPr>
        <w:instrText>é</w:instrText>
      </w:r>
      <w:r>
        <w:instrText>bastien"},{"family":"Langlois","given":"Eric"},{"family":"Li","given":"Chun Sing"},{"family":"Nguyen","given":"Natalie"},{"family":"Papp","given":"Rob"},{"family":"Plamondon","given":"Serge"},{"family":"Roy","given":"Am</w:instrText>
      </w:r>
      <w:r>
        <w:rPr>
          <w:rFonts w:hint="eastAsia"/>
        </w:rPr>
        <w:instrText>é</w:instrText>
      </w:r>
      <w:r>
        <w:instrText>lie"},{"family":"Roy","given":"St</w:instrText>
      </w:r>
      <w:r>
        <w:rPr>
          <w:rFonts w:hint="eastAsia"/>
        </w:rPr>
        <w:instrText>é</w:instrText>
      </w:r>
      <w:r>
        <w:instrText>phanie"},{"family":"Seliniotakis","given":"Ria"},{"family":"St-Onge","given":"Miguel"},{"family":"Ouellet","given":"St</w:instrText>
      </w:r>
      <w:r>
        <w:rPr>
          <w:rFonts w:hint="eastAsia"/>
        </w:rPr>
        <w:instrText>é</w:instrText>
      </w:r>
      <w:r>
        <w:instrText>phane"},{"family":"Tawa","given":"Paul"},{"family":"Truchon","given":"Jean-Fran</w:instrText>
      </w:r>
      <w:r>
        <w:rPr>
          <w:rFonts w:hint="eastAsia"/>
        </w:rPr>
        <w:instrText>ç</w:instrText>
      </w:r>
      <w:r>
        <w:instrText>ois"},{"family":"Vacca","given":"Joe"},{"family":"Wrona","given":"Marc"},{"family":"Yan","given":"Youwei"},{"family":"Ducharme","given":"Yves"}],"issued":{"date-parts":[["2014",2,1]]}}},{"id":109,"uris":["http://zotero.org/users/19404620/items/NZIBLVPF"],"itemData":{"id":109,"type":"article-journal","abstract":"Since the approval of nevirapine, the first HIV-1 non-nucleoside reverse transcriptase inhibitor (NNRTI) in 1996, NNRTIs have helped play a critical role in maintaining viral suppression in people living with HIV. The many positive attributes of the class, including potency and long plasma half-life, make them attractive drug discovery targets. Given the availability of multiple once-daily integrase-based treatments for HIV-1 infection, the challenge to develop a new antiretroviral agent that addresses the needs of today</w:instrText>
      </w:r>
      <w:r>
        <w:rPr>
          <w:rFonts w:hint="eastAsia"/>
        </w:rPr>
        <w:instrText>’</w:instrText>
      </w:r>
      <w:r>
        <w:instrText>s patients is formidable. However, with the increased availability of antiretrovirals for treatment and new pre-exposure prophylaxis guidelines, which should globally expand the use of antiretrovirals in prevention, it will be increasingly important to have access to multiple regimens with options from different classes that are well tolerated and convenient to ensure a sustained impact on the global epidemic. Many attempts to improve upon the NNRTI class have failed to deliver a desirable clinical profile consistent with the current landscape of treatment options. Doravirine is the only NNRTI to successfully advance through phase 3 clinical development and approval in recent years. Learning from the liabilities of approved NNRTIs, as well as past development failures, facilitated a rational approach to the discovery of doravirine by focusing on addressing the known safety/tolerability issues of commonly prescribed NNRTIs, such as central nervous system toxicity with efavirenz and potential cardiotoxicity due to off-target effects on cardiac ion channels with rilpivirine, using structural biology and characterization of resistance in vitro to address resistance liabilities and concentrating on the metabolic profile to limit the potential for drug</w:instrText>
      </w:r>
      <w:r>
        <w:rPr>
          <w:rFonts w:hint="eastAsia"/>
        </w:rPr>
        <w:instrText>–</w:instrText>
      </w:r>
      <w:r>
        <w:instrText xml:space="preserve">drug interactions. These preclinical efforts were critical to the design and selection of doravirine as a novel NNRTI that possessed the desired next-generation profile with the ultimate proof that these attributes translate to patients derived from clinical trials.","container-title":"ACS Infectious Diseases","DOI":"10.1021/acsinfecdis.9b00178","issue":"1","journalAbbreviation":"ACS Infect. Dis.","page":"64-73","publisher":"American Chemical Society","source":"ACS Publications","title":"Rational Design of Doravirine: From Bench to Patients","title-short":"Rational Design of Doravirine","volume":"6","author":[{"family":"Hwang","given":"Carey"},{"family":"Lai","given":"Ming-Tain"},{"family":"Hazuda","given":"Daria"}],"issued":{"date-parts":[["2020",1,10]]}}}],"schema":"https://github.com/citation-style-language/schema/raw/master/csl-citation.json"} </w:instrText>
      </w:r>
      <w:r>
        <w:fldChar w:fldCharType="separate"/>
      </w:r>
      <w:r>
        <w:rPr>
          <w:rFonts w:cs="Mangal"/>
          <w:szCs w:val="24"/>
          <w:vertAlign w:val="superscript"/>
          <w:lang w:bidi="hi-IN"/>
        </w:rPr>
        <w:t>14,15</w:t>
      </w:r>
      <w:r>
        <w:fldChar w:fldCharType="end"/>
      </w:r>
      <w:r>
        <w:t xml:space="preserve"> This observation may, in part, explain </w:t>
      </w:r>
      <w:r>
        <w:lastRenderedPageBreak/>
        <w:t>why K103N+M230L and L100I+K103N also show insignificant binding penalties in our simulations (∆∆</w:t>
      </w:r>
      <w:proofErr w:type="spellStart"/>
      <w:r>
        <w:t>G</w:t>
      </w:r>
      <w:r>
        <w:rPr>
          <w:vertAlign w:val="subscript"/>
        </w:rPr>
        <w:t>bind</w:t>
      </w:r>
      <w:proofErr w:type="spellEnd"/>
      <w:r>
        <w:t xml:space="preserve"> = 0.59 ± 0.41 and 0.19 ± 0.68 kcal/mol).</w:t>
      </w:r>
    </w:p>
    <w:bookmarkEnd w:id="2"/>
    <w:p w14:paraId="543380D3" w14:textId="1CCB2E0F" w:rsidR="003C0FA8" w:rsidRPr="00E536AD" w:rsidRDefault="003C0FA8" w:rsidP="000C66C6">
      <w:pPr>
        <w:pStyle w:val="TAMainText"/>
        <w:spacing w:after="240"/>
        <w:rPr>
          <w:rFonts w:ascii="Times New Roman" w:hAnsi="Times New Roman"/>
        </w:rPr>
      </w:pPr>
      <w:r>
        <w:t>Loss of aromatic stacking at Tyr181 and Tyr188 is the classical explanation for NVP and DLV resistance,</w:t>
      </w:r>
      <w:r>
        <w:fldChar w:fldCharType="begin"/>
      </w:r>
      <w:r w:rsidR="00CC484F">
        <w:instrText xml:space="preserve"> ADDIN ZOTERO_ITEM CSL_CITATION {"citationID":"gFu9MXsT","properties":{"unsorted":false,"formattedCitation":"\\super 10,11,75\\nosupersub{}","plainCitation":"10,11,75","noteIndex":0},"citationItems":[{"id":69,"uris":["http://zotero.org/users/19404620/items/TX3QRYY7"],"itemData":{"id":69,"type":"article-journal","abstract":"Non-nucleoside reverse transcriptase inhibitors (NNRTIs) are a mainstay of therapy for human immunodeficiency type 1 virus (HIV-1) infections. However, their effectiveness can be hampered by the emergence of resistant mutations. To aid in designing effective NNRTIs against the resistant mutants, it is important to understand the resistance mechanism of the mutations. Here, we investigate the mechanism of the two most prevalent NNRTI-associated mutations with K103N or Y181C substitution. Virus and reverse transcriptase (RT) with K103N/Y188F, K103A, or K103E substitutions and with Y181F, Y188F, or Y181F/Y188F substitutions were employed to study the resistance mechanism of the K103N and Y181C mutants, respectively. Results showed that the virus and RT with K103N/Y188F substitutions displayed similar resistance levels to the virus and RT with K103N substitution versus NNRTIs. Virus and RT containing Y181F, Y188F, or Y181F/Y188F substitution exhibited either enhanced or similar susceptibility to NNRTIs compared with the wild type (WT) virus. These results suggest that the hydrogen bond between N103 and Y188 may not play an important role in the resistance of the K103N variant to NNRTIs. Furthermore, the results from the studies with the Y181 or Y188 variant provide the direct evidence that aromatic </w:instrText>
      </w:r>
      <w:r w:rsidR="00CC484F">
        <w:rPr>
          <w:rFonts w:hint="eastAsia"/>
        </w:rPr>
        <w:instrText>π–π</w:instrText>
      </w:r>
      <w:r w:rsidR="00CC484F">
        <w:instrText xml:space="preserve"> stacking plays a crucial role in the binding of NNRTIs to RT.","container-title":"Viruses","DOI":"10.3390/v8100263","ISSN":"1999-4915","issue":"10","language":"en","license":"http://creativecommons.org/licenses/by/3.0/","page":"263","publisher":"Multidisciplinary Digital Publishing Institute","source":"www.mdpi.com","title":"Mechanistic Study of Common Non-Nucleoside Reverse Transcriptase Inhibitor-Resistant Mutations with K103N and Y181C Substitutions","volume":"8","author":[{"family":"Lai","given":"Ming-Tain"},{"family":"Munshi","given":"Vandna"},{"family":"Lu","given":"Meiqing"},{"family":"Feng","given":"MeiZhen"},{"family":"Hrin-Solt","given":"Renee"},{"family":"McKenna","given":"Philip M."},{"family":"Hazuda","given":"Daria J."},{"family":"Miller","given":"Michael D."}],"issued":{"date-parts":[["2016",10]]}}},{"id":71,"uris":["http://zotero.org/users/19404620/items/G2IGZ3Y4"],"itemData":{"id":71,"type":"article-journal","abstract":"Mutations at either Tyr181 or Tyr188 within HIV-1 reverse transcriptase (RT) give high level resistance to many first generation non-nucleoside inhibitors (NNRTIs) such as the anti-AIDS drug nevirapine. By comparison second generation inhibitors, for instance the drug efavirenz, show much greater resilience to these mutations. In order to understand the structural basis for these differences we have determined a series of seven crystal structures of mutant RTs in complexes with first and second generation NNRTIs as well as one example of an unliganded mutant RT. These are Tyr181Cys RT (TNK-651) to 2.4 </w:instrText>
      </w:r>
      <w:r w:rsidR="00CC484F">
        <w:rPr>
          <w:rFonts w:hint="eastAsia"/>
        </w:rPr>
        <w:instrText>Å</w:instrText>
      </w:r>
      <w:r w:rsidR="00CC484F">
        <w:instrText xml:space="preserve">, Tyr181Cys RT (efavirenz) to 2.6 </w:instrText>
      </w:r>
      <w:r w:rsidR="00CC484F">
        <w:rPr>
          <w:rFonts w:hint="eastAsia"/>
        </w:rPr>
        <w:instrText>Å</w:instrText>
      </w:r>
      <w:r w:rsidR="00CC484F">
        <w:instrText xml:space="preserve">, Tyr181Cys RT (nevirapine) to 3.0 </w:instrText>
      </w:r>
      <w:r w:rsidR="00CC484F">
        <w:rPr>
          <w:rFonts w:hint="eastAsia"/>
        </w:rPr>
        <w:instrText>Å</w:instrText>
      </w:r>
      <w:r w:rsidR="00CC484F">
        <w:instrText xml:space="preserve">, Tyr181Cys RT (PETT-2) to 3.0 </w:instrText>
      </w:r>
      <w:r w:rsidR="00CC484F">
        <w:rPr>
          <w:rFonts w:hint="eastAsia"/>
        </w:rPr>
        <w:instrText>Å</w:instrText>
      </w:r>
      <w:r w:rsidR="00CC484F">
        <w:instrText xml:space="preserve">, Tyr188Cys RT (nevirapine) to 2.6 </w:instrText>
      </w:r>
      <w:r w:rsidR="00CC484F">
        <w:rPr>
          <w:rFonts w:hint="eastAsia"/>
        </w:rPr>
        <w:instrText>Å</w:instrText>
      </w:r>
      <w:r w:rsidR="00CC484F">
        <w:instrText xml:space="preserve">, Tyr188Cys RT (UC-781) to 2.6 </w:instrText>
      </w:r>
      <w:r w:rsidR="00CC484F">
        <w:rPr>
          <w:rFonts w:hint="eastAsia"/>
        </w:rPr>
        <w:instrText>Å</w:instrText>
      </w:r>
      <w:r w:rsidR="00CC484F">
        <w:instrText xml:space="preserve"> and Tyr188Cys RT (unliganded) to 2.8 </w:instrText>
      </w:r>
      <w:r w:rsidR="00CC484F">
        <w:rPr>
          <w:rFonts w:hint="eastAsia"/>
        </w:rPr>
        <w:instrText>Å</w:instrText>
      </w:r>
      <w:r w:rsidR="00CC484F">
        <w:instrText xml:space="preserve"> resolution. In the two previously published structures of HIV-1 reverse transcriptase with mutations at 181 or 188 no side-chain electron density was observed within the p66 subunit (which contains the inhibitor binding pocket) for the mutated residues. In contrast the mutated side-chains can be seen in the NNRTI pocket for all seven structures reported here, eliminating the possibility that disordering contributes to the mechanism of resistance. In the case of the second generation compounds efavirenz with Tyr181Cys RT and UC-781 with Tyr188Cys RT there are only small rearrangements of either inhibitor within the binding site compared to wild-type RT and also for the first generation compounds TNK-651, PETT-2 and nevirapine with Tyr181Cys RT. For nevirapine with the Tyr188Cys RT there is however a more substantial movement of the drug molecule. We conclude that protein conformational changes and rearrangements of drug molecules within the mutated sites are not general features of these particular inhibitor/mutant combinations. The main contribution to drug resistance for Tyr181Cys and Tyr188Cys RT mutations is the loss of aromatic ring stacking interactions for first generation compounds, providing a simple explanation for the resilience of second generation NNRTIs, as such interactions make much less significant contribution to their binding.","container-title":"Journal of Molecular Biology","DOI":"10.1006/jmbi.2001.4988","ISSN":"0022-2836","issue":"4","journalAbbreviation":"Journal of Molecular Biology","page":"795-805","source":"ScienceDirect","title":"Structural mechanisms of drug resistance for mutations at codons 181 and 188 in HIV-1 reverse transcriptase and the improved resilience of second generation non-nucleoside inhibitors1","volume":"312","author":[{"family":"Ren","given":"J"},{"family":"Nichols","given":"C"},{"family":"Bird","given":"L"},{"family":"Chamberlain","given":"P"},{"family":"Weaver","given":"K"},{"family":"Short","given":"S"},{"family":"Stuart","given":"D. I"},{"family":"Stammers","given":"D. K"}],"issued":{"date-parts":[["2001",9,28]]}}},{"id":139,"uris":["http://zotero.org/users/19404620/items/3LFMPTUW"],"itemData":{"id":139,"type":"article-journal","abstract":"The selection of drug resistant virus is a significant obstacle to the continued successful treatment of HIV infection. Reverse transcriptase is the target for numerous approved anti-HIV drugs including both nucleoside inhibitor (NRTI) and non-nucleosides (NNRTI). The many available crystal structures of RT reveal that, generally, in relation to their binding sites NRTI resistance mutations are generally more distally positioned, whilst for NNRTIs mutations are clustered. Such clustering implies a direct stereochemical basis for NNRTI resistance mechanisms, which is indeed observed in many cases such as the loss of key ring stacking interactions with inhibitors via mutations at Tyr181 and Tyr188. However, there are also indirect resistance mechanisms observed, e.g. V108I (via perturbation of Tyr188 and Tyr181) and K103N (apo-enzyme stabilisation). The resistance mechanism can be NNRTI-dependent as is the case for K101E where either indirect (nevirapine) or direct effects (efavirenz) apply. Structural studies have contributed to the design of newer generation NNRTIs and identified a number of features which may contribute to their much improved resistance profiles. Such factors include reduced interactions with Tyr181, the presence of inhibitor/main-chain H-bonds and ability to undergo conformational flexing and rearrangement within the mutated drug site.","collection-title":"Retroviral Reverse Transcription","container-title":"Virus Research","DOI":"10.1016/j.virusres.2007.12.018","ISSN":"0168-1702","issue":"1","journalAbbreviation":"Virus Research","page":"157-170","source":"ScienceDirect","title":"Structural basis for drug resistance mechanisms for non-nucleoside inhibitors of HIV reverse transcriptase","volume":"134","author":[{"family":"Ren","given":"Jingshan"},{"family":"Stammers","given":"David K."}],"issued":{"date-parts":[["2008",6,1]]}}}],"schema":"https://github.com/citation-style-language/schema/raw/master/csl-citation.json"} </w:instrText>
      </w:r>
      <w:r>
        <w:fldChar w:fldCharType="separate"/>
      </w:r>
      <w:r w:rsidR="00CC484F" w:rsidRPr="00CC484F">
        <w:rPr>
          <w:rFonts w:cs="Mangal"/>
          <w:szCs w:val="24"/>
          <w:vertAlign w:val="superscript"/>
          <w:lang w:bidi="hi-IN"/>
        </w:rPr>
        <w:t>10,11,75</w:t>
      </w:r>
      <w:r>
        <w:fldChar w:fldCharType="end"/>
      </w:r>
      <w:r>
        <w:t xml:space="preserve"> but in our trajectories losing Tyr181 does not lead to any direct impact on DOR binding, whereas losing Tyr188 removes about a third of the chlorocyanophenyl burial (Figure 3A) and carries both the largest van der Waals penalty (∆∆</w:t>
      </w:r>
      <w:proofErr w:type="spellStart"/>
      <w:r>
        <w:t>E</w:t>
      </w:r>
      <w:r>
        <w:rPr>
          <w:vertAlign w:val="subscript"/>
        </w:rPr>
        <w:t>vdW</w:t>
      </w:r>
      <w:proofErr w:type="spellEnd"/>
      <w:r>
        <w:t xml:space="preserve"> = 2.25 ± 0.20 kcal/mol) and one of the largest binding free energy penalties (∆∆</w:t>
      </w:r>
      <w:proofErr w:type="spellStart"/>
      <w:r>
        <w:t>G</w:t>
      </w:r>
      <w:r>
        <w:rPr>
          <w:vertAlign w:val="subscript"/>
        </w:rPr>
        <w:t>bind</w:t>
      </w:r>
      <w:proofErr w:type="spellEnd"/>
      <w:r>
        <w:t xml:space="preserve"> = 4.52 ± 0.49 kcal/mol) in the entire panel. Aromatic packing of DOR is therefore hinges on Tyr188 alone, consistent with the crystallographic observation that the Tyr181 side chain is rotated away from the drug,</w:t>
      </w:r>
      <w:r>
        <w:fldChar w:fldCharType="begin"/>
      </w:r>
      <w:r>
        <w:instrText xml:space="preserve"> ADDIN ZOTERO_ITEM CSL_CITATION {"citationID":"KP287jrO","properties":{"unsorted":false,"formattedCitation":"\\super 14,16\\nosupersub{}","plainCitation":"14,16","noteIndex":0},"citationItems":[{"id":137,"uris":["http://zotero.org/users/19404620/items/RH8X5FM6"],"itemData":{"id":137,"type":"article-journal","abstract":"The optimization of a novel series of non-nucleoside reverse transcriptase inhibitors (NNRTI) led to the identification of pyridone 36. In cell cultures, this new NNRTI shows a superior potency profile against a range of wild type and clinically relevant, resistant mutant HIV viruses. The overall favorable preclinical pharmacokinetic profile of 36 led to the prediction of a once daily low dose regimen in human. NNRTI 36, now known as MK-1439, is currently in clinical development for the treatment of HIV infection.","container-title":"Bioorganic &amp; Medicinal Chemistry Letters","DOI":"10.1016/j.bmcl.2013.12.070","ISSN":"0960-894X","issue":"3","journalAbbreviation":"Bioorganic &amp; Medicinal Chemistry Letters","page":"917-922","source":"ScienceDirect","title":"Discovery of MK-1439, an orally bioavailable non-nucleoside reverse transcriptase inhibitor potent against a wide range of resistant mutant HIV viruses","volume":"24","author":[{"family":"C</w:instrText>
      </w:r>
      <w:r>
        <w:rPr>
          <w:rFonts w:hint="eastAsia"/>
        </w:rPr>
        <w:instrText>ô</w:instrText>
      </w:r>
      <w:r>
        <w:instrText>t</w:instrText>
      </w:r>
      <w:r>
        <w:rPr>
          <w:rFonts w:hint="eastAsia"/>
        </w:rPr>
        <w:instrText>é</w:instrText>
      </w:r>
      <w:r>
        <w:instrText>","given":"Bernard"},{"family":"Burch","given":"Jason D."},{"family":"Asante-Appiah","given":"Ernest"},{"family":"Bayly","given":"Chris"},{"family":"B</w:instrText>
      </w:r>
      <w:r>
        <w:rPr>
          <w:rFonts w:hint="eastAsia"/>
        </w:rPr>
        <w:instrText>é</w:instrText>
      </w:r>
      <w:r>
        <w:instrText>dard","given":"Leanne"},{"family":"Blouin","given":"Marc"},{"family":"Campeau","given":"Louis-Charles"},{"family":"Cauchon","given":"Elizabeth"},{"family":"Chan","given":"Manuel"},{"family":"Chefson","given":"Amandine"},{"family":"Coulombe","given":"Nathalie"},{"family":"Cromlish","given":"Wanda"},{"family":"Debnath","given":"Smita"},{"family":"Desch</w:instrText>
      </w:r>
      <w:r>
        <w:rPr>
          <w:rFonts w:hint="eastAsia"/>
        </w:rPr>
        <w:instrText>ê</w:instrText>
      </w:r>
      <w:r>
        <w:instrText>nes","given":"Denis"},{"family":"Dupont-Gaudet","given":"Kristina"},{"family":"Falgueyret","given":"Jean-Pierre"},{"family":"Forget","given":"Robert"},{"family":"Gagn</w:instrText>
      </w:r>
      <w:r>
        <w:rPr>
          <w:rFonts w:hint="eastAsia"/>
        </w:rPr>
        <w:instrText>é</w:instrText>
      </w:r>
      <w:r>
        <w:instrText>","given":"S</w:instrText>
      </w:r>
      <w:r>
        <w:rPr>
          <w:rFonts w:hint="eastAsia"/>
        </w:rPr>
        <w:instrText>é</w:instrText>
      </w:r>
      <w:r>
        <w:instrText>bastien"},{"family":"Gauvreau","given":"Danny"},{"family":"Girardin","given":"Melina"},{"family":"Guiral","given":"S</w:instrText>
      </w:r>
      <w:r>
        <w:rPr>
          <w:rFonts w:hint="eastAsia"/>
        </w:rPr>
        <w:instrText>é</w:instrText>
      </w:r>
      <w:r>
        <w:instrText>bastien"},{"family":"Langlois","given":"Eric"},{"family":"Li","given":"Chun Sing"},{"family":"Nguyen","given":"Natalie"},{"family":"Papp","given":"Rob"},{"family":"Plamondon","given":"Serge"},{"family":"Roy","given":"Am</w:instrText>
      </w:r>
      <w:r>
        <w:rPr>
          <w:rFonts w:hint="eastAsia"/>
        </w:rPr>
        <w:instrText>é</w:instrText>
      </w:r>
      <w:r>
        <w:instrText>lie"},{"family":"Roy","given":"St</w:instrText>
      </w:r>
      <w:r>
        <w:rPr>
          <w:rFonts w:hint="eastAsia"/>
        </w:rPr>
        <w:instrText>é</w:instrText>
      </w:r>
      <w:r>
        <w:instrText>phanie"},{"family":"Seliniotakis","given":"Ria"},{"family":"St-Onge","given":"Miguel"},{"family":"Ouellet","given":"St</w:instrText>
      </w:r>
      <w:r>
        <w:rPr>
          <w:rFonts w:hint="eastAsia"/>
        </w:rPr>
        <w:instrText>é</w:instrText>
      </w:r>
      <w:r>
        <w:instrText>phane"},{"family":"Tawa","given":"Paul"},{"family":"Truchon","given":"Jean-Fran</w:instrText>
      </w:r>
      <w:r>
        <w:rPr>
          <w:rFonts w:hint="eastAsia"/>
        </w:rPr>
        <w:instrText>ç</w:instrText>
      </w:r>
      <w:r>
        <w:instrText>ois"},{"family":"Vacca","given":"Joe"},{"family":"Wrona","given":"Marc"},{"family":"Yan","given":"Youwei"},{"family":"Ducharme","given":"Yves"}],"issued":{"date-parts":[["2014",2,1]]}}},{"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w:instrText>
      </w:r>
      <w:r>
        <w:rPr>
          <w:rFonts w:hint="eastAsia"/>
        </w:rPr>
        <w:instrText>×</w:instrText>
      </w:r>
      <w:r>
        <w:instrText xml:space="preserve"> EC95) to 1,000</w:instrText>
      </w:r>
      <w:r>
        <w:rPr>
          <w:rFonts w:hint="eastAsia"/>
        </w:rPr>
        <w:instrText>×</w:instrText>
      </w:r>
      <w:r>
        <w:instrText xml:space="preserve">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D."},{"family":"Lai","given":"Ming-Tain"}],"issued":{"date-parts":[["2015",1]]}}}],"schema":"https://github.com/citation-style-language/schema/raw/master/csl-citation.json"} </w:instrText>
      </w:r>
      <w:r>
        <w:fldChar w:fldCharType="separate"/>
      </w:r>
      <w:r>
        <w:rPr>
          <w:vertAlign w:val="superscript"/>
        </w:rPr>
        <w:t>14,16</w:t>
      </w:r>
      <w:r>
        <w:fldChar w:fldCharType="end"/>
      </w:r>
      <w:r>
        <w:t xml:space="preserve"> and this asymmetry accounts for the clinical pattern in which Y181C spares DOR while Y188L is among the most resistant single substitutions.</w:t>
      </w:r>
      <w:r>
        <w:fldChar w:fldCharType="begin"/>
      </w:r>
      <w:r>
        <w:instrText xml:space="preserve"> ADDIN ZOTERO_ITEM CSL_CITATION {"citationID":"vfheUpK1","properties":{"unsorted":false,"formattedCitation":"\\super 15\\nosupersub{}","plainCitation":"15","noteIndex":0},"citationItems":[{"id":109,"uris":["http://zotero.org/users/19404620/items/NZIBLVPF"],"itemData":{"id":109,"type":"article-journal","abstract":"Since the approval of nevirapine, the first HIV-1 non-nucleoside reverse transcriptase inhibitor (NNRTI) in 1996, NNRTIs have helped play a critical role in maintaining viral suppression in people living with HIV. The many positive attributes of the class, including potency and long plasma half-life, make them attractive drug discovery targets. Given the availability of multiple once-daily integrase-based treatments for HIV-1 infection, the challenge to develop a new antiretroviral agent that addresses the needs of today’s patients is formidable. However, with the increased availability of antiretrovirals for treatment and new pre-exposure prophylaxis guidelines, which should globally expand the use of antiretrovirals in prevention, it will be increasingly important to have access to multiple regimens with options from different classes that are well tolerated and convenient to ensure a sustained impact on the global epidemic. Many attempts to improve upon the NNRTI class have failed to deliver a desirable clinical profile consistent with the current landscape of treatment options. Doravirine is the only NNRTI to successfully advance through phase 3 clinical development and approval in recent years. Learning from the liabilities of approved NNRTIs, as well as past development failures, facilitated a rational approach to the discovery of doravirine by focusing on addressing the known safety/tolerability issues of commonly prescribed NNRTIs, such as central nervous system toxicity with efavirenz and potential cardiotoxicity due to off-target effects on cardiac ion channels with rilpivirine, using structural biology and characterization of resistance in vitro to address resistance liabilities and concentrating on the metabolic profile to limit the potential for drug–drug interactions. These preclinical efforts were critical to the design and selection of doravirine as a novel NNRTI that possessed the desired next-generation profile with the ultimate proof that these attributes translate to patients derived from clinical trials.","container-title":"ACS Infectious Diseases","DOI":"10.1021/acsinfecdis.9b00178","issue":"1","journalAbbreviation":"ACS Infect. Dis.","page":"64-73","publisher":"American Chemical Society","source":"ACS Publications","title":"Rational Design of Doravirine: From Bench to Patients","title-short":"Rational Design of Doravirine","volume":"6","author":[{"family":"Hwang","given":"Carey"},{"family":"Lai","given":"Ming-Tain"},{"family":"Hazuda","given":"Daria"}],"issued":{"date-parts":[["2020",1,10]]}}}],"schema":"https://github.com/citation-style-language/schema/raw/master/csl-citation.json"} </w:instrText>
      </w:r>
      <w:r>
        <w:fldChar w:fldCharType="separate"/>
      </w:r>
      <w:r>
        <w:rPr>
          <w:vertAlign w:val="superscript"/>
        </w:rPr>
        <w:t>15</w:t>
      </w:r>
      <w:r>
        <w:fldChar w:fldCharType="end"/>
      </w:r>
    </w:p>
    <w:p w14:paraId="56E20A53" w14:textId="595FC2E5" w:rsidR="004D143B" w:rsidRPr="00E536AD" w:rsidRDefault="004D143B" w:rsidP="000C66C6">
      <w:pPr>
        <w:pStyle w:val="TAMainText"/>
        <w:spacing w:after="240"/>
        <w:rPr>
          <w:rFonts w:ascii="Times New Roman" w:hAnsi="Times New Roman"/>
        </w:rPr>
      </w:pPr>
      <w:r>
        <w:t>G190A resists first-generation NNRTIs by introducing a steric bulge into a compact region of the pocket,</w:t>
      </w:r>
      <w:r>
        <w:fldChar w:fldCharType="begin"/>
      </w:r>
      <w:r>
        <w:instrText xml:space="preserve"> ADDIN ZOTERO_ITEM CSL_CITATION {"citationID":"9qoEqDba","properties":{"unsorted":false,"formattedCitation":"\\super 6\\nosupersub{}","plainCitation":"6","noteIndex":0},"citationItems":[{"id":62,"uris":["http://zotero.org/users/19404620/items/AEMYHYHK"],"itemData":{"id":62,"type":"article-journal","abstract":"HIV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fldChar w:fldCharType="separate"/>
      </w:r>
      <w:r>
        <w:rPr>
          <w:vertAlign w:val="superscript"/>
        </w:rPr>
        <w:t>6</w:t>
      </w:r>
      <w:r>
        <w:fldChar w:fldCharType="end"/>
      </w:r>
      <w:r>
        <w:t xml:space="preserve"> but that region has room around the DOR pose, and all structural features calculated from our simulations suggest DOR packing in G190A RT is equivalent to that in WT (Table 3). On the other hand, G190S tilts the chlorocyanophenyl ring away from coplanarity with Tyr188. G190E is the most distorted system in the panel by two independent measures — Val179 displaced by nearly 3 Å and the pocket enlarged by ~25%. Yet the aromatic anchor is undisturbed and the drug remains fully buried, which is why a badly deformed pocket nonetheless binds DOR slightly more tightly than WT (∆∆</w:t>
      </w:r>
      <w:proofErr w:type="spellStart"/>
      <w:r>
        <w:t>G</w:t>
      </w:r>
      <w:r>
        <w:rPr>
          <w:vertAlign w:val="subscript"/>
        </w:rPr>
        <w:t>bind</w:t>
      </w:r>
      <w:proofErr w:type="spellEnd"/>
      <w:r>
        <w:t xml:space="preserve"> = −1.02 ± 0.38 kcal/mol). Notably, G190 substitutions increase susceptibility to DLV while severely impairing replication capacity, G190E most of all,</w:t>
      </w:r>
      <w:r>
        <w:fldChar w:fldCharType="begin"/>
      </w:r>
      <w:r w:rsidR="00CC484F">
        <w:instrText xml:space="preserve"> ADDIN ZOTERO_ITEM CSL_CITATION {"citationID":"dlVDHU6v","properties":{"unsorted":false,"formattedCitation":"\\super 76\\nosupersub{}","plainCitation":"76","noteIndex":0},"citationItems":[{"id":368,"uris":["http://zotero.org/users/19404620/items/BMQBFLD4"],"itemData":{"id":368,"type":"article-journal","abstract":"Suboptimal treatment of human immunodeficiency virus type 1 (HIV-1) infection with nonnucleoside reverse transcriptase inhibitors (NNRTI) often results in the rapid selection of drug-resistant virus. Several amino acid substitutions at position 190 of reverse transcriptase (RT) have been associated with reduced susceptibility to the NNRTI, especially nevirapine (NVP) and efavirenz (EFV). In the present study, the effects of various 190 substitutions observed in viruses obtained from NNRTI-experienced patients were characterized with patient-derived HIV isolates and confirmed with a panel of isogenic viruses. Compared to wild-type HIV, which has a glycine at position 190 (G190), viruses with 190 substitutions (A, C, Q, S, V, E, or T, collectively referred to as G190X substitutions) were markedly less susceptible to NVP and EFV. In contrast, delavirdine (DLV) susceptibility of these G190X viruses increased from 3 to 300-fold (hypersusceptible) or was only slightly decreased. The replication capacity of viruses with certain 190 substitutions (C, Q, V, T, and E) was severely impaired and was correlated with reduced virion-associated RT activity and incomplete protease (PR) processing of the viral p55 gag  polyprotein. These defects were the result of inadequate p160 gagpol  incorporation into virions. Compensatory mutations within RT and PR improved replication capacity, p55 gag  processing, and RT activity, presumably through increased incorporation of p160 gagpol  into virions. We observe an inverse relationship between the degree of NVP and EFV resistance and the impairment of viral replication in viruses with substitutions at 190 in RT. These observations may have important implications for the future design and development of antiretroviral drugs that restrict the outgrowth of resistant variants with high replication capacity.","container-title":"Journal of Virology","DOI":"10.1128/jvi.77.2.1512-1523.2003","issue":"2","page":"1512-1523","publisher":"American Society for Microbiology","source":"journals.asm.org (Atypon)","title":"Amino Acid Substitutions at Position 190 of Human Immunodeficiency Virus Type 1 Reverse Transcriptase Increase Susceptibility to Delavirdine and Impair Virus Replication","volume":"77","author":[{"family":"Huang","given":"Wei"},{"family":"Gamarnik","given":"Andrea"},{"family":"Limoli","given":"Kay"},{"family":"Petropoulos","given":"Christos J."},{"family":"Whitcomb","given":"Jeannette M."}],"issued":{"date-parts":[["2003",1,15]]}}}],"schema":"https://github.com/citation-style-language/schema/raw/master/csl-citation.json"} </w:instrText>
      </w:r>
      <w:r>
        <w:fldChar w:fldCharType="separate"/>
      </w:r>
      <w:r w:rsidR="00CC484F" w:rsidRPr="00CC484F">
        <w:rPr>
          <w:rFonts w:cs="Mangal"/>
          <w:szCs w:val="24"/>
          <w:vertAlign w:val="superscript"/>
          <w:lang w:bidi="hi-IN"/>
        </w:rPr>
        <w:t>76</w:t>
      </w:r>
      <w:r>
        <w:fldChar w:fldCharType="end"/>
      </w:r>
      <w:r>
        <w:t xml:space="preserve"> so it is possible that the mechanism of DOR resistance associated with G190E may not be a binding effect.</w:t>
      </w:r>
    </w:p>
    <w:p w14:paraId="38B2ECAB" w14:textId="24810B94" w:rsidR="00330C66" w:rsidRPr="00E536AD" w:rsidRDefault="00330C66" w:rsidP="00B813C0">
      <w:pPr>
        <w:pStyle w:val="TAMainText"/>
        <w:spacing w:after="240"/>
        <w:rPr>
          <w:rFonts w:ascii="Times New Roman" w:hAnsi="Times New Roman"/>
        </w:rPr>
      </w:pPr>
      <w:r>
        <w:lastRenderedPageBreak/>
        <w:t>In all four V106A-containing genotypes, DOR slides 1.3–1.5 Å toward Ser105, out of its crystallographic pose, and loses roughly a quarter of its pyridinone contacts (Figure 3B, Table 3). Residue 106 packs directly against the inhibitor in the hydrophobic palm pocket, and this contact has been proposed as a causal mechanism for NNRTI resistance in at least one prior study,</w:t>
      </w:r>
      <w:r>
        <w:fldChar w:fldCharType="begin"/>
      </w:r>
      <w:r w:rsidR="00CC484F">
        <w:instrText xml:space="preserve"> ADDIN ZOTERO_ITEM CSL_CITATION {"citationID":"K6jBXZRI","properties":{"unsorted":false,"formattedCitation":"\\super 77\\nosupersub{}","plainCitation":"77","noteIndex":0},"citationItems":[{"id":370,"uris":["http://zotero.org/users/19404620/items/VTLEQGZX"],"itemData":{"id":370,"type":"article-journal","abstract":"Leu100Ile, Val106Ala and Val108Ile are mutations in HIV-1 reverse transcriptase (RT) that are observed in the clinic and give rise to resistance to certain non-nucleoside inhibitors (NNRTIs) including the first-generation drug nevirapine. In order to investigate structural mechanisms of resistance for different NNRTI classes we have determined six crystal structures of mutant RT</w:instrText>
      </w:r>
      <w:r w:rsidR="00CC484F">
        <w:rPr>
          <w:rFonts w:hint="eastAsia"/>
        </w:rPr>
        <w:instrText>–</w:instrText>
      </w:r>
      <w:r w:rsidR="00CC484F">
        <w:instrText>inhibitor complexes. Val108 does not have direct contact with nevirapine in wild-type RT and in the RT(Val108Ile) complex the biggest change observed is at the distally positioned Tyr181 which is &gt;8</w:instrText>
      </w:r>
      <w:r w:rsidR="00CC484F">
        <w:rPr>
          <w:rFonts w:hint="eastAsia"/>
        </w:rPr>
        <w:instrText>Å</w:instrText>
      </w:r>
      <w:r w:rsidR="00CC484F">
        <w:instrText xml:space="preserve"> from the mutation site. Thus in contrast to most NNRTI resistance mutations RT(Val108Ile) appears to act via an indirect mechanism which in this case is through alterations of the ring stacking interactions of the drug particularly with Tyr181. Shifts in side-chain and inhibitor positions compared to wild-type RT are observed in complexes of nevirapine and the second-generation NNRTI UC-781 with RT(Leu100Ile) and RT(Val106Ala), leading to perturbations in inhibitor contacts with Tyr181 and Tyr188. Such perturbations are likely to be a factor contributing to the greater loss of binding for nevirapine compared to UC-781 as, in the former case, a larger proportion of binding energy is derived from aromatic ring stacking of the inhibitor with the tyrosine side-chains. The differing resistance profiles of first and second generation NNRTIs for other drug resistance mutations in RT may also be in part due to this indirect mechanism.","container-title":"Journal of Molecular Biology","DOI":"10.1016/j.jmb.2003.12.055","ISSN":"0022-2836","issue":"3","journalAbbreviation":"Journal of Molecular Biology","page":"569-578","source":"ScienceDirect","title":"Crystal Structures of HIV-1 Reverse Transcriptases Mutated at Codons 100, 106 and 108 and Mechanisms of Resistance to Non-nucleoside Inhibitors","volume":"336","author":[{"family":"Ren","given":"J"},{"family":"Nichols","given":"C. E"},{"family":"Chamberlain","given":"P. P"},{"family":"Weaver","given":"K. L"},{"family":"Short","given":"S. A"},{"family":"Stammers","given":"D. K"}],"issued":{"date-parts":[["2004",2,20]]}}}],"schema":"https://github.com/citation-style-language/schema/raw/master/csl-citation.json"} </w:instrText>
      </w:r>
      <w:r>
        <w:fldChar w:fldCharType="separate"/>
      </w:r>
      <w:r w:rsidR="00CC484F" w:rsidRPr="00CC484F">
        <w:rPr>
          <w:rFonts w:cs="Mangal"/>
          <w:szCs w:val="24"/>
          <w:vertAlign w:val="superscript"/>
          <w:lang w:bidi="hi-IN"/>
        </w:rPr>
        <w:t>77</w:t>
      </w:r>
      <w:r>
        <w:fldChar w:fldCharType="end"/>
      </w:r>
      <w:r>
        <w:t xml:space="preserve"> consistent with V106A being the primary </w:t>
      </w:r>
      <w:r>
        <w:rPr>
          <w:i/>
          <w:iCs/>
        </w:rPr>
        <w:t xml:space="preserve">in vitro </w:t>
      </w:r>
      <w:r>
        <w:t>DOR resistance pathway, from which F227L and L234I subsequently emerge</w:t>
      </w:r>
      <w:r>
        <w:fldChar w:fldCharType="begin"/>
      </w:r>
      <w:r>
        <w:instrText xml:space="preserve"> ADDIN ZOTERO_ITEM CSL_CITATION {"citationID":"4D33ncN8","properties":{"unsorted":false,"formattedCitation":"\\super 16\\nosupersub{}","plainCitation":"16","noteIndex":0},"citationItems":[{"id":200,"uris":["http://zotero.org/users/19404620/items/3N7LAJL2"],"itemData":{"id":200,"type":"article-journal","abstract":"Doravirine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w:instrText>
      </w:r>
      <w:r>
        <w:rPr>
          <w:rFonts w:hint="eastAsia"/>
        </w:rPr>
        <w:instrText>×</w:instrText>
      </w:r>
      <w:r>
        <w:instrText xml:space="preserve"> EC95) to 1,000</w:instrText>
      </w:r>
      <w:r>
        <w:rPr>
          <w:rFonts w:hint="eastAsia"/>
        </w:rPr>
        <w:instrText>×</w:instrText>
      </w:r>
      <w:r>
        <w:instrText xml:space="preserve">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D."},{"family":"Lai","given":"Ming-Tain"}],"issued":{"date-parts":[["2015",1]]}}}],"schema":"https://github.com/citation-style-language/schema/raw/master/csl-citation.json"} </w:instrText>
      </w:r>
      <w:r>
        <w:fldChar w:fldCharType="separate"/>
      </w:r>
      <w:r>
        <w:rPr>
          <w:vertAlign w:val="superscript"/>
        </w:rPr>
        <w:t>16</w:t>
      </w:r>
      <w:r>
        <w:fldChar w:fldCharType="end"/>
      </w:r>
      <w:r>
        <w:t xml:space="preserve"> — the two genotypes with the lowest pyridinone contact counts in our panel. In contrast, in V106I and V106M, DOR is pushed away from Ser105 and pressed against residue 106, the pyridinone contact count does not fall, and the cost appears instead at the other end of the molecule: these are the only two genotypes in which the residue 103 backbone anchor lengthens appreciably, by roughly 0.6 Å against a distance otherwise constant to within 0.25 Å across all 18 mutants (Table 3). V106I and V106M account for the two largest apparent overestimates of ∆∆</w:t>
      </w:r>
      <w:proofErr w:type="spellStart"/>
      <w:r>
        <w:t>G</w:t>
      </w:r>
      <w:r>
        <w:rPr>
          <w:vertAlign w:val="subscript"/>
        </w:rPr>
        <w:t>bind</w:t>
      </w:r>
      <w:proofErr w:type="spellEnd"/>
      <w:r>
        <w:t xml:space="preserve"> in the panel (+2.27 ± 0.74 and +6.10 ± 0.16 kcal/mol) against fold-changes of 1.1 and 3.4 (Table 1). Notably, however, in subtype C, V106M alone reduces DOR susceptibility 17-fold,</w:t>
      </w:r>
      <w:r>
        <w:fldChar w:fldCharType="begin"/>
      </w:r>
      <w:r w:rsidR="00CC484F">
        <w:instrText xml:space="preserve"> ADDIN ZOTERO_ITEM CSL_CITATION {"citationID":"r7BEPXe7","properties":{"unsorted":false,"formattedCitation":"\\super 78\\nosupersub{}","plainCitation":"78","noteIndex":0},"citationItems":[{"id":76,"uris":["http://zotero.org/users/19404620/items/X6CIWY98"],"itemData":{"id":76,"type":"article-journal","abstract":"Doravirine (DOR) is a non-nucleoside reverse transcriptase inhibitor (NNRTI) with efficacy against some NNRTI-resistant mutants. Although DOR resistance mutations are established for HIV-1 subtype B, it is less clear for non-B subtypes. This study investigated prevalent NNRTI resistance mutations on DOR susceptibility in HIV-1 subtype C. Prevalent drug resistance mutations were identified from a South African genotypic drug resistance testing database. Mutations, single or in combination, were introduced into replication-defective pseudoviruses and assessed for DOR susceptibility in vitro. The single V106M and Y188L mutations caused high-level resistance while others did not significantly impact DOR susceptibility. We observed an agreement between our in vitro and the Stanford HIVdb predicted susceptibilities. However, the F227L mutation was predicted to cause high-level DOR resistance but was susceptible in vitro. Combinations of mutations containing K103N, V106M or Y188L caused high-level resistance, in agreement with the predictions. These mutations are frequently observed in patients failing efavirenz- or nevirapine-based first-line regimens. However, they are also observed in those failing a protease inhibitor-based second-line regimen, as we have observed in our database. Genotypic drug resistance testing is therefore vital prior to the initiation of DOR-based treatment for those previously exposed to efavirenz or nevirapine.","container-title":"Viruses","DOI":"10.3390/v16091493","ISSN":"1999-4915","issue":"9","language":"en","license":"http://creativecommons.org/licenses/by/3.0/","page":"1493","publisher":"Multidisciplinary Digital Publishing Institute","source":"www.mdpi.com","title":"K103N, V106M and Y188L Significantly Reduce HIV-1 Subtype C Phenotypic Susceptibility to Doravirine","volume":"16","author":[{"family":"Reddy","given":"Nikita"},{"family":"Papathanasopoulos","given":"Maria"},{"family":"Steegen","given":"Kim"},{"family":"Basson","given":"Adriaan Erasmus"}],"issued":{"date-parts":[["2024",9]]}}}],"schema":"https://github.com/citation-style-language/schema/raw/master/csl-citation.json"} </w:instrText>
      </w:r>
      <w:r>
        <w:fldChar w:fldCharType="separate"/>
      </w:r>
      <w:r w:rsidR="00CC484F" w:rsidRPr="00CC484F">
        <w:rPr>
          <w:rFonts w:cs="Mangal"/>
          <w:szCs w:val="24"/>
          <w:vertAlign w:val="superscript"/>
          <w:lang w:bidi="hi-IN"/>
        </w:rPr>
        <w:t>78</w:t>
      </w:r>
      <w:r>
        <w:fldChar w:fldCharType="end"/>
      </w:r>
      <w:r>
        <w:t xml:space="preserve"> and V106A/V106M is the primary resistance pathway in subtypes A and C as well as B.</w:t>
      </w:r>
      <w:r>
        <w:fldChar w:fldCharType="begin"/>
      </w:r>
      <w:r>
        <w:instrText xml:space="preserve"> ADDIN ZOTERO_ITEM CSL_CITATION {"citationID":"dEowYgP9","properties":{"unsorted":false,"formattedCitation":"\\super 16\\nosupersub{}","plainCitation":"16","noteIndex":0},"citationItems":[{"id":200,"uris":["http://zotero.org/users/19404620/items/3N7LAJL2"],"itemData":{"id":200,"type":"article-journal","abstract":"Doravirine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w:instrText>
      </w:r>
      <w:r>
        <w:rPr>
          <w:rFonts w:hint="eastAsia"/>
        </w:rPr>
        <w:instrText>×</w:instrText>
      </w:r>
      <w:r>
        <w:instrText xml:space="preserve"> EC95) to 1,000</w:instrText>
      </w:r>
      <w:r>
        <w:rPr>
          <w:rFonts w:hint="eastAsia"/>
        </w:rPr>
        <w:instrText>×</w:instrText>
      </w:r>
      <w:r>
        <w:instrText xml:space="preserve">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D."},{"family":"Lai","given":"Ming-Tain"}],"issued":{"date-parts":[["2015",1]]}}}],"schema":"https://github.com/citation-style-language/schema/raw/master/csl-citation.json"} </w:instrText>
      </w:r>
      <w:r>
        <w:fldChar w:fldCharType="separate"/>
      </w:r>
      <w:r>
        <w:rPr>
          <w:vertAlign w:val="superscript"/>
        </w:rPr>
        <w:t>16</w:t>
      </w:r>
      <w:r>
        <w:fldChar w:fldCharType="end"/>
      </w:r>
      <w:r>
        <w:t xml:space="preserve"> We quantified the uncertainty on these contrasts by treating the replicate as the unit of replication and computing Welch intervals on the difference of replicate means. The displacement toward Ser105 is well resolved: −1.35 Å [−1.73, −0.97] for V106A relative to WT and +1.85 Å [1.25, 2.45] for V106I relative to V106A, with Hedges' g near 9 in both cases. The accompanying changes in pyridinone contact count are directionally consistent but not resolved at three replicates (−3.2 contacts [−9.3, +2.9] for V106A relative to WT), and the V106A versus V106M contrast is within error on every metric we examined. We therefore rest the V106 argument on the displacement, which the replicates support, rather than on the contact counts, which they do not.</w:t>
      </w:r>
    </w:p>
    <w:p w14:paraId="432E1FC8" w14:textId="31C6482E" w:rsidR="00CA031B" w:rsidRDefault="00330C66" w:rsidP="00B813C0">
      <w:pPr>
        <w:pStyle w:val="TAMainText"/>
        <w:spacing w:after="240"/>
      </w:pPr>
      <w:r>
        <w:t>Several genotypes show inconsistencies between ∆∆</w:t>
      </w:r>
      <w:proofErr w:type="spellStart"/>
      <w:r>
        <w:t>E</w:t>
      </w:r>
      <w:r>
        <w:rPr>
          <w:vertAlign w:val="subscript"/>
        </w:rPr>
        <w:t>Total</w:t>
      </w:r>
      <w:proofErr w:type="spellEnd"/>
      <w:r>
        <w:t xml:space="preserve"> and ∆∆</w:t>
      </w:r>
      <w:proofErr w:type="spellStart"/>
      <w:r>
        <w:t>G</w:t>
      </w:r>
      <w:r>
        <w:rPr>
          <w:vertAlign w:val="subscript"/>
        </w:rPr>
        <w:t>bind</w:t>
      </w:r>
      <w:proofErr w:type="spellEnd"/>
      <w:r>
        <w:t>, which is not surprising. The two measure different quantities, the interface energy of the bound complex versus the energetic difference between bound and unbound states.</w:t>
      </w:r>
      <w:r>
        <w:fldChar w:fldCharType="begin"/>
      </w:r>
      <w:r>
        <w:instrText xml:space="preserve"> ADDIN ZOTERO_ITEM CSL_CITATION {"citationID":"TRvkGbXI","properties":{"unsorted":false,"formattedCitation":"\\super 34\\nosupersub{}","plainCitation":"34","noteIndex":0},"citationItems":[{"id":361,"uris":["http://zotero.org/users/19404620/items/A8NFQWYD"],"itemData":{"id":361,"type":"article-journal","abstract":"Introduction: The molecular mechanics energies combined with the Poisson–Boltzmann or generalized Born and surface area continuum solvation (MM/PBSA and MM/GBSA) methods are popular approaches to estimate the free energy of the binding of small ligands to biological macromolecules. They are typically based on molecular dynamics simulations of the receptor–ligand complex and are therefore intermediate in both accuracy and computational effort between empirical scoring and strict alchemical perturbation methods. They have been applied to a large number of systems with varying success. Areas covered: The authors review the use of MM/PBSA and MM/GBSA methods to calculate ligand-binding affinities, with an emphasis on calibration, testing and validation, as well as attempts to improve the methods, rather than on specific applications. Expert opinion: MM/PBSA and MM/GBSA are attractive approaches owing to their modular nature and that they do not require calculations on a training set. They have been used successfully to reproduce and rationalize experimental findings and to improve the results of virtual screening and docking. However, they contain several crude and questionable approximations, for example, the lack of conformational entropy and information about the number and free energy of water molecules in the binding site. Moreover, there are many variants of the method and their performance varies strongly with the tested system. Likewise, most attempts to ameliorate the methods with more accurate approaches, for example, quantum-mechanical calculations, polarizable force fields or improved solvation have deteriorated the results.","container-title":"Expert Opinion on Drug Discovery","DOI":"10.1517/17460441.2015.1032936","ISSN":"1746-0441","issue":"5","page":"449-461","PMID":"25835573","publisher":"Taylor &amp; Francis","source":"Taylor and Francis+NEJM","title":"The MM/PBSA and MM/GBSA methods to estimate ligand-binding affinities","volume":"10","author":[{"family":"Genheden","given":"Samuel"},{"family":"Ryde","given":"Ulf"}],"issued":{"date-parts":[["2015",5,4]]}}}],"schema":"https://github.com/citation-style-language/schema/raw/master/csl-citation.json"} </w:instrText>
      </w:r>
      <w:r>
        <w:fldChar w:fldCharType="separate"/>
      </w:r>
      <w:r>
        <w:rPr>
          <w:vertAlign w:val="superscript"/>
        </w:rPr>
        <w:t>34</w:t>
      </w:r>
      <w:r>
        <w:fldChar w:fldCharType="end"/>
      </w:r>
      <w:r>
        <w:t xml:space="preserve"> G190E and A98G+F227C both distort the DOR–RT interface (∆∆</w:t>
      </w:r>
      <w:proofErr w:type="spellStart"/>
      <w:r>
        <w:t>E</w:t>
      </w:r>
      <w:r>
        <w:rPr>
          <w:vertAlign w:val="subscript"/>
        </w:rPr>
        <w:t>Total</w:t>
      </w:r>
      <w:proofErr w:type="spellEnd"/>
      <w:r>
        <w:t xml:space="preserve"> = 1.94 ± 0.40 and 2.47 ± 0.24 kcal/mol), but comparable distortion is present in the apo simulations, so the penalty largely cancels in the thermodynamic cycle and the residual favors binding (∆∆</w:t>
      </w:r>
      <w:proofErr w:type="spellStart"/>
      <w:r>
        <w:t>G</w:t>
      </w:r>
      <w:r>
        <w:rPr>
          <w:vertAlign w:val="subscript"/>
        </w:rPr>
        <w:t>bind</w:t>
      </w:r>
      <w:proofErr w:type="spellEnd"/>
      <w:r>
        <w:t xml:space="preserve"> = −1.02 ± 0.38 and −1.53 ± 0.87 kcal/mol). Similarly, for K103N+M230L, our calculations suggest negligible binding penalty (∆∆</w:t>
      </w:r>
      <w:proofErr w:type="spellStart"/>
      <w:r>
        <w:t>G</w:t>
      </w:r>
      <w:r>
        <w:rPr>
          <w:vertAlign w:val="subscript"/>
        </w:rPr>
        <w:t>bind</w:t>
      </w:r>
      <w:proofErr w:type="spellEnd"/>
      <w:r>
        <w:t xml:space="preserve"> = 0.59 ± 0.41 kcal/mol) despite a 36-fold reduction in susceptibility (Table 1). Structural metrics suggest DOR </w:t>
      </w:r>
      <w:r>
        <w:lastRenderedPageBreak/>
        <w:t>interface is unperturbed — chlorocyanophenyl burial is the second highest in the panel, 22.8 ± 2.4 against 19.5 ± 0.5 in WT, and the Lys103 anchor is intact at 3.05 ± 0.04 Å (Table 3). Interestingly, Met230 lies in the p66 primer grip, where its side chain contacts the primer terminus,</w:t>
      </w:r>
      <w:r>
        <w:fldChar w:fldCharType="begin"/>
      </w:r>
      <w:r w:rsidR="00CC484F">
        <w:instrText xml:space="preserve"> ADDIN ZOTERO_ITEM CSL_CITATION {"citationID":"hcub9j4R","properties":{"unsorted":false,"formattedCitation":"\\super 79\\nosupersub{}","plainCitation":"79","noteIndex":0},"citationItems":[{"id":373,"uris":["http://zotero.org/users/19404620/items/WXBT89IW"],"itemData":{"id":373,"type":"article-journal","abstract":"Alanine scanning mutagenesis was undertaken to evaluate\nthe structural significance of Met230−His235 of the 66 kDa subunit of p66/p51 human immunodeficiency virus reverse transcriptase (HIV-1\nRT). Together with Glu224−Trp229, these\nresidues provide the framework of the p66 </w:instrText>
      </w:r>
      <w:r w:rsidR="00CC484F">
        <w:rPr>
          <w:rFonts w:hint="eastAsia"/>
        </w:rPr>
        <w:instrText>“</w:instrText>
      </w:r>
      <w:r w:rsidR="00CC484F">
        <w:instrText>primer grip</w:instrText>
      </w:r>
      <w:r w:rsidR="00CC484F">
        <w:rPr>
          <w:rFonts w:hint="eastAsia"/>
        </w:rPr>
        <w:instrText>”</w:instrText>
      </w:r>
      <w:r w:rsidR="00CC484F">
        <w:instrText xml:space="preserve">,\nwhose\nproposed role is maintaining the primer terminus in an orientation appropriate for nucleophilic attack on\nan incoming dNTP. Of these residues, altering Leu234 results in a p66 subunit incapable of associating\ninto heterodimer. The remaining selectively mutated enzymes were\nsuccessfully reconstituted and purified\nto homogeneity for evaluation of RT-associated activities. We show\nhere that alterations to any residue\nwithin the p66\n-Trp229-Met230-Gly231-Tyr232-quartet\nalter functions associated with both the DNA polymerase\nand ribonuclease H (RNase H) domains. Detailed analysis of mutant\np66Y232A/p51 with an intact or a\nmodel </w:instrText>
      </w:r>
      <w:r w:rsidR="00CC484F">
        <w:rPr>
          <w:rFonts w:hint="eastAsia"/>
        </w:rPr>
        <w:instrText>“</w:instrText>
      </w:r>
      <w:r w:rsidR="00CC484F">
        <w:instrText>precleaved</w:instrText>
      </w:r>
      <w:r w:rsidR="00CC484F">
        <w:rPr>
          <w:rFonts w:hint="eastAsia"/>
        </w:rPr>
        <w:instrText>”</w:instrText>
      </w:r>
      <w:r w:rsidR="00CC484F">
        <w:instrText xml:space="preserve"> RNA−DNA hybrid suggests an altered RNase H\nphenotype could result from relocation\nof template-primer in the nucleic acid binding cleft. As a\nconsequence, template nucleotide −8 is positioned\nin the immediate vicinity of the RNase H catalytic center rather than\nnucleotide −17.","container-title":"Biochemistry","DOI":"10.1021/bi952773j","ISSN":"0006-2960","issue":"26","journalAbbreviation":"Biochemistry","page":"8553-8562","source":"Silverchair","title":"Alterations to the Primer Grip of p66 HIV-1 Reverse Transcriptase and Their Consequences for Template-Primer Utilization","volume":"35","author":[{"family":"Ghosh","given":"Madhumita"},{"family":"Jacques","given":"Pamela S."},{"family":"Rodgers","given":"David W."},{"family":"Ottman","given":"Michele"},{"family":"Darlix","given":"Jean-Luc"},{"family":"Le Grice","given":"Stuart F. J."}],"issued":{"date-parts":[["1996",7,2]]}}}],"schema":"https://github.com/citation-style-language/schema/raw/master/csl-citation.json"} </w:instrText>
      </w:r>
      <w:r>
        <w:fldChar w:fldCharType="separate"/>
      </w:r>
      <w:r w:rsidR="00CC484F" w:rsidRPr="00CC484F">
        <w:rPr>
          <w:rFonts w:cs="Mangal"/>
          <w:szCs w:val="24"/>
          <w:vertAlign w:val="superscript"/>
          <w:lang w:bidi="hi-IN"/>
        </w:rPr>
        <w:t>79</w:t>
      </w:r>
      <w:r>
        <w:fldChar w:fldCharType="end"/>
      </w:r>
      <w:r>
        <w:t xml:space="preserve"> and M230L impairs RT enzymatic function and viral replicative capacity in addition to reducing NNRTI susceptibility.</w:t>
      </w:r>
      <w:r>
        <w:fldChar w:fldCharType="begin"/>
      </w:r>
      <w:r w:rsidR="00CC484F">
        <w:instrText xml:space="preserve"> ADDIN ZOTERO_ITEM CSL_CITATION {"citationID":"EQOSkDjk","properties":{"unsorted":false,"formattedCitation":"\\super 80\\nosupersub{}","plainCitation":"80","noteIndex":0},"citationItems":[{"id":376,"uris":["http://zotero.org/users/19404620/items/UE4GCS4D"],"itemData":{"id":376,"type":"article-journal","abstract":"The M230L mutation in HIV-1 reverse transcriptase (RT) is associated with resistance to first-generation nonnucleoside reverse transcriptase inhibitors (NNRTIs). The present study was designed to determine the effects of M230L on enzyme function, viral replication capacity (RC), and the extent to which M230L might confer resistance to the second-generation NNRTI etravirine (ETR) as well as to the first-generation NNRTIs efavirenz (EFV) and nevirapine (NVP). Phenotyping assays with TZM-bl cells confirmed that M230L conferred various degrees of resistance to each of the NNRTIs tested. Recombinant viruses containing M230L displayed an 8-fold decrease in RC compared to that of the parental wild-type (WT) virus. Recombinant HIV-1 WT and M230L mutant RT enzymes were purified; and both biochemical and cell-based phenotypic assays confirmed that M230L conferred resistance to each of EFV, NVP, and ETR. RT that contained M230L was also deficient in regard to each of minus-strand DNA synthesis, both DNA- and RNA-dependent polymerase activities, processivity, and RNase H activity, suggesting that this mutation contributes to diminished viral replication kinetics.","container-title":"Antimicrobial Agents and Chemotherapy","DOI":"10.1128/aac.01795-09","issue":"6","page":"2401-2408","publisher":"American Society for Microbiology","source":"journals.asm.org (Atypon)","title":"The M230L Nonnucleoside Reverse Transcriptase Inhibitor Resistance Mutation in HIV-1 Reverse Transcriptase Impairs Enzymatic Function and Viral Replicative Capacity","volume":"54","author":[{"family":"Xu","given":"Hong-Tao"},{"family":"Quan","given":"Yudong"},{"family":"Schader","given":"Susan M."},{"family":"Oliveira","given":"Maureen"},{"family":"Bar-Magen","given":"Tamara"},{"family":"Wainberg","given":"Mark A."}],"issued":{"date-parts":[["2010",6]]}}}],"schema":"https://github.com/citation-style-language/schema/raw/master/csl-citation.json"} </w:instrText>
      </w:r>
      <w:r>
        <w:fldChar w:fldCharType="separate"/>
      </w:r>
      <w:r w:rsidR="00CC484F" w:rsidRPr="00CC484F">
        <w:rPr>
          <w:rFonts w:cs="Mangal"/>
          <w:szCs w:val="24"/>
          <w:vertAlign w:val="superscript"/>
          <w:lang w:bidi="hi-IN"/>
        </w:rPr>
        <w:t>80</w:t>
      </w:r>
      <w:r>
        <w:fldChar w:fldCharType="end"/>
      </w:r>
      <w:r>
        <w:t xml:space="preserve"> Our system is a binary RT–DOR complex containing no template/primer, so a resistance mechanism acting through that interface is absent from our simulations. More generally, resistance can act through large-scale allosteric change, through the conformational equilibrium of the unliganded pocket on timescales far longer than we sample, or through effects on enzyme processivity and viral fitness, none of which are captured in these calculations. Such mechanisms are in principle accessible to hybrid QM/MM approaches,</w:t>
      </w:r>
      <w:r>
        <w:fldChar w:fldCharType="begin"/>
      </w:r>
      <w:r w:rsidR="00CC484F">
        <w:instrText xml:space="preserve"> ADDIN ZOTERO_ITEM CSL_CITATION {"citationID":"sLjTkXhC","properties":{"unsorted":true,"formattedCitation":"\\super 81,82\\nosupersub{}","plainCitation":"81,82","noteIndex":0},"citationItems":[{"id":338,"uris":["http://zotero.org/users/19404620/items/GTRLFGP9"],"itemData":{"id":338,"type":"article-journal","abstract":"Computational\nenzymology is a rapidly maturing field that is increasingly\nintegral to understanding mechanisms of enzyme-catalyzed reactions and their practical applications. Combined quantum mechanics/molecular mechanics (QM/MM) methods are important in this field. By treating the reacting species with a quantum mechanical method (i.e., a method that calculates the electronic structure of the active site) and including the enzyme environment with simpler molecular mechanical methods, enzyme reactions can be modeled. Here, we review QM/MM methods and their application to enzyme-catalyzed reactions to investigate fundamental and practical problems in enzymology. A range of QM/MM methods is available, from cheaper and more approximate methods, which can be used for molecular dynamics simulations, to highly accurate electronic structure methods. We discuss how modeling of reactions using such methods can provide detailed insight into enzyme mechanisms and illustrate this by reviewing some recent applications. We outline some practical considerations for such simulations. Further, we highlight applications that show how QM/MM methods can contribute to the practical development and application of enzymology, e.g., in the interpretation and prediction of the effects of mutagenesis and in drug and catalyst design.","container-title":"Biochemistry","DOI":"10.1021/bi400215w","ISSN":"0006-2960","issue":"16","journalAbbreviation":"Biochemistry","page":"2708-2728","source":"Silverchair","title":"Combined Quantum Mechanics/Molecular Mechanics (QM/MM) Methods in Computational Enzymology","volume":"52","author":[{"family":"Kamp","given":"Marc W.","non-dropping-particle":"van der"},{"family":"Mulholland","given":"Adrian J."}],"issued":{"date-parts":[["2013",4,4]]}}},{"id":340,"uris":["http://zotero.org/users/19404620/items/2JIEDPSK"],"itemData":{"id":340,"type":"article-journal","abstract":"A human immunodeficiency virus-1\n(HIV-1) protease is a homodimeric\naspartic protease essential for the replication of HIV. The HIV-1 protease is a target protein in drug discovery for antiretroviral therapy, and various inhibitor molecules of transition state analogues have been developed. However, serious drug-resistant mutants have emerged. For understanding the molecular mechanism of the drug resistance, an accurate examination of the impacts of the mutations on ligand binding and enzymatic activity is necessary. Here, we present a molecular simulation study on the ligand binding of indinavir, a potent transition state analogue inhibitor, to the wild-type protein and a V82T/I84V drug-resistant mutant of the HIV-1 protease. We employed a hybrid ab initio quantum mechanical/molecular mechanical (QM/MM) free-energy optimization technique which combines a highly accurate QM description of the ligand molecule and its interaction with statistically ample conformational sampling of the MM protein environment by long-time molecular dynamics simulations. Through the free-energy calculations of protonation states of catalytic groups at the binding pocket and of the ligand-binding affinity changes upon the mutations, we successfully reproduced the experimentally observed significant reduction of the binding affinity upon the drug-resistant mutations and elucidated the underlying molecular mechanism. The present study opens the way for understanding the molecular mechanism of drug resistance through the direct quantitative comparison of ligand binding and enzymatic reaction with the same accuracy.","container-title":"Journal of Chemical Information and Modeling","DOI":"10.1021/acs.jcim.1c01193","ISSN":"1549-9596","issue":"5","journalAbbreviation":"J. Chem. Inf. Model.","page":"1328-1344","source":"Silverchair","title":"Hybrid QM/MM Free-Energy Evaluation of Drug-Resistant Mutational Effect on the Binding of an Inhibitor Indinavir to HIV‑1 Protease","volume":"62","author":[{"family":"Taguchi","given":"Masahiko"},{"family":"Oyama","given":"Ryo"},{"family":"Kaneso","given":"Masahiro"},{"family":"Hayashi","given":"Shigehiko"}],"issued":{"date-parts":[["2022",2,25]]}}}],"schema":"https://github.com/citation-style-language/schema/raw/master/csl-citation.json"} </w:instrText>
      </w:r>
      <w:r>
        <w:fldChar w:fldCharType="separate"/>
      </w:r>
      <w:r w:rsidR="00CC484F" w:rsidRPr="00CC484F">
        <w:rPr>
          <w:rFonts w:cs="Mangal"/>
          <w:szCs w:val="24"/>
          <w:vertAlign w:val="superscript"/>
          <w:lang w:bidi="hi-IN"/>
        </w:rPr>
        <w:t>81,82</w:t>
      </w:r>
      <w:r>
        <w:fldChar w:fldCharType="end"/>
      </w:r>
      <w:r>
        <w:t xml:space="preserve"> enhanced sampling techniques,</w:t>
      </w:r>
      <w:r>
        <w:fldChar w:fldCharType="begin"/>
      </w:r>
      <w:r w:rsidR="00CC484F">
        <w:instrText xml:space="preserve"> ADDIN ZOTERO_ITEM CSL_CITATION {"citationID":"rSbnknBS","properties":{"unsorted":true,"formattedCitation":"\\super 83\\uc0\\u8211{}85\\nosupersub{}","plainCitation":"83</w:instrText>
      </w:r>
      <w:r w:rsidR="00CC484F">
        <w:rPr>
          <w:rFonts w:hint="eastAsia"/>
        </w:rPr>
        <w:instrText>–</w:instrText>
      </w:r>
      <w:r w:rsidR="00CC484F">
        <w:instrText>85","noteIndex":0},"citationItems":[{"id":344,"uris":["http://zotero.org/users/19404620/items/LYV9Y28D"],"itemData":{"id":344,"type":"article-journal","abstract":"Understanding the structural mechanisms of protein</w:instrText>
      </w:r>
      <w:r w:rsidR="00CC484F">
        <w:rPr>
          <w:rFonts w:hint="eastAsia"/>
        </w:rPr>
        <w:instrText>–</w:instrText>
      </w:r>
      <w:r w:rsidR="00CC484F">
        <w:instrText>ligand binding and their dependence on protein sequence and conformation is of fundamental importance for biomedical research. Here we investigate the interplay of conformational change and ligand-binding kinetics for the serine protease Trypsin and its competitive inhibitor Benzamidine with an extensive set of 150 </w:instrText>
      </w:r>
      <w:r w:rsidR="00CC484F">
        <w:rPr>
          <w:rFonts w:hint="eastAsia"/>
        </w:rPr>
        <w:instrText>μ</w:instrText>
      </w:r>
      <w:r w:rsidR="00CC484F">
        <w:instrText>s molecular dynamics simulation data, analysed using a Markov state model. Seven metastable conformations with different binding pocket structures are found that interconvert at timescales of tens of microseconds. These conformations differ in their substrate-binding affinities and binding/dissociation rates. For each metastable state, corresponding solved structures of Trypsin mutants or similar serine proteases are contained in the protein data bank. Thus, our wild-type simulations explore a space of conformations that can be individually stabilized by adding ligands or making suitable changes in protein sequence. These findings provide direct evidence of conformational plasticity in receptors.","container-title":"Nature Communications","DOI":"10.1038/ncomms8653","ISSN":"2041-1723","issue":"1","journalAbbreviation":"Nat Commun","language":"en","license":"2015 The Author(s)","page":"7653","publisher":"Nature Publishing Group","source":"www-nature-com.stanford.idm.oclc.org","title":"Protein conformational plasticity and complex ligand-binding kinetics explored by atomistic simulations and Markov models","volume":"6","author":[{"family":"Plattner","given":"Nuria"},{"family":"No</w:instrText>
      </w:r>
      <w:r w:rsidR="00CC484F">
        <w:rPr>
          <w:rFonts w:hint="eastAsia"/>
        </w:rPr>
        <w:instrText>é</w:instrText>
      </w:r>
      <w:r w:rsidR="00CC484F">
        <w:instrText>","given":"Frank"}],"issued":{"date-parts":[["2015",7,2]]}}},{"id":342,"uris":["http://zotero.org/users/19404620/items/QEBNVLBI"],"itemData":{"id":342,"type":"article-journal","abstract":"The ability to predict the mechanisms and the associated rate constants of protein</w:instrText>
      </w:r>
      <w:r w:rsidR="00CC484F">
        <w:rPr>
          <w:rFonts w:hint="eastAsia"/>
        </w:rPr>
        <w:instrText>–</w:instrText>
      </w:r>
      <w:r w:rsidR="00CC484F">
        <w:instrText>ligand unbinding is of great practical importance in drug design. In this work we demonstrate how a recently introduced metadynamics-based approach allows exploration of the unbinding pathways, estimation of the rates, and determination of the rate-limiting steps in the paradigmatic case of the trypsin</w:instrText>
      </w:r>
      <w:r w:rsidR="00CC484F">
        <w:rPr>
          <w:rFonts w:hint="eastAsia"/>
        </w:rPr>
        <w:instrText>–</w:instrText>
      </w:r>
      <w:r w:rsidR="00CC484F">
        <w:instrText>benzamidine system. Protein, ligand, and solvent are described with full atomic resolution. Using metadynamics, multiple unbinding trajectories that start with the ligand in the crystallographic binding pose and end with the ligand in the fully solvated state are generated. The unbinding rate koff is computed from the mean residence time of the ligand. Using our previously computed binding affinity we also obtain the binding rate kon. Both rates are in agreement with reported experimental values. We uncover the complex pathways of unbinding trajectories and describe the critical rate-limiting steps with unprecedented detail. Our findings illuminate the role played by the coupling between subtle protein backbone fluctuations and the solvation by water molecules that enter the binding pocket and assist in the breaking of the shielded hydrogen bonds. We expect our approach to be useful in calculating rates for general protein</w:instrText>
      </w:r>
      <w:r w:rsidR="00CC484F">
        <w:rPr>
          <w:rFonts w:hint="eastAsia"/>
        </w:rPr>
        <w:instrText>–</w:instrText>
      </w:r>
      <w:r w:rsidR="00CC484F">
        <w:instrText>ligand systems and a valid support for drug design.","container-title":"Proceedings of the National Academy of Sciences","DOI":"10.1073/pnas.1424461112","issue":"5","page":"E386-E391","publisher":"Proceedings of the National Academy of Sciences","source":"www-pnas-org.stanford.idm.oclc.org (Atypon)","title":"Kinetics of protein</w:instrText>
      </w:r>
      <w:r w:rsidR="00CC484F">
        <w:rPr>
          <w:rFonts w:hint="eastAsia"/>
        </w:rPr>
        <w:instrText>–</w:instrText>
      </w:r>
      <w:r w:rsidR="00CC484F">
        <w:instrText>ligand unbinding: Predicting pathways, rates, and rate-limiting steps","title-short":"Kinetics of protein</w:instrText>
      </w:r>
      <w:r w:rsidR="00CC484F">
        <w:rPr>
          <w:rFonts w:hint="eastAsia"/>
        </w:rPr>
        <w:instrText>–</w:instrText>
      </w:r>
      <w:r w:rsidR="00CC484F">
        <w:instrText>ligand unbinding","volume":"112","author":[{"family":"Tiwary","given":"Pratyush"},{"family":"Limongelli","given":"Vittorio"},{"family":"Salvalaglio","given":"Matteo"},{"family":"Parrinello","given":"Michele"}],"issued":{"date-parts":[["2015",2,3]]}}},{"id":346,"uris":["http://zotero.org/users/19404620/items/DEN4ZGH3"],"itemData":{"id":346,"type":"article-journal","abstract":"Accurate and efficient\ncomputational predictions of ligand binding\nkinetics can be useful to inform drug discovery campaigns, particularly in the screening and lead optimization phases. Simulation enabled estimation of kinetic rates (SEEKR) is a multiscale molecular dynamics, Brownian dynamics, and milestoning simulation approach for calculating receptor</w:instrText>
      </w:r>
      <w:r w:rsidR="00CC484F">
        <w:rPr>
          <w:rFonts w:hint="eastAsia"/>
        </w:rPr>
        <w:instrText>–</w:instrText>
      </w:r>
      <w:r w:rsidR="00CC484F">
        <w:instrText>ligand association and dissociation rates. Here, we\npresent the implementation of a Markovian milestoning with Voronoi tessellations approach that significantly reduces the simulation cost of calculations as well as further improving their parallelizability. The new approach is applied to a host</w:instrText>
      </w:r>
      <w:r w:rsidR="00CC484F">
        <w:rPr>
          <w:rFonts w:hint="eastAsia"/>
        </w:rPr>
        <w:instrText>–</w:instrText>
      </w:r>
      <w:r w:rsidR="00CC484F">
        <w:instrText xml:space="preserve">guest system to assess\nits effectiveness for rank-ordering compounds by kinetic rates and to the model protein system, trypsin, with the noncovalent inhibitor benzamidine. For both applications, we demonstrate that the new approach requires up to a factor of 10 less simulation time to achieve results with comparable or increased accuracy.","container-title":"Journal of Chemical Theory and Computation","DOI":"10.1021/acs.jctc.0c00495","ISSN":"1549-9618","issue":"8","journalAbbreviation":"J. Chem. Theory Comput.","page":"5348-5357","source":"Silverchair","title":"Predicting Ligand Binding Kinetics Using a Markovian Milestoning with Voronoi Tessellations Multiscale Approach","volume":"16","author":[{"family":"Jagger","given":"Benjamin R."},{"family":"Ojha","given":"Anupam A."},{"family":"Amaro","given":"Rommie E."}],"issued":{"date-parts":[["2020",6,24]]}}}],"schema":"https://github.com/citation-style-language/schema/raw/master/csl-citation.json"} </w:instrText>
      </w:r>
      <w:r>
        <w:fldChar w:fldCharType="separate"/>
      </w:r>
      <w:r w:rsidR="00CC484F" w:rsidRPr="00CC484F">
        <w:rPr>
          <w:rFonts w:cs="Mangal"/>
          <w:szCs w:val="24"/>
          <w:vertAlign w:val="superscript"/>
          <w:lang w:bidi="hi-IN"/>
        </w:rPr>
        <w:t>83–85</w:t>
      </w:r>
      <w:r>
        <w:fldChar w:fldCharType="end"/>
      </w:r>
      <w:r>
        <w:t xml:space="preserve"> and machine learning.</w:t>
      </w:r>
      <w:r>
        <w:fldChar w:fldCharType="begin"/>
      </w:r>
      <w:r w:rsidR="00CC484F">
        <w:instrText xml:space="preserve"> ADDIN ZOTERO_ITEM CSL_CITATION {"citationID":"QwpykdhK","properties":{"unsorted":false,"formattedCitation":"\\super 86\\uc0\\u8211{}88\\nosupersub{}","plainCitation":"86</w:instrText>
      </w:r>
      <w:r w:rsidR="00CC484F">
        <w:rPr>
          <w:rFonts w:hint="eastAsia"/>
        </w:rPr>
        <w:instrText>–</w:instrText>
      </w:r>
      <w:r w:rsidR="00CC484F">
        <w:instrText>88","noteIndex":0},"citationItems":[{"id":352,"uris":["http://zotero.org/users/19404620/items/ZQMDXA4E"],"itemData":{"id":352,"type":"article","abstract":"Predicting the binding structure of a small molecule ligand to a protein -- a task known as molecular docking -- is critical to drug design. Recent deep learning methods that treat docking as a regression problem have decreased runtime compared to traditional search-based methods but have yet to offer substantial improvements in accuracy. We instead frame molecular docking as a generative modeling problem and develop DiffDock, a diffusion generative model over the non-Euclidean manifold of ligand poses. To do so, we map this manifold to the product space of the degrees of freedom (translational, rotational, and torsional) involved in docking and develop an efficient diffusion process on this space. Empirically, DiffDock obtains a 38% top-1 success rate (RMSD&lt;2A) on PDBBind, significantly outperforming the previous state-of-the-art of traditional docking (23%) and deep learning (20%) methods. Moreover, while previous methods are not able to dock on computationally folded structures (maximum accuracy 10.4%), DiffDock maintains significantly higher precision (21.7%). Finally, DiffDock has fast inference times and provides confidence estimates with high selective accuracy.","DOI":"10.48550/arXiv.2210.01776","note":"arXiv:2210.01776 [q-bio.BM]","number":"arXiv:2210.01776","publisher":"arXiv","source":"arXiv.org","title":"DiffDock: Diffusion Steps, Twists, and Turns for Molecular Docking","title-short":"DiffDock","URL":"http://arxiv.org/abs/2210.01776","author":[{"family":"Corso","given":"Gabriele"},{"family":"St</w:instrText>
      </w:r>
      <w:r w:rsidR="00CC484F">
        <w:rPr>
          <w:rFonts w:hint="eastAsia"/>
        </w:rPr>
        <w:instrText>ä</w:instrText>
      </w:r>
      <w:r w:rsidR="00CC484F">
        <w:instrText>rk","given":"Hannes"},{"family":"Jing","given":"Bowen"},{"family":"Barzilay","given":"Regina"},{"family":"Jaakkola","given":"Tommi"}],"accessed":{"date-parts":[["2026",8,20]]},"issued":{"date-parts":[["2023",2,11]]}}},{"id":348,"uris":["http://zotero.org/users/19404620/items/KQKRH3EP"],"itemData":{"id":348,"type":"article","abstract":"Understanding biomolecular interactions is fundamental to advancing fields like drug discovery and protein design. In this paper, we introduce Boltz-1, an open-source deep learning model incorporating innovations in model architecture, speed optimization, and data processing achieving AlphaFold3-level accuracy in predicting the 3D structures of biomolecular complexes. Boltz-1 demonstrates a performance on-par with state-of-the-art commercial models on a range of diverse benchmarks, setting a new benchmark for commercially accessible tools in structural biology. Further, we push the boundary of capabilities of these models with Boltz-steering, a new inference time steering technique that is able to fix hallucinations and non-physical predictions from the models. By releasing the training and inference code, model weights, datasets, and benchmarks under the MIT open license, we aim to foster global collaboration, accelerate discoveries, and provide a robust platform for advancing biomolecular modeling.","DOI":"10.1101/2024.11.19.624167","language":"en","license":"</w:instrText>
      </w:r>
      <w:r w:rsidR="00CC484F">
        <w:rPr>
          <w:rFonts w:hint="eastAsia"/>
        </w:rPr>
        <w:instrText>©</w:instrText>
      </w:r>
      <w:r w:rsidR="00CC484F">
        <w:instrText xml:space="preserve"> 2025, Posted by Cold Spring Harbor Laboratory. This pre-print is available under a Creative Commons License (Attribution 4.0 International), CC BY 4.0, as described at http://creativecommons.org/licenses/by/4.0/","note":"page: 2024.11.19.624167\nsection: New Results","publisher":"bioRxiv","source":"bioRxiv","title":"Boltz-1 Democratizing Biomolecular Interaction Modeling","URL":"https://www.biorxiv.org/content/10.1101/2024.11.19.624167v4","author":[{"family":"Wohlwend","given":"Jeremy"},{"family":"Corso","given":"Gabriele"},{"family":"Passaro","given":"Saro"},{"family":"Getz","given":"Noah"},{"family":"Reveiz","given":"Mateo"},{"family":"Leidal","given":"Ken"},{"family":"Swiderski","given":"Wojtek"},{"family":"Atkinson","given":"Liam"},{"family":"Portnoi","given":"Tally"},{"family":"Chinn","given":"Itamar"},{"family":"Silterra","given":"Jacob"},{"family":"Jaakkola","given":"Tommi"},{"family":"Barzilay","given":"Regina"}],"accessed":{"date-parts":[["2026",8,20]]},"issued":{"date-parts":[["2025",5,6]]}}},{"id":350,"uris":["http://zotero.org/users/19404620/items/A8UIUTHT"],"itemData":{"id":350,"type":"article","abstract":"Accurately modeling biomolecular interactions is a central challenge in modern biology. While recent advances, such as AlphaFold3 and Boltz-1, have substantially improved our ability to predict biomolecular complex structures, these models still fall short in predicting binding affinity, a critical property underlying molecular function and therapeutic efficacy. Here, we present Boltz-2, a new structural biology foundation model that exhibits strong performance for both structure and affinity prediction. Boltz-2 introduces controllability features including experimental method conditioning, distance constraints, and multi-chain template integration for structure prediction, and is, to our knowledge, the first AI model to approach the performance of free-energy perturbation (FEP) methods in estimating small molecule</w:instrText>
      </w:r>
      <w:r w:rsidR="00CC484F">
        <w:rPr>
          <w:rFonts w:hint="eastAsia"/>
        </w:rPr>
        <w:instrText>–</w:instrText>
      </w:r>
      <w:r w:rsidR="00CC484F">
        <w:instrText>protein binding affinity. Crucially, it achieves strong correlation with experimental readouts on many benchmarks, while being at least 1000</w:instrText>
      </w:r>
      <w:r w:rsidR="00CC484F">
        <w:rPr>
          <w:rFonts w:hint="eastAsia"/>
        </w:rPr>
        <w:instrText>×</w:instrText>
      </w:r>
      <w:r w:rsidR="00CC484F">
        <w:instrText xml:space="preserve"> more computationally efficient than FEP. By coupling Boltz-2 with a generative model for small molecules, we demonstrate an effective workflow to find diverse, synthesizable, high-affinity binders, as estimated by absolute FEP simulations on the TYK2 target. To foster broad adoption and further innovation at the intersection of machine learning and biology, we are releasing Boltz-2 weights, inference, and training code 1 under a permissive open license, providing a robust and extensible foundation for both academic and industrial research.","DOI":"10.1101/2025.06.14.659707","language":"en","license":"</w:instrText>
      </w:r>
      <w:r w:rsidR="00CC484F">
        <w:rPr>
          <w:rFonts w:hint="eastAsia"/>
        </w:rPr>
        <w:instrText>©</w:instrText>
      </w:r>
      <w:r w:rsidR="00CC484F">
        <w:instrText xml:space="preserve"> 2025, Posted by Cold Spring Harbor Laboratory. This pre-print is available under a Creative Commons License (Attribution 4.0 International), CC BY 4.0, as described at http://creativecommons.org/licenses/by/4.0/","note":"page: 2025.06.14.659707\nsection: New Results","publisher":"bioRxiv","source":"bioRxiv","title":"Boltz-2: Towards Accurate and Efficient Binding Affinity Prediction","title-short":"Boltz-2","URL":"https://www.biorxiv.org/content/10.1101/2025.06.14.659707v1","author":[{"family":"Passaro","given":"Saro"},{"family":"Corso","given":"Gabriele"},{"family":"Wohlwend","given":"Jeremy"},{"family":"Reveiz","given":"Mateo"},{"family":"Thaler","given":"Stephan"},{"family":"Somnath","given":"Vignesh Ram"},{"family":"Getz","given":"Noah"},{"family":"Portnoi","given":"Tally"},{"family":"Roy","given":"Julien"},{"family":"Stark","given":"Hannes"},{"family":"Kwabi-Addo","given":"David"},{"family":"Beaini","given":"Dominique"},{"family":"Jaakkola","given":"Tommi"},{"family":"Barzilay","given":"Regina"}],"accessed":{"date-parts":[["2026",8,20]]},"issued":{"date-parts":[["2025",6,18]]}}}],"schema":"https://github.com/citation-style-language/schema/raw/master/csl-citation.json"} </w:instrText>
      </w:r>
      <w:r>
        <w:fldChar w:fldCharType="separate"/>
      </w:r>
      <w:r w:rsidR="00CC484F" w:rsidRPr="00CC484F">
        <w:rPr>
          <w:rFonts w:cs="Mangal"/>
          <w:szCs w:val="24"/>
          <w:vertAlign w:val="superscript"/>
          <w:lang w:bidi="hi-IN"/>
        </w:rPr>
        <w:t>86–88</w:t>
      </w:r>
      <w:r>
        <w:fldChar w:fldCharType="end"/>
      </w:r>
    </w:p>
    <w:p w14:paraId="5B861651" w14:textId="77777777" w:rsidR="00B06285" w:rsidRDefault="00000000">
      <w:pPr>
        <w:pStyle w:val="TAMainText"/>
        <w:spacing w:after="240"/>
      </w:pPr>
      <w:r>
        <w:t xml:space="preserve">Two features of the force field and the sampling deserve explicit comment. DOR parameters were generated with Gasteiger partial charges, which are less accurate for drug-like molecules than AM1-BCC or RESP. The effect of this choice is not uniform across our two calculations. MM/GBSA evaluates the absolute interaction energy of the complex, so its electrostatic and polar solvation components, </w:t>
      </w:r>
      <w:proofErr w:type="spellStart"/>
      <w:r>
        <w:t>ΔEelec</w:t>
      </w:r>
      <w:proofErr w:type="spellEnd"/>
      <w:r>
        <w:t xml:space="preserve"> and ΔEGB, depend directly on the ligand charge set. The alchemical calculation is far less exposed: DOR is neutral, its parameters are identical at both end states of every leg, and the ligand contribution therefore cancels to a large degree in the thermodynamic cycle, which perturbs the protein and not the ligand. Consistent with this, we recomputed MM/GBSA for a subset of genotypes with AM1-BCC charges and report the comparison in the Supporting Information.</w:t>
      </w:r>
    </w:p>
    <w:p w14:paraId="42131963" w14:textId="77777777" w:rsidR="00B06285" w:rsidRDefault="00000000">
      <w:pPr>
        <w:pStyle w:val="TAMainText"/>
        <w:spacing w:after="240"/>
      </w:pPr>
      <w:r>
        <w:t xml:space="preserve">The sampling is a limitation of a different kind. Three 100 ns replicates are long relative to the local relaxation of the DOR pose, which converges within the first few </w:t>
      </w:r>
      <w:r>
        <w:lastRenderedPageBreak/>
        <w:t>nanoseconds, but short relative to the domain rearrangements of RT and to the conformational equilibrium of the unliganded pocket. Our replicates were seeded from the same crystallographic pose with only small coordinate perturbations, so they sample one conformational basin well rather than surveying the accessible landscape. Stable RMSD values, overlapping forward and reverse work distributions and small replicate-to-replicate errors establish convergence within that basin; they do not establish that the basin is the only relevant one. This distinction matters most for the NNIBP, which is an induced-fit pocket that does not exist in unliganded RT, because a mutation that shifts the conformational equilibrium of the apo enzyme, or the free-energy cost of opening the pocket, perturbs both legs of our thermodynamic cycle in the same direction and largely cancels. The three genotypes where ΔΔGbind misses the phenotype, K103N+M230L, A98G+F227C and G190E, are precisely those whose reported mechanisms are pre-binding or loop-mediated, which is what that cancellation would predict.</w:t>
      </w:r>
      <w:r>
        <w:t xml:space="preserve"> We tested this directly against our apo simulations. Compared on a matched 10 ns window, the unliganded pocket is substantially collapsed relative to the bound state (42–107 Å³ against 223–284 Å³ in Table 3), and its volume differs between genotypes: relative to WT it is −49.0 Å³ for G190E, −36.6 Å³ for V106I+F227C and −28.4 Å³ for A98G+F227C, against +12.5 Å³ for V106A and +2.0 Å³ for K103N+M230L. Two of the three genotypes whose ΔΔGbind misses the phenotype therefore have markedly more collapsed apo pockets than WT, which is what a pre-binding mechanism would produce and what our cycle cancels. In three of the four genotypes whose apo trajectories run to 100 ns, the pocket volume changes by only 1–5 Å³ between the first 10 ns and the remaining 90 ns, so this comparison is not an artifact of the shorter reference.</w:t>
      </w:r>
      <w:r>
        <w:t xml:space="preserve"> Across the panel the DOR heavy-atom RMSD from the crystallographic pose settles between 0.64 and 0.93 Å, wild type at 0.66 Å, so the complexes are stable but the ensembles do not visit alternative poses.</w:t>
      </w:r>
    </w:p>
    <w:p w14:paraId="71C1BD62" w14:textId="77777777" w:rsidR="00237C5E" w:rsidRPr="00E536AD" w:rsidRDefault="00237C5E" w:rsidP="00B813C0">
      <w:pPr>
        <w:pStyle w:val="TAMainText"/>
        <w:spacing w:after="240"/>
        <w:rPr>
          <w:rFonts w:ascii="Times New Roman" w:hAnsi="Times New Roman"/>
        </w:rPr>
      </w:pPr>
    </w:p>
    <w:p w14:paraId="308B5150" w14:textId="77777777" w:rsidR="00776188" w:rsidRDefault="00000000">
      <w:pPr>
        <w:pStyle w:val="TAMainText"/>
        <w:spacing w:before="240" w:after="120"/>
        <w:rPr>
          <w:rFonts w:ascii="Times New Roman" w:hAnsi="Times New Roman"/>
          <w:b/>
          <w:bCs/>
          <w:sz w:val="28"/>
          <w:szCs w:val="22"/>
        </w:rPr>
      </w:pPr>
      <w:r>
        <w:rPr>
          <w:b/>
          <w:bCs/>
        </w:rPr>
        <w:t>ASSOCIATED CONTENT</w:t>
      </w:r>
    </w:p>
    <w:p w14:paraId="6BBB3583" w14:textId="77777777" w:rsidR="00776188" w:rsidRDefault="00000000">
      <w:pPr>
        <w:pStyle w:val="TAMainText"/>
        <w:spacing w:before="120" w:after="60"/>
        <w:rPr>
          <w:rFonts w:ascii="Times New Roman" w:hAnsi="Times New Roman"/>
          <w:i/>
          <w:iCs/>
        </w:rPr>
      </w:pPr>
      <w:r>
        <w:rPr>
          <w:i/>
          <w:iCs/>
        </w:rPr>
        <w:t>Supporting Information</w:t>
      </w:r>
    </w:p>
    <w:p w14:paraId="0800DF6D" w14:textId="77777777" w:rsidR="00776188" w:rsidRDefault="00000000">
      <w:pPr>
        <w:pStyle w:val="TAMainText"/>
        <w:spacing w:after="240"/>
        <w:rPr>
          <w:rFonts w:ascii="Times New Roman" w:hAnsi="Times New Roman"/>
        </w:rPr>
      </w:pPr>
      <w:r>
        <w:t>The Supporting Information is available free of charge at https://pubs.acs.org/doi/10.1021/acs.jcim.XXXXXXX.</w:t>
      </w:r>
    </w:p>
    <w:p w14:paraId="2487FD3D" w14:textId="77777777" w:rsidR="00776188" w:rsidRDefault="00000000">
      <w:pPr>
        <w:pStyle w:val="TAMainText"/>
        <w:spacing w:after="120"/>
        <w:ind w:left="360"/>
        <w:rPr>
          <w:rFonts w:ascii="Times New Roman" w:hAnsi="Times New Roman"/>
        </w:rPr>
      </w:pPr>
      <w:r>
        <w:t>Supplementary Text: Convergence of the DOR pose and of the DOR–RT center-of-mass distance across all production replicates (Supplementary Figure 1), and non-equilibrium switching work distributions for every alchemical transformation (Supplementary Figure 2) (PDF)</w:t>
      </w:r>
    </w:p>
    <w:p w14:paraId="100AE02F" w14:textId="77777777" w:rsidR="00776188" w:rsidRDefault="00000000">
      <w:pPr>
        <w:pStyle w:val="TAMainText"/>
        <w:spacing w:after="120"/>
        <w:ind w:left="360"/>
        <w:rPr>
          <w:rFonts w:ascii="Times New Roman" w:hAnsi="Times New Roman"/>
        </w:rPr>
      </w:pPr>
      <w:r>
        <w:lastRenderedPageBreak/>
        <w:t>Supplementary Table 1: Isolate-level doravirine susceptibility data underlying the median fold-changes in Table 1, with the source study and assay method for each isolate (XLSX)</w:t>
      </w:r>
    </w:p>
    <w:p w14:paraId="0C472872" w14:textId="77777777" w:rsidR="00776188" w:rsidRDefault="00000000">
      <w:pPr>
        <w:pStyle w:val="TAMainText"/>
        <w:spacing w:after="120"/>
        <w:ind w:left="360"/>
        <w:rPr>
          <w:rFonts w:ascii="Times New Roman" w:hAnsi="Times New Roman"/>
        </w:rPr>
      </w:pPr>
      <w:r>
        <w:t>Supplementary Table 2: RT p66 subunit sequences for the wild type and all 18 simulated genotypes (XLSX)</w:t>
      </w:r>
    </w:p>
    <w:p w14:paraId="20E747D3" w14:textId="77777777" w:rsidR="00776188" w:rsidRDefault="00000000">
      <w:pPr>
        <w:pStyle w:val="TAMainText"/>
        <w:spacing w:after="120"/>
        <w:ind w:left="360"/>
        <w:rPr>
          <w:rFonts w:ascii="Times New Roman" w:hAnsi="Times New Roman"/>
        </w:rPr>
      </w:pPr>
      <w:r>
        <w:t>Supplementary Table 3: Per-replicate MM/GBSA energy components, and per-leg alchemical free energies with BAR, Crooks Gaussian intersection and Jarzynski estimates, for every genotype (XLSX)</w:t>
      </w:r>
    </w:p>
    <w:p w14:paraId="63BB3C26" w14:textId="77777777" w:rsidR="00776188" w:rsidRDefault="00000000">
      <w:pPr>
        <w:pStyle w:val="TAMainText"/>
        <w:spacing w:after="120"/>
        <w:ind w:left="360"/>
        <w:rPr>
          <w:rFonts w:ascii="Times New Roman" w:hAnsi="Times New Roman"/>
        </w:rPr>
      </w:pPr>
      <w:r>
        <w:t>Supplementary Table 4: Per-replicate values of the structural observables summarized in Table 3 (XLSX)</w:t>
      </w:r>
    </w:p>
    <w:p w14:paraId="20FF571F" w14:textId="77777777" w:rsidR="00776188" w:rsidRDefault="00000000">
      <w:pPr>
        <w:pStyle w:val="TAMainText"/>
        <w:spacing w:before="240" w:after="120"/>
        <w:rPr>
          <w:rFonts w:ascii="Times New Roman" w:hAnsi="Times New Roman"/>
          <w:b/>
          <w:bCs/>
          <w:sz w:val="28"/>
          <w:szCs w:val="22"/>
        </w:rPr>
      </w:pPr>
      <w:r>
        <w:rPr>
          <w:b/>
          <w:bCs/>
        </w:rPr>
        <w:t>Data and Software Availability</w:t>
      </w:r>
    </w:p>
    <w:p w14:paraId="7EBE0784" w14:textId="77777777" w:rsidR="00776188" w:rsidRDefault="00000000">
      <w:pPr>
        <w:pStyle w:val="TAMainText"/>
        <w:spacing w:after="240"/>
        <w:rPr>
          <w:rFonts w:ascii="Times New Roman" w:hAnsi="Times New Roman"/>
        </w:rPr>
      </w:pPr>
      <w:r>
        <w:t>All code used to prepare the systems, run the simulations and produce every figure and table in this work is openly available at https://github.com/rohitium/nnrti-mechanisms under the MIT license. Raw production trajectories (approximately 13 GB after solvent stripping) are available from the corresponding author on reasonable request.</w:t>
      </w:r>
    </w:p>
    <w:p w14:paraId="5B334930" w14:textId="77777777" w:rsidR="00776188" w:rsidRDefault="00000000">
      <w:pPr>
        <w:pStyle w:val="TAMainText"/>
        <w:spacing w:before="240" w:after="120"/>
        <w:rPr>
          <w:rFonts w:ascii="Times New Roman" w:hAnsi="Times New Roman"/>
          <w:b/>
          <w:bCs/>
          <w:sz w:val="28"/>
          <w:szCs w:val="22"/>
        </w:rPr>
      </w:pPr>
      <w:r>
        <w:rPr>
          <w:b/>
          <w:bCs/>
        </w:rPr>
        <w:t>AUTHOR INFORMATION</w:t>
      </w:r>
    </w:p>
    <w:p w14:paraId="598BA867" w14:textId="77777777" w:rsidR="00776188" w:rsidRDefault="00000000">
      <w:pPr>
        <w:pStyle w:val="TAMainText"/>
        <w:spacing w:before="120" w:after="60"/>
        <w:rPr>
          <w:rFonts w:ascii="Times New Roman" w:hAnsi="Times New Roman"/>
          <w:i/>
          <w:iCs/>
        </w:rPr>
      </w:pPr>
      <w:r>
        <w:rPr>
          <w:i/>
          <w:iCs/>
        </w:rPr>
        <w:t>Corresponding Author</w:t>
      </w:r>
    </w:p>
    <w:p w14:paraId="5DC85BD2" w14:textId="77777777" w:rsidR="00776188" w:rsidRDefault="00000000">
      <w:pPr>
        <w:pStyle w:val="TAMainText"/>
        <w:spacing w:after="240"/>
        <w:rPr>
          <w:rFonts w:ascii="Times New Roman" w:hAnsi="Times New Roman"/>
        </w:rPr>
      </w:pPr>
      <w:r>
        <w:t>Rohit Satija — Division of Infectious Diseases, School of Medicine, Stanford University, Stanford, California 94305, United States; orcid.org/0000-0003-1776-8860; Email: rsatija@stanford.edu</w:t>
      </w:r>
    </w:p>
    <w:p w14:paraId="6A777069" w14:textId="77777777" w:rsidR="00776188" w:rsidRDefault="00000000">
      <w:pPr>
        <w:pStyle w:val="TAMainText"/>
        <w:spacing w:before="120" w:after="60"/>
        <w:rPr>
          <w:rFonts w:ascii="Times New Roman" w:hAnsi="Times New Roman"/>
          <w:i/>
          <w:iCs/>
        </w:rPr>
      </w:pPr>
      <w:r>
        <w:rPr>
          <w:i/>
          <w:iCs/>
        </w:rPr>
        <w:t>Authors</w:t>
      </w:r>
    </w:p>
    <w:p w14:paraId="03206648" w14:textId="77777777" w:rsidR="00776188" w:rsidRDefault="00000000">
      <w:pPr>
        <w:pStyle w:val="TAMainText"/>
        <w:spacing w:after="240"/>
        <w:rPr>
          <w:rFonts w:ascii="Times New Roman" w:hAnsi="Times New Roman"/>
        </w:rPr>
      </w:pPr>
      <w:r>
        <w:lastRenderedPageBreak/>
        <w:t>Kaiming Tao — Division of Infectious Diseases, School of Medicine, Stanford University, Stanford, California 94305, United States; orcid.org/0000-0001-8731-1271</w:t>
      </w:r>
    </w:p>
    <w:p w14:paraId="0D008E7C" w14:textId="77777777" w:rsidR="00776188" w:rsidRDefault="00000000">
      <w:pPr>
        <w:pStyle w:val="TAMainText"/>
        <w:spacing w:after="240"/>
        <w:rPr>
          <w:rFonts w:ascii="Times New Roman" w:hAnsi="Times New Roman"/>
        </w:rPr>
      </w:pPr>
      <w:r>
        <w:t>Robert W. Shafer — Division of Infectious Diseases, School of Medicine, Stanford University, Stanford, California 94305, United States; orcid.org/0000-0003-2513-2643</w:t>
      </w:r>
    </w:p>
    <w:p w14:paraId="6966D29C" w14:textId="77777777" w:rsidR="00776188" w:rsidRDefault="00000000">
      <w:pPr>
        <w:pStyle w:val="TAMainText"/>
        <w:spacing w:before="120" w:after="60"/>
        <w:rPr>
          <w:rFonts w:ascii="Times New Roman" w:hAnsi="Times New Roman"/>
          <w:i/>
          <w:iCs/>
        </w:rPr>
      </w:pPr>
      <w:r>
        <w:rPr>
          <w:i/>
          <w:iCs/>
        </w:rPr>
        <w:t>Author Contributions</w:t>
      </w:r>
    </w:p>
    <w:p w14:paraId="28AA97E9" w14:textId="77777777" w:rsidR="00776188" w:rsidRDefault="00000000">
      <w:pPr>
        <w:pStyle w:val="TAMainText"/>
        <w:spacing w:after="240"/>
        <w:rPr>
          <w:rFonts w:ascii="Times New Roman" w:hAnsi="Times New Roman"/>
        </w:rPr>
      </w:pPr>
      <w:r>
        <w:t>R.S. designed the study, performed the simulations, developed the analysis software, analyzed the data and wrote the manuscript. K.T. curated the phenotypic susceptibility data and the genotype panel, supervised the study, and revised the manuscript. R.W.S. conceived and supervised the study and revised the manuscript. All authors have given approval to the final version of the manuscript.</w:t>
      </w:r>
    </w:p>
    <w:p w14:paraId="339289C1" w14:textId="77777777" w:rsidR="00776188" w:rsidRDefault="00000000">
      <w:pPr>
        <w:pStyle w:val="TAMainText"/>
        <w:spacing w:before="120" w:after="60"/>
        <w:rPr>
          <w:rFonts w:ascii="Times New Roman" w:hAnsi="Times New Roman"/>
          <w:i/>
          <w:iCs/>
        </w:rPr>
      </w:pPr>
      <w:r>
        <w:rPr>
          <w:i/>
          <w:iCs/>
        </w:rPr>
        <w:t>Funding Sources</w:t>
      </w:r>
    </w:p>
    <w:p w14:paraId="17BB8F3A" w14:textId="77777777" w:rsidR="00776188" w:rsidRDefault="00000000">
      <w:pPr>
        <w:pStyle w:val="TAMainText"/>
        <w:spacing w:after="240"/>
        <w:rPr>
          <w:rFonts w:ascii="Times New Roman" w:hAnsi="Times New Roman"/>
        </w:rPr>
      </w:pPr>
      <w:r>
        <w:t>This work was supported by the National Institute of Allergy and Infectious Diseases, National Institutes of Health (grant number R24AI136618 to R.W.S.). The funders had no role in study design, data collection and analysis, decision to publish, or preparation of the manuscript.</w:t>
      </w:r>
    </w:p>
    <w:p w14:paraId="11725CF2" w14:textId="77777777" w:rsidR="00776188" w:rsidRDefault="00000000">
      <w:pPr>
        <w:pStyle w:val="TAMainText"/>
        <w:spacing w:before="120" w:after="60"/>
        <w:rPr>
          <w:rFonts w:ascii="Times New Roman" w:hAnsi="Times New Roman"/>
          <w:i/>
          <w:iCs/>
        </w:rPr>
      </w:pPr>
      <w:r>
        <w:rPr>
          <w:i/>
          <w:iCs/>
        </w:rPr>
        <w:t>Notes</w:t>
      </w:r>
    </w:p>
    <w:p w14:paraId="6B645E38" w14:textId="77777777" w:rsidR="00776188" w:rsidRDefault="00000000">
      <w:pPr>
        <w:pStyle w:val="TAMainText"/>
        <w:spacing w:after="240"/>
        <w:rPr>
          <w:rFonts w:ascii="Times New Roman" w:hAnsi="Times New Roman"/>
        </w:rPr>
      </w:pPr>
      <w:r>
        <w:t>The authors declare no competing financial interest.</w:t>
      </w:r>
    </w:p>
    <w:p w14:paraId="047F6DED" w14:textId="77777777" w:rsidR="00776188" w:rsidRDefault="00000000">
      <w:pPr>
        <w:pStyle w:val="TAMainText"/>
        <w:spacing w:before="240" w:after="120"/>
        <w:rPr>
          <w:rFonts w:ascii="Times New Roman" w:hAnsi="Times New Roman"/>
          <w:b/>
          <w:bCs/>
          <w:sz w:val="28"/>
          <w:szCs w:val="22"/>
        </w:rPr>
      </w:pPr>
      <w:r>
        <w:rPr>
          <w:b/>
          <w:bCs/>
        </w:rPr>
        <w:t>ACKNOWLEDGMENTS</w:t>
      </w:r>
    </w:p>
    <w:p w14:paraId="27A8E003" w14:textId="77777777" w:rsidR="00776188" w:rsidRDefault="00000000">
      <w:pPr>
        <w:pStyle w:val="TAMainText"/>
        <w:spacing w:after="240"/>
        <w:rPr>
          <w:rFonts w:ascii="Times New Roman" w:hAnsi="Times New Roman"/>
        </w:rPr>
      </w:pPr>
      <w:r>
        <w:t>The authors wish to thank Stanford University and the Stanford Research Computing Center for providing computational resources and support that contributed to these research results.</w:t>
      </w:r>
    </w:p>
    <w:p w14:paraId="14A68E70" w14:textId="77777777" w:rsidR="00776188" w:rsidRDefault="00000000">
      <w:pPr>
        <w:pStyle w:val="TAMainText"/>
        <w:spacing w:before="240" w:after="120"/>
        <w:rPr>
          <w:rFonts w:ascii="Times New Roman" w:hAnsi="Times New Roman"/>
          <w:b/>
          <w:bCs/>
          <w:sz w:val="28"/>
          <w:szCs w:val="22"/>
        </w:rPr>
      </w:pPr>
      <w:r>
        <w:rPr>
          <w:b/>
          <w:bCs/>
        </w:rPr>
        <w:t>ABBREVIATIONS</w:t>
      </w:r>
    </w:p>
    <w:p w14:paraId="54B30CC4" w14:textId="77777777" w:rsidR="00776188" w:rsidRDefault="00000000">
      <w:pPr>
        <w:pStyle w:val="TAMainText"/>
        <w:spacing w:after="240"/>
        <w:rPr>
          <w:rFonts w:ascii="Times New Roman" w:hAnsi="Times New Roman"/>
        </w:rPr>
      </w:pPr>
      <w:r>
        <w:lastRenderedPageBreak/>
        <w:t>ART, antiretroviral therapy; BAR, Bennett acceptance ratio; CGI, Crooks Gaussian intersection; COM, center of mass; DLV, delavirdine; DOR, doravirine; EFV, efavirenz; ETR, etravirine; FEP, free energy perturbation; MD, molecular dynamics; MM/GBSA, molecular mechanics with generalized Born and surface area solvation; NNIBP, non-nucleoside inhibitor binding pocket; NNRTI, non-nucleoside reverse transcriptase inhibitor; NVP, nevirapine; RMSD, root-mean-square deviation; RPV, rilpivirine; RT, reverse transcriptase; SEM, standard error of the mean; WT, wild type.</w:t>
      </w:r>
    </w:p>
    <w:p w14:paraId="73FDB03D" w14:textId="77777777" w:rsidR="00574C6E" w:rsidRPr="00AE6D60" w:rsidRDefault="00574C6E" w:rsidP="00574C6E">
      <w:pPr>
        <w:pStyle w:val="TAMainText"/>
        <w:rPr>
          <w:rFonts w:ascii="Times New Roman" w:hAnsi="Times New Roman"/>
          <w:b/>
          <w:bCs/>
          <w:sz w:val="36"/>
          <w:szCs w:val="28"/>
        </w:rPr>
      </w:pPr>
      <w:r>
        <w:rPr>
          <w:b/>
          <w:bCs/>
          <w:sz w:val="28"/>
          <w:szCs w:val="22"/>
        </w:rPr>
        <w:t>References</w:t>
      </w:r>
    </w:p>
    <w:p w14:paraId="1787A6AC" w14:textId="77777777" w:rsidR="00CC484F" w:rsidRPr="00CC484F" w:rsidRDefault="00574C6E" w:rsidP="00CC484F">
      <w:pPr>
        <w:pStyle w:val="Bibliography"/>
        <w:rPr>
          <w:lang w:bidi="hi-IN"/>
        </w:rPr>
      </w:pPr>
      <w:r>
        <w:fldChar w:fldCharType="begin"/>
      </w:r>
      <w:r>
        <w:instrText xml:space="preserve"> ADDIN ZOTERO_BIBL {"uncited":[],"omitted":[],"custom":[]} CSL_BIBLIOGRAPHY </w:instrText>
      </w:r>
      <w:r>
        <w:fldChar w:fldCharType="separate"/>
      </w:r>
      <w:r w:rsidR="00CC484F" w:rsidRPr="00CC484F">
        <w:rPr>
          <w:lang w:bidi="hi-IN"/>
        </w:rPr>
        <w:t>(1)</w:t>
      </w:r>
      <w:r w:rsidR="00CC484F" w:rsidRPr="00CC484F">
        <w:rPr>
          <w:lang w:bidi="hi-IN"/>
        </w:rPr>
        <w:tab/>
      </w:r>
      <w:proofErr w:type="spellStart"/>
      <w:r w:rsidR="00CC484F" w:rsidRPr="00CC484F">
        <w:rPr>
          <w:lang w:bidi="hi-IN"/>
        </w:rPr>
        <w:t>Kohlstaedt</w:t>
      </w:r>
      <w:proofErr w:type="spellEnd"/>
      <w:r w:rsidR="00CC484F" w:rsidRPr="00CC484F">
        <w:rPr>
          <w:lang w:bidi="hi-IN"/>
        </w:rPr>
        <w:t xml:space="preserve">, L. A.; Wang, J.; Friedman, J. M.; Rice, P. A.; Steitz, T. A. Crystal Structure at 3.5 Å Resolution of HIV-1 Reverse Transcriptase Complexed with an Inhibitor. </w:t>
      </w:r>
      <w:r w:rsidR="00CC484F" w:rsidRPr="00CC484F">
        <w:rPr>
          <w:i/>
          <w:iCs/>
          <w:lang w:bidi="hi-IN"/>
        </w:rPr>
        <w:t>Science</w:t>
      </w:r>
      <w:r w:rsidR="00CC484F" w:rsidRPr="00CC484F">
        <w:rPr>
          <w:lang w:bidi="hi-IN"/>
        </w:rPr>
        <w:t xml:space="preserve"> </w:t>
      </w:r>
      <w:r w:rsidR="00CC484F" w:rsidRPr="00CC484F">
        <w:rPr>
          <w:b/>
          <w:bCs/>
          <w:lang w:bidi="hi-IN"/>
        </w:rPr>
        <w:t>1992</w:t>
      </w:r>
      <w:r w:rsidR="00CC484F" w:rsidRPr="00CC484F">
        <w:rPr>
          <w:lang w:bidi="hi-IN"/>
        </w:rPr>
        <w:t xml:space="preserve">, </w:t>
      </w:r>
      <w:r w:rsidR="00CC484F" w:rsidRPr="00CC484F">
        <w:rPr>
          <w:i/>
          <w:iCs/>
          <w:lang w:bidi="hi-IN"/>
        </w:rPr>
        <w:t>256</w:t>
      </w:r>
      <w:r w:rsidR="00CC484F" w:rsidRPr="00CC484F">
        <w:rPr>
          <w:lang w:bidi="hi-IN"/>
        </w:rPr>
        <w:t xml:space="preserve"> (5065), 1783–1790. https://doi.org/10.1126/science.1377403</w:t>
      </w:r>
    </w:p>
    <w:p w14:paraId="4A11DD3D" w14:textId="77777777" w:rsidR="00CC484F" w:rsidRPr="00CC484F" w:rsidRDefault="00CC484F" w:rsidP="00CC484F">
      <w:pPr>
        <w:pStyle w:val="Bibliography"/>
        <w:rPr>
          <w:lang w:bidi="hi-IN"/>
        </w:rPr>
      </w:pPr>
      <w:r w:rsidRPr="00CC484F">
        <w:rPr>
          <w:lang w:bidi="hi-IN"/>
        </w:rPr>
        <w:t>(2)</w:t>
      </w:r>
      <w:r w:rsidRPr="00CC484F">
        <w:rPr>
          <w:lang w:bidi="hi-IN"/>
        </w:rPr>
        <w:tab/>
        <w:t xml:space="preserve">Spence, R. A.; Kati, W. M.; Anderson, K. S.; Johnson, K. A. Mechanism of Inhibition of HIV-1 Reverse Transcriptase by Nonnucleoside Inhibitors. </w:t>
      </w:r>
      <w:r w:rsidRPr="00CC484F">
        <w:rPr>
          <w:i/>
          <w:iCs/>
          <w:lang w:bidi="hi-IN"/>
        </w:rPr>
        <w:t>Science</w:t>
      </w:r>
      <w:r w:rsidRPr="00CC484F">
        <w:rPr>
          <w:lang w:bidi="hi-IN"/>
        </w:rPr>
        <w:t xml:space="preserve"> </w:t>
      </w:r>
      <w:r w:rsidRPr="00CC484F">
        <w:rPr>
          <w:b/>
          <w:bCs/>
          <w:lang w:bidi="hi-IN"/>
        </w:rPr>
        <w:t>1995</w:t>
      </w:r>
      <w:r w:rsidRPr="00CC484F">
        <w:rPr>
          <w:lang w:bidi="hi-IN"/>
        </w:rPr>
        <w:t xml:space="preserve">, </w:t>
      </w:r>
      <w:r w:rsidRPr="00CC484F">
        <w:rPr>
          <w:i/>
          <w:iCs/>
          <w:lang w:bidi="hi-IN"/>
        </w:rPr>
        <w:t>267</w:t>
      </w:r>
      <w:r w:rsidRPr="00CC484F">
        <w:rPr>
          <w:lang w:bidi="hi-IN"/>
        </w:rPr>
        <w:t xml:space="preserve"> (5200), 988–993. https://doi.org/10.1126/science.7532321</w:t>
      </w:r>
    </w:p>
    <w:p w14:paraId="2A615550" w14:textId="77777777" w:rsidR="00CC484F" w:rsidRPr="00CC484F" w:rsidRDefault="00CC484F" w:rsidP="00CC484F">
      <w:pPr>
        <w:pStyle w:val="Bibliography"/>
        <w:rPr>
          <w:lang w:bidi="hi-IN"/>
        </w:rPr>
      </w:pPr>
      <w:r w:rsidRPr="00CC484F">
        <w:rPr>
          <w:lang w:bidi="hi-IN"/>
        </w:rPr>
        <w:t>(3)</w:t>
      </w:r>
      <w:r w:rsidRPr="00CC484F">
        <w:rPr>
          <w:lang w:bidi="hi-IN"/>
        </w:rPr>
        <w:tab/>
        <w:t xml:space="preserve">Rodgers, D. W.; Gamblin, S. J.; Harris, B. A.; Ray, S.; Culp, J. S.; </w:t>
      </w:r>
      <w:proofErr w:type="spellStart"/>
      <w:r w:rsidRPr="00CC484F">
        <w:rPr>
          <w:lang w:bidi="hi-IN"/>
        </w:rPr>
        <w:t>Hellmig</w:t>
      </w:r>
      <w:proofErr w:type="spellEnd"/>
      <w:r w:rsidRPr="00CC484F">
        <w:rPr>
          <w:lang w:bidi="hi-IN"/>
        </w:rPr>
        <w:t xml:space="preserve">, B.; Woolf, D. J.; </w:t>
      </w:r>
      <w:proofErr w:type="spellStart"/>
      <w:r w:rsidRPr="00CC484F">
        <w:rPr>
          <w:lang w:bidi="hi-IN"/>
        </w:rPr>
        <w:t>Debouck</w:t>
      </w:r>
      <w:proofErr w:type="spellEnd"/>
      <w:r w:rsidRPr="00CC484F">
        <w:rPr>
          <w:lang w:bidi="hi-IN"/>
        </w:rPr>
        <w:t xml:space="preserve">, C.; Harrison, S. C. The Structure of Unliganded Reverse Transcriptase from the Human Immunodeficiency Virus Type 1. </w:t>
      </w:r>
      <w:r w:rsidRPr="00CC484F">
        <w:rPr>
          <w:i/>
          <w:iCs/>
          <w:lang w:bidi="hi-IN"/>
        </w:rPr>
        <w:t>Proceedings of the National Academy of Sciences</w:t>
      </w:r>
      <w:r w:rsidRPr="00CC484F">
        <w:rPr>
          <w:lang w:bidi="hi-IN"/>
        </w:rPr>
        <w:t xml:space="preserve"> </w:t>
      </w:r>
      <w:r w:rsidRPr="00CC484F">
        <w:rPr>
          <w:b/>
          <w:bCs/>
          <w:lang w:bidi="hi-IN"/>
        </w:rPr>
        <w:t>1995</w:t>
      </w:r>
      <w:r w:rsidRPr="00CC484F">
        <w:rPr>
          <w:lang w:bidi="hi-IN"/>
        </w:rPr>
        <w:t xml:space="preserve">, </w:t>
      </w:r>
      <w:r w:rsidRPr="00CC484F">
        <w:rPr>
          <w:i/>
          <w:iCs/>
          <w:lang w:bidi="hi-IN"/>
        </w:rPr>
        <w:t>92</w:t>
      </w:r>
      <w:r w:rsidRPr="00CC484F">
        <w:rPr>
          <w:lang w:bidi="hi-IN"/>
        </w:rPr>
        <w:t xml:space="preserve"> (4), 1222–1226. https://doi.org/10.1073/pnas.92.4.1222</w:t>
      </w:r>
    </w:p>
    <w:p w14:paraId="7312A3F8" w14:textId="77777777" w:rsidR="00CC484F" w:rsidRPr="00CC484F" w:rsidRDefault="00CC484F" w:rsidP="00CC484F">
      <w:pPr>
        <w:pStyle w:val="Bibliography"/>
        <w:rPr>
          <w:lang w:bidi="hi-IN"/>
        </w:rPr>
      </w:pPr>
      <w:r w:rsidRPr="00CC484F">
        <w:rPr>
          <w:lang w:bidi="hi-IN"/>
        </w:rPr>
        <w:t>(4)</w:t>
      </w:r>
      <w:r w:rsidRPr="00CC484F">
        <w:rPr>
          <w:lang w:bidi="hi-IN"/>
        </w:rPr>
        <w:tab/>
      </w:r>
      <w:proofErr w:type="spellStart"/>
      <w:r w:rsidRPr="00CC484F">
        <w:rPr>
          <w:lang w:bidi="hi-IN"/>
        </w:rPr>
        <w:t>Hsiou</w:t>
      </w:r>
      <w:proofErr w:type="spellEnd"/>
      <w:r w:rsidRPr="00CC484F">
        <w:rPr>
          <w:lang w:bidi="hi-IN"/>
        </w:rPr>
        <w:t xml:space="preserve">, Y.; Ding, J.; Das, K.; AD Clark, J.; Hughes, S. H.; Arnold, E. Structure of Unliganded HIV-1 Reverse Transcriptase at 2.7 å Resolution: Implications of Conformational Changes for Polymerization and Inhibition Mechanisms. </w:t>
      </w:r>
      <w:r w:rsidRPr="00CC484F">
        <w:rPr>
          <w:i/>
          <w:iCs/>
          <w:lang w:bidi="hi-IN"/>
        </w:rPr>
        <w:t>Structure</w:t>
      </w:r>
      <w:r w:rsidRPr="00CC484F">
        <w:rPr>
          <w:lang w:bidi="hi-IN"/>
        </w:rPr>
        <w:t xml:space="preserve"> </w:t>
      </w:r>
      <w:r w:rsidRPr="00CC484F">
        <w:rPr>
          <w:b/>
          <w:bCs/>
          <w:lang w:bidi="hi-IN"/>
        </w:rPr>
        <w:t>1996</w:t>
      </w:r>
      <w:r w:rsidRPr="00CC484F">
        <w:rPr>
          <w:lang w:bidi="hi-IN"/>
        </w:rPr>
        <w:t xml:space="preserve">, </w:t>
      </w:r>
      <w:r w:rsidRPr="00CC484F">
        <w:rPr>
          <w:i/>
          <w:iCs/>
          <w:lang w:bidi="hi-IN"/>
        </w:rPr>
        <w:t>4</w:t>
      </w:r>
      <w:r w:rsidRPr="00CC484F">
        <w:rPr>
          <w:lang w:bidi="hi-IN"/>
        </w:rPr>
        <w:t xml:space="preserve"> (7), 853–860. https://doi.org/10.1016/S0969-2126(96)00091-3</w:t>
      </w:r>
    </w:p>
    <w:p w14:paraId="2D294CFE" w14:textId="77777777" w:rsidR="00CC484F" w:rsidRPr="00CC484F" w:rsidRDefault="00CC484F" w:rsidP="00CC484F">
      <w:pPr>
        <w:pStyle w:val="Bibliography"/>
        <w:rPr>
          <w:lang w:bidi="hi-IN"/>
        </w:rPr>
      </w:pPr>
      <w:r w:rsidRPr="00CC484F">
        <w:rPr>
          <w:lang w:bidi="hi-IN"/>
        </w:rPr>
        <w:t>(5)</w:t>
      </w:r>
      <w:r w:rsidRPr="00CC484F">
        <w:rPr>
          <w:lang w:bidi="hi-IN"/>
        </w:rPr>
        <w:tab/>
        <w:t xml:space="preserve">Arts, E. J.; Hazuda, D. J. HIV-1 Antiretroviral Drug Therapy. </w:t>
      </w:r>
      <w:r w:rsidRPr="00CC484F">
        <w:rPr>
          <w:i/>
          <w:iCs/>
          <w:lang w:bidi="hi-IN"/>
        </w:rPr>
        <w:t xml:space="preserve">Cold Spring Harb </w:t>
      </w:r>
      <w:proofErr w:type="spellStart"/>
      <w:r w:rsidRPr="00CC484F">
        <w:rPr>
          <w:i/>
          <w:iCs/>
          <w:lang w:bidi="hi-IN"/>
        </w:rPr>
        <w:t>Perspect</w:t>
      </w:r>
      <w:proofErr w:type="spellEnd"/>
      <w:r w:rsidRPr="00CC484F">
        <w:rPr>
          <w:i/>
          <w:iCs/>
          <w:lang w:bidi="hi-IN"/>
        </w:rPr>
        <w:t xml:space="preserve"> Med</w:t>
      </w:r>
      <w:r w:rsidRPr="00CC484F">
        <w:rPr>
          <w:lang w:bidi="hi-IN"/>
        </w:rPr>
        <w:t xml:space="preserve"> </w:t>
      </w:r>
      <w:r w:rsidRPr="00CC484F">
        <w:rPr>
          <w:b/>
          <w:bCs/>
          <w:lang w:bidi="hi-IN"/>
        </w:rPr>
        <w:t>2012</w:t>
      </w:r>
      <w:r w:rsidRPr="00CC484F">
        <w:rPr>
          <w:lang w:bidi="hi-IN"/>
        </w:rPr>
        <w:t xml:space="preserve">, </w:t>
      </w:r>
      <w:r w:rsidRPr="00CC484F">
        <w:rPr>
          <w:i/>
          <w:iCs/>
          <w:lang w:bidi="hi-IN"/>
        </w:rPr>
        <w:t>2</w:t>
      </w:r>
      <w:r w:rsidRPr="00CC484F">
        <w:rPr>
          <w:lang w:bidi="hi-IN"/>
        </w:rPr>
        <w:t xml:space="preserve"> (4), a007161. https://doi.org/10.1101/cshperspect.a007161</w:t>
      </w:r>
    </w:p>
    <w:p w14:paraId="247B7555" w14:textId="77777777" w:rsidR="00CC484F" w:rsidRPr="00CC484F" w:rsidRDefault="00CC484F" w:rsidP="00CC484F">
      <w:pPr>
        <w:pStyle w:val="Bibliography"/>
        <w:rPr>
          <w:lang w:bidi="hi-IN"/>
        </w:rPr>
      </w:pPr>
      <w:r w:rsidRPr="00CC484F">
        <w:rPr>
          <w:lang w:bidi="hi-IN"/>
        </w:rPr>
        <w:t>(6)</w:t>
      </w:r>
      <w:r w:rsidRPr="00CC484F">
        <w:rPr>
          <w:lang w:bidi="hi-IN"/>
        </w:rPr>
        <w:tab/>
        <w:t xml:space="preserve">Cilento, M. E.; Kirby, K. A.; </w:t>
      </w:r>
      <w:proofErr w:type="spellStart"/>
      <w:r w:rsidRPr="00CC484F">
        <w:rPr>
          <w:lang w:bidi="hi-IN"/>
        </w:rPr>
        <w:t>Sarafianos</w:t>
      </w:r>
      <w:proofErr w:type="spellEnd"/>
      <w:r w:rsidRPr="00CC484F">
        <w:rPr>
          <w:lang w:bidi="hi-IN"/>
        </w:rPr>
        <w:t xml:space="preserve">, S. G. Avoiding Drug Resistance in HIV Reverse Transcriptase. </w:t>
      </w:r>
      <w:r w:rsidRPr="00CC484F">
        <w:rPr>
          <w:i/>
          <w:iCs/>
          <w:lang w:bidi="hi-IN"/>
        </w:rPr>
        <w:t>Chem. Rev.</w:t>
      </w:r>
      <w:r w:rsidRPr="00CC484F">
        <w:rPr>
          <w:lang w:bidi="hi-IN"/>
        </w:rPr>
        <w:t xml:space="preserve"> </w:t>
      </w:r>
      <w:r w:rsidRPr="00CC484F">
        <w:rPr>
          <w:b/>
          <w:bCs/>
          <w:lang w:bidi="hi-IN"/>
        </w:rPr>
        <w:t>2021</w:t>
      </w:r>
      <w:r w:rsidRPr="00CC484F">
        <w:rPr>
          <w:lang w:bidi="hi-IN"/>
        </w:rPr>
        <w:t xml:space="preserve">, </w:t>
      </w:r>
      <w:r w:rsidRPr="00CC484F">
        <w:rPr>
          <w:i/>
          <w:iCs/>
          <w:lang w:bidi="hi-IN"/>
        </w:rPr>
        <w:t>121</w:t>
      </w:r>
      <w:r w:rsidRPr="00CC484F">
        <w:rPr>
          <w:lang w:bidi="hi-IN"/>
        </w:rPr>
        <w:t xml:space="preserve"> (6), 3271–3296. https://doi.org/10.1021/acs.chemrev.0c00967</w:t>
      </w:r>
    </w:p>
    <w:p w14:paraId="2F50F52D" w14:textId="77777777" w:rsidR="00CC484F" w:rsidRPr="00CC484F" w:rsidRDefault="00CC484F" w:rsidP="00CC484F">
      <w:pPr>
        <w:pStyle w:val="Bibliography"/>
        <w:rPr>
          <w:lang w:bidi="hi-IN"/>
        </w:rPr>
      </w:pPr>
      <w:r w:rsidRPr="00CC484F">
        <w:rPr>
          <w:lang w:bidi="hi-IN"/>
        </w:rPr>
        <w:t>(7)</w:t>
      </w:r>
      <w:r w:rsidRPr="00CC484F">
        <w:rPr>
          <w:lang w:bidi="hi-IN"/>
        </w:rPr>
        <w:tab/>
        <w:t xml:space="preserve">Tantillo, C.; Ding, J.; Jacobo-Molina, A.; Nanni, R. G.; Boyer, P. L.; Hughes, S. H.; Pauwels, R.; Andries, K.; Janssen, P. A. J.; Arnold, E. Locations of Anti-AIDS Drug Binding Sites and Resistance Mutations in the Three-Dimensional Structure of HIV-1 Reverse Transcriptase: Implications for Mechanisms of Drug Inhibition and Resistance. </w:t>
      </w:r>
      <w:r w:rsidRPr="00CC484F">
        <w:rPr>
          <w:i/>
          <w:iCs/>
          <w:lang w:bidi="hi-IN"/>
        </w:rPr>
        <w:t>Journal of Molecular Biology</w:t>
      </w:r>
      <w:r w:rsidRPr="00CC484F">
        <w:rPr>
          <w:lang w:bidi="hi-IN"/>
        </w:rPr>
        <w:t xml:space="preserve"> </w:t>
      </w:r>
      <w:r w:rsidRPr="00CC484F">
        <w:rPr>
          <w:b/>
          <w:bCs/>
          <w:lang w:bidi="hi-IN"/>
        </w:rPr>
        <w:t>1994</w:t>
      </w:r>
      <w:r w:rsidRPr="00CC484F">
        <w:rPr>
          <w:lang w:bidi="hi-IN"/>
        </w:rPr>
        <w:t xml:space="preserve">, </w:t>
      </w:r>
      <w:r w:rsidRPr="00CC484F">
        <w:rPr>
          <w:i/>
          <w:iCs/>
          <w:lang w:bidi="hi-IN"/>
        </w:rPr>
        <w:t>243</w:t>
      </w:r>
      <w:r w:rsidRPr="00CC484F">
        <w:rPr>
          <w:lang w:bidi="hi-IN"/>
        </w:rPr>
        <w:t xml:space="preserve"> (3), 369–387. https://doi.org/10.1006/jmbi.1994.1665</w:t>
      </w:r>
    </w:p>
    <w:p w14:paraId="4FDA9B22" w14:textId="77777777" w:rsidR="00CC484F" w:rsidRPr="00CC484F" w:rsidRDefault="00CC484F" w:rsidP="00CC484F">
      <w:pPr>
        <w:pStyle w:val="Bibliography"/>
        <w:rPr>
          <w:lang w:bidi="hi-IN"/>
        </w:rPr>
      </w:pPr>
      <w:r w:rsidRPr="00CC484F">
        <w:rPr>
          <w:lang w:bidi="hi-IN"/>
        </w:rPr>
        <w:lastRenderedPageBreak/>
        <w:t>(8)</w:t>
      </w:r>
      <w:r w:rsidRPr="00CC484F">
        <w:rPr>
          <w:lang w:bidi="hi-IN"/>
        </w:rPr>
        <w:tab/>
        <w:t xml:space="preserve">Schauer, G. D.; Huber, K. D.; Leuba, S. H.; Sluis-Cremer, N. Mechanism of Allosteric Inhibition of HIV-1 Reverse Transcriptase Revealed by Single-Molecule and Ensemble Fluorescence. </w:t>
      </w:r>
      <w:r w:rsidRPr="00CC484F">
        <w:rPr>
          <w:i/>
          <w:iCs/>
          <w:lang w:bidi="hi-IN"/>
        </w:rPr>
        <w:t>Nucleic Acids Res</w:t>
      </w:r>
      <w:r w:rsidRPr="00CC484F">
        <w:rPr>
          <w:lang w:bidi="hi-IN"/>
        </w:rPr>
        <w:t xml:space="preserve"> </w:t>
      </w:r>
      <w:r w:rsidRPr="00CC484F">
        <w:rPr>
          <w:b/>
          <w:bCs/>
          <w:lang w:bidi="hi-IN"/>
        </w:rPr>
        <w:t>2014</w:t>
      </w:r>
      <w:r w:rsidRPr="00CC484F">
        <w:rPr>
          <w:lang w:bidi="hi-IN"/>
        </w:rPr>
        <w:t xml:space="preserve">, </w:t>
      </w:r>
      <w:r w:rsidRPr="00CC484F">
        <w:rPr>
          <w:i/>
          <w:iCs/>
          <w:lang w:bidi="hi-IN"/>
        </w:rPr>
        <w:t>42</w:t>
      </w:r>
      <w:r w:rsidRPr="00CC484F">
        <w:rPr>
          <w:lang w:bidi="hi-IN"/>
        </w:rPr>
        <w:t xml:space="preserve"> (18), 11687–11696. https://doi.org/10.1093/nar/gku819</w:t>
      </w:r>
    </w:p>
    <w:p w14:paraId="107E54C0" w14:textId="77777777" w:rsidR="00CC484F" w:rsidRPr="00CC484F" w:rsidRDefault="00CC484F" w:rsidP="00CC484F">
      <w:pPr>
        <w:pStyle w:val="Bibliography"/>
        <w:rPr>
          <w:lang w:bidi="hi-IN"/>
        </w:rPr>
      </w:pPr>
      <w:r w:rsidRPr="00CC484F">
        <w:rPr>
          <w:lang w:bidi="hi-IN"/>
        </w:rPr>
        <w:t>(9)</w:t>
      </w:r>
      <w:r w:rsidRPr="00CC484F">
        <w:rPr>
          <w:lang w:bidi="hi-IN"/>
        </w:rPr>
        <w:tab/>
      </w:r>
      <w:proofErr w:type="spellStart"/>
      <w:r w:rsidRPr="00CC484F">
        <w:rPr>
          <w:lang w:bidi="hi-IN"/>
        </w:rPr>
        <w:t>Hsiou</w:t>
      </w:r>
      <w:proofErr w:type="spellEnd"/>
      <w:r w:rsidRPr="00CC484F">
        <w:rPr>
          <w:lang w:bidi="hi-IN"/>
        </w:rPr>
        <w:t xml:space="preserve">, Y.; Ding, J.; Das, K.; Clark, A. D.; Boyer, P. L.; Lewi, P.; Janssen, P. A. J.; Kleim, J.-P.; </w:t>
      </w:r>
      <w:proofErr w:type="spellStart"/>
      <w:r w:rsidRPr="00CC484F">
        <w:rPr>
          <w:lang w:bidi="hi-IN"/>
        </w:rPr>
        <w:t>Rösner</w:t>
      </w:r>
      <w:proofErr w:type="spellEnd"/>
      <w:r w:rsidRPr="00CC484F">
        <w:rPr>
          <w:lang w:bidi="hi-IN"/>
        </w:rPr>
        <w:t xml:space="preserve">, M.; Hughes, S. H.; Arnold, E. The Lys103Asn Mutation of HIV-1 RT: A Novel Mechanism of Drug Resistance. </w:t>
      </w:r>
      <w:r w:rsidRPr="00CC484F">
        <w:rPr>
          <w:i/>
          <w:iCs/>
          <w:lang w:bidi="hi-IN"/>
        </w:rPr>
        <w:t>Journal of Molecular Biology</w:t>
      </w:r>
      <w:r w:rsidRPr="00CC484F">
        <w:rPr>
          <w:lang w:bidi="hi-IN"/>
        </w:rPr>
        <w:t xml:space="preserve"> </w:t>
      </w:r>
      <w:r w:rsidRPr="00CC484F">
        <w:rPr>
          <w:b/>
          <w:bCs/>
          <w:lang w:bidi="hi-IN"/>
        </w:rPr>
        <w:t>2001</w:t>
      </w:r>
      <w:r w:rsidRPr="00CC484F">
        <w:rPr>
          <w:lang w:bidi="hi-IN"/>
        </w:rPr>
        <w:t xml:space="preserve">, </w:t>
      </w:r>
      <w:r w:rsidRPr="00CC484F">
        <w:rPr>
          <w:i/>
          <w:iCs/>
          <w:lang w:bidi="hi-IN"/>
        </w:rPr>
        <w:t>309</w:t>
      </w:r>
      <w:r w:rsidRPr="00CC484F">
        <w:rPr>
          <w:lang w:bidi="hi-IN"/>
        </w:rPr>
        <w:t xml:space="preserve"> (2), 437–445. https://doi.org/10.1006/jmbi.2001.4648</w:t>
      </w:r>
    </w:p>
    <w:p w14:paraId="598604B8" w14:textId="77777777" w:rsidR="00CC484F" w:rsidRPr="00CC484F" w:rsidRDefault="00CC484F" w:rsidP="00CC484F">
      <w:pPr>
        <w:pStyle w:val="Bibliography"/>
        <w:rPr>
          <w:lang w:bidi="hi-IN"/>
        </w:rPr>
      </w:pPr>
      <w:r w:rsidRPr="00CC484F">
        <w:rPr>
          <w:lang w:bidi="hi-IN"/>
        </w:rPr>
        <w:t>(10)</w:t>
      </w:r>
      <w:r w:rsidRPr="00CC484F">
        <w:rPr>
          <w:lang w:bidi="hi-IN"/>
        </w:rPr>
        <w:tab/>
        <w:t xml:space="preserve">Lai, M.-T.; Munshi, V.; Lu, M.; Feng, M.; Hrin-Solt, R.; McKenna, P. M.; Hazuda, D. J.; Miller, M. D. Mechanistic Study of Common Non-Nucleoside Reverse Transcriptase Inhibitor-Resistant Mutations with K103N and Y181C Substitutions. </w:t>
      </w:r>
      <w:r w:rsidRPr="00CC484F">
        <w:rPr>
          <w:i/>
          <w:iCs/>
          <w:lang w:bidi="hi-IN"/>
        </w:rPr>
        <w:t>Viruses</w:t>
      </w:r>
      <w:r w:rsidRPr="00CC484F">
        <w:rPr>
          <w:lang w:bidi="hi-IN"/>
        </w:rPr>
        <w:t xml:space="preserve"> </w:t>
      </w:r>
      <w:r w:rsidRPr="00CC484F">
        <w:rPr>
          <w:b/>
          <w:bCs/>
          <w:lang w:bidi="hi-IN"/>
        </w:rPr>
        <w:t>2016</w:t>
      </w:r>
      <w:r w:rsidRPr="00CC484F">
        <w:rPr>
          <w:lang w:bidi="hi-IN"/>
        </w:rPr>
        <w:t xml:space="preserve">, </w:t>
      </w:r>
      <w:r w:rsidRPr="00CC484F">
        <w:rPr>
          <w:i/>
          <w:iCs/>
          <w:lang w:bidi="hi-IN"/>
        </w:rPr>
        <w:t>8</w:t>
      </w:r>
      <w:r w:rsidRPr="00CC484F">
        <w:rPr>
          <w:lang w:bidi="hi-IN"/>
        </w:rPr>
        <w:t xml:space="preserve"> (10), 263. https://doi.org/10.3390/v8100263</w:t>
      </w:r>
    </w:p>
    <w:p w14:paraId="056FDED0" w14:textId="77777777" w:rsidR="00CC484F" w:rsidRPr="00CC484F" w:rsidRDefault="00CC484F" w:rsidP="00CC484F">
      <w:pPr>
        <w:pStyle w:val="Bibliography"/>
        <w:rPr>
          <w:lang w:bidi="hi-IN"/>
        </w:rPr>
      </w:pPr>
      <w:r w:rsidRPr="00CC484F">
        <w:rPr>
          <w:lang w:bidi="hi-IN"/>
        </w:rPr>
        <w:t>(11)</w:t>
      </w:r>
      <w:r w:rsidRPr="00CC484F">
        <w:rPr>
          <w:lang w:bidi="hi-IN"/>
        </w:rPr>
        <w:tab/>
        <w:t xml:space="preserve">Ren, J.; Nichols, C.; Bird, L.; Chamberlain, P.; Weaver, K.; Short, S.; Stuart, D. I.; Stammers, D. K. Structural Mechanisms of Drug Resistance for Mutations at Codons 181 and 188 in HIV-1 Reverse Transcriptase and the Improved Resilience of Second Generation Non-Nucleoside Inhibitors1. </w:t>
      </w:r>
      <w:r w:rsidRPr="00CC484F">
        <w:rPr>
          <w:i/>
          <w:iCs/>
          <w:lang w:bidi="hi-IN"/>
        </w:rPr>
        <w:t>Journal of Molecular Biology</w:t>
      </w:r>
      <w:r w:rsidRPr="00CC484F">
        <w:rPr>
          <w:lang w:bidi="hi-IN"/>
        </w:rPr>
        <w:t xml:space="preserve"> </w:t>
      </w:r>
      <w:r w:rsidRPr="00CC484F">
        <w:rPr>
          <w:b/>
          <w:bCs/>
          <w:lang w:bidi="hi-IN"/>
        </w:rPr>
        <w:t>2001</w:t>
      </w:r>
      <w:r w:rsidRPr="00CC484F">
        <w:rPr>
          <w:lang w:bidi="hi-IN"/>
        </w:rPr>
        <w:t xml:space="preserve">, </w:t>
      </w:r>
      <w:r w:rsidRPr="00CC484F">
        <w:rPr>
          <w:i/>
          <w:iCs/>
          <w:lang w:bidi="hi-IN"/>
        </w:rPr>
        <w:t>312</w:t>
      </w:r>
      <w:r w:rsidRPr="00CC484F">
        <w:rPr>
          <w:lang w:bidi="hi-IN"/>
        </w:rPr>
        <w:t xml:space="preserve"> (4), 795–805. https://doi.org/10.1006/jmbi.2001.4988</w:t>
      </w:r>
    </w:p>
    <w:p w14:paraId="2FC38E7B" w14:textId="77777777" w:rsidR="00CC484F" w:rsidRPr="00CC484F" w:rsidRDefault="00CC484F" w:rsidP="00CC484F">
      <w:pPr>
        <w:pStyle w:val="Bibliography"/>
        <w:rPr>
          <w:lang w:bidi="hi-IN"/>
        </w:rPr>
      </w:pPr>
      <w:r w:rsidRPr="00CC484F">
        <w:rPr>
          <w:lang w:bidi="hi-IN"/>
        </w:rPr>
        <w:t>(12)</w:t>
      </w:r>
      <w:r w:rsidRPr="00CC484F">
        <w:rPr>
          <w:lang w:bidi="hi-IN"/>
        </w:rPr>
        <w:tab/>
        <w:t xml:space="preserve">Das, K.; Clark, Arthur D.; Lewi, P. J.; Heeres, J.; de Jonge, M. R.; </w:t>
      </w:r>
      <w:proofErr w:type="spellStart"/>
      <w:r w:rsidRPr="00CC484F">
        <w:rPr>
          <w:lang w:bidi="hi-IN"/>
        </w:rPr>
        <w:t>Koymans</w:t>
      </w:r>
      <w:proofErr w:type="spellEnd"/>
      <w:r w:rsidRPr="00CC484F">
        <w:rPr>
          <w:lang w:bidi="hi-IN"/>
        </w:rPr>
        <w:t xml:space="preserve">, L. M. H.; </w:t>
      </w:r>
      <w:proofErr w:type="spellStart"/>
      <w:r w:rsidRPr="00CC484F">
        <w:rPr>
          <w:lang w:bidi="hi-IN"/>
        </w:rPr>
        <w:t>Vinkers</w:t>
      </w:r>
      <w:proofErr w:type="spellEnd"/>
      <w:r w:rsidRPr="00CC484F">
        <w:rPr>
          <w:lang w:bidi="hi-IN"/>
        </w:rPr>
        <w:t xml:space="preserve">, H. M.; </w:t>
      </w:r>
      <w:proofErr w:type="spellStart"/>
      <w:r w:rsidRPr="00CC484F">
        <w:rPr>
          <w:lang w:bidi="hi-IN"/>
        </w:rPr>
        <w:t>Daeyaert</w:t>
      </w:r>
      <w:proofErr w:type="spellEnd"/>
      <w:r w:rsidRPr="00CC484F">
        <w:rPr>
          <w:lang w:bidi="hi-IN"/>
        </w:rPr>
        <w:t xml:space="preserve">, F.; Ludovici, D. W.; Kukla, M. J.; De Corte, B.; Kavash, R. W.; Ho, C. Y.; Ye, H.; Lichtenstein, Mark. A.; Andries, K.; Pauwels, R.; de Béthune, M.-P.; Boyer, P. L.; Clark, P.; Hughes, S. H.; Janssen, P. A. J.; Arnold, E. Roles of Conformational and Positional Adaptability in Structure-Based Design of TMC125-R165335 (Etravirine) and Related Non-Nucleoside Reverse Transcriptase Inhibitors That Are Highly Potent and Effective against Wild-Type and Drug-Resistant HIV-1 Variants. </w:t>
      </w:r>
      <w:r w:rsidRPr="00CC484F">
        <w:rPr>
          <w:i/>
          <w:iCs/>
          <w:lang w:bidi="hi-IN"/>
        </w:rPr>
        <w:t>J. Med. Chem.</w:t>
      </w:r>
      <w:r w:rsidRPr="00CC484F">
        <w:rPr>
          <w:lang w:bidi="hi-IN"/>
        </w:rPr>
        <w:t xml:space="preserve"> </w:t>
      </w:r>
      <w:r w:rsidRPr="00CC484F">
        <w:rPr>
          <w:b/>
          <w:bCs/>
          <w:lang w:bidi="hi-IN"/>
        </w:rPr>
        <w:t>2004</w:t>
      </w:r>
      <w:r w:rsidRPr="00CC484F">
        <w:rPr>
          <w:lang w:bidi="hi-IN"/>
        </w:rPr>
        <w:t xml:space="preserve">, </w:t>
      </w:r>
      <w:r w:rsidRPr="00CC484F">
        <w:rPr>
          <w:i/>
          <w:iCs/>
          <w:lang w:bidi="hi-IN"/>
        </w:rPr>
        <w:t>47</w:t>
      </w:r>
      <w:r w:rsidRPr="00CC484F">
        <w:rPr>
          <w:lang w:bidi="hi-IN"/>
        </w:rPr>
        <w:t xml:space="preserve"> (10), 2550–2560. https://doi.org/10.1021/jm030558s</w:t>
      </w:r>
    </w:p>
    <w:p w14:paraId="7C3DD202" w14:textId="77777777" w:rsidR="00CC484F" w:rsidRPr="00CC484F" w:rsidRDefault="00CC484F" w:rsidP="00CC484F">
      <w:pPr>
        <w:pStyle w:val="Bibliography"/>
        <w:rPr>
          <w:lang w:bidi="hi-IN"/>
        </w:rPr>
      </w:pPr>
      <w:r w:rsidRPr="00CC484F">
        <w:rPr>
          <w:lang w:bidi="hi-IN"/>
        </w:rPr>
        <w:t>(13)</w:t>
      </w:r>
      <w:r w:rsidRPr="00CC484F">
        <w:rPr>
          <w:lang w:bidi="hi-IN"/>
        </w:rPr>
        <w:tab/>
        <w:t xml:space="preserve">Das, K.; Bauman, J. D.; Clark, A. D.; Frenkel, Y. V.; Lewi, P. J.; Shatkin, A. J.; Hughes, S. H.; Arnold, E. High-Resolution Structures of HIV-1 Reverse Transcriptase/TMC278 Complexes: Strategic Flexibility Explains Potency against Resistance Mutations. </w:t>
      </w:r>
      <w:r w:rsidRPr="00CC484F">
        <w:rPr>
          <w:i/>
          <w:iCs/>
          <w:lang w:bidi="hi-IN"/>
        </w:rPr>
        <w:t>Proceedings of the National Academy of Sciences</w:t>
      </w:r>
      <w:r w:rsidRPr="00CC484F">
        <w:rPr>
          <w:lang w:bidi="hi-IN"/>
        </w:rPr>
        <w:t xml:space="preserve"> </w:t>
      </w:r>
      <w:r w:rsidRPr="00CC484F">
        <w:rPr>
          <w:b/>
          <w:bCs/>
          <w:lang w:bidi="hi-IN"/>
        </w:rPr>
        <w:t>2008</w:t>
      </w:r>
      <w:r w:rsidRPr="00CC484F">
        <w:rPr>
          <w:lang w:bidi="hi-IN"/>
        </w:rPr>
        <w:t xml:space="preserve">, </w:t>
      </w:r>
      <w:r w:rsidRPr="00CC484F">
        <w:rPr>
          <w:i/>
          <w:iCs/>
          <w:lang w:bidi="hi-IN"/>
        </w:rPr>
        <w:t>105</w:t>
      </w:r>
      <w:r w:rsidRPr="00CC484F">
        <w:rPr>
          <w:lang w:bidi="hi-IN"/>
        </w:rPr>
        <w:t xml:space="preserve"> (5), 1466–1471. https://doi.org/10.1073/pnas.0711209105</w:t>
      </w:r>
    </w:p>
    <w:p w14:paraId="6AAE81F2" w14:textId="77777777" w:rsidR="00CC484F" w:rsidRPr="00CC484F" w:rsidRDefault="00CC484F" w:rsidP="00CC484F">
      <w:pPr>
        <w:pStyle w:val="Bibliography"/>
        <w:rPr>
          <w:lang w:bidi="hi-IN"/>
        </w:rPr>
      </w:pPr>
      <w:r w:rsidRPr="00CC484F">
        <w:rPr>
          <w:lang w:bidi="hi-IN"/>
        </w:rPr>
        <w:t>(14)</w:t>
      </w:r>
      <w:r w:rsidRPr="00CC484F">
        <w:rPr>
          <w:lang w:bidi="hi-IN"/>
        </w:rPr>
        <w:tab/>
        <w:t xml:space="preserve">Côté, B.; Burch, J. D.; Asante-Appiah, E.; Bayly, C.; Bédard, L.; Blouin, M.; Campeau, L.-C.; Cauchon, E.; Chan, M.; </w:t>
      </w:r>
      <w:proofErr w:type="spellStart"/>
      <w:r w:rsidRPr="00CC484F">
        <w:rPr>
          <w:lang w:bidi="hi-IN"/>
        </w:rPr>
        <w:t>Chefson</w:t>
      </w:r>
      <w:proofErr w:type="spellEnd"/>
      <w:r w:rsidRPr="00CC484F">
        <w:rPr>
          <w:lang w:bidi="hi-IN"/>
        </w:rPr>
        <w:t xml:space="preserve">, A.; Coulombe, N.; </w:t>
      </w:r>
      <w:proofErr w:type="spellStart"/>
      <w:r w:rsidRPr="00CC484F">
        <w:rPr>
          <w:lang w:bidi="hi-IN"/>
        </w:rPr>
        <w:t>Cromlish</w:t>
      </w:r>
      <w:proofErr w:type="spellEnd"/>
      <w:r w:rsidRPr="00CC484F">
        <w:rPr>
          <w:lang w:bidi="hi-IN"/>
        </w:rPr>
        <w:t xml:space="preserve">, W.; Debnath, S.; </w:t>
      </w:r>
      <w:proofErr w:type="spellStart"/>
      <w:r w:rsidRPr="00CC484F">
        <w:rPr>
          <w:lang w:bidi="hi-IN"/>
        </w:rPr>
        <w:t>Deschênes</w:t>
      </w:r>
      <w:proofErr w:type="spellEnd"/>
      <w:r w:rsidRPr="00CC484F">
        <w:rPr>
          <w:lang w:bidi="hi-IN"/>
        </w:rPr>
        <w:t xml:space="preserve">, D.; Dupont-Gaudet, K.; </w:t>
      </w:r>
      <w:proofErr w:type="spellStart"/>
      <w:r w:rsidRPr="00CC484F">
        <w:rPr>
          <w:lang w:bidi="hi-IN"/>
        </w:rPr>
        <w:t>Falgueyret</w:t>
      </w:r>
      <w:proofErr w:type="spellEnd"/>
      <w:r w:rsidRPr="00CC484F">
        <w:rPr>
          <w:lang w:bidi="hi-IN"/>
        </w:rPr>
        <w:t xml:space="preserve">, J.-P.; Forget, R.; </w:t>
      </w:r>
      <w:proofErr w:type="spellStart"/>
      <w:r w:rsidRPr="00CC484F">
        <w:rPr>
          <w:lang w:bidi="hi-IN"/>
        </w:rPr>
        <w:t>Gagné</w:t>
      </w:r>
      <w:proofErr w:type="spellEnd"/>
      <w:r w:rsidRPr="00CC484F">
        <w:rPr>
          <w:lang w:bidi="hi-IN"/>
        </w:rPr>
        <w:t xml:space="preserve">, S.; Gauvreau, D.; Girardin, M.; Guiral, S.; Langlois, E.; Li, C. S.; Nguyen, N.; Papp, R.; Plamondon, S.; Roy, A.; Roy, S.; </w:t>
      </w:r>
      <w:proofErr w:type="spellStart"/>
      <w:r w:rsidRPr="00CC484F">
        <w:rPr>
          <w:lang w:bidi="hi-IN"/>
        </w:rPr>
        <w:t>Seliniotakis</w:t>
      </w:r>
      <w:proofErr w:type="spellEnd"/>
      <w:r w:rsidRPr="00CC484F">
        <w:rPr>
          <w:lang w:bidi="hi-IN"/>
        </w:rPr>
        <w:t xml:space="preserve">, R.; St-Onge, M.; Ouellet, S.; Tawa, P.; Truchon, J.-F.; Vacca, J.; Wrona, M.; Yan, Y.; Ducharme, Y. Discovery of MK-1439, an Orally Bioavailable Non-Nucleoside Reverse Transcriptase Inhibitor Potent against a Wide Range of Resistant Mutant HIV Viruses. </w:t>
      </w:r>
      <w:r w:rsidRPr="00CC484F">
        <w:rPr>
          <w:i/>
          <w:iCs/>
          <w:lang w:bidi="hi-IN"/>
        </w:rPr>
        <w:t>Bioorganic &amp; Medicinal Chemistry Letters</w:t>
      </w:r>
      <w:r w:rsidRPr="00CC484F">
        <w:rPr>
          <w:lang w:bidi="hi-IN"/>
        </w:rPr>
        <w:t xml:space="preserve"> </w:t>
      </w:r>
      <w:r w:rsidRPr="00CC484F">
        <w:rPr>
          <w:b/>
          <w:bCs/>
          <w:lang w:bidi="hi-IN"/>
        </w:rPr>
        <w:t>2014</w:t>
      </w:r>
      <w:r w:rsidRPr="00CC484F">
        <w:rPr>
          <w:lang w:bidi="hi-IN"/>
        </w:rPr>
        <w:t xml:space="preserve">, </w:t>
      </w:r>
      <w:r w:rsidRPr="00CC484F">
        <w:rPr>
          <w:i/>
          <w:iCs/>
          <w:lang w:bidi="hi-IN"/>
        </w:rPr>
        <w:t>24</w:t>
      </w:r>
      <w:r w:rsidRPr="00CC484F">
        <w:rPr>
          <w:lang w:bidi="hi-IN"/>
        </w:rPr>
        <w:t xml:space="preserve"> (3), 917–922. https://doi.org/10.1016/j.bmcl.2013.12.070</w:t>
      </w:r>
    </w:p>
    <w:p w14:paraId="43BC1E6B" w14:textId="77777777" w:rsidR="00CC484F" w:rsidRPr="00CC484F" w:rsidRDefault="00CC484F" w:rsidP="00CC484F">
      <w:pPr>
        <w:pStyle w:val="Bibliography"/>
        <w:rPr>
          <w:lang w:bidi="hi-IN"/>
        </w:rPr>
      </w:pPr>
      <w:r w:rsidRPr="00CC484F">
        <w:rPr>
          <w:lang w:bidi="hi-IN"/>
        </w:rPr>
        <w:t>(15)</w:t>
      </w:r>
      <w:r w:rsidRPr="00CC484F">
        <w:rPr>
          <w:lang w:bidi="hi-IN"/>
        </w:rPr>
        <w:tab/>
        <w:t xml:space="preserve">Hwang, C.; Lai, M.-T.; Hazuda, D. Rational Design of Doravirine: From Bench to Patients. </w:t>
      </w:r>
      <w:r w:rsidRPr="00CC484F">
        <w:rPr>
          <w:i/>
          <w:iCs/>
          <w:lang w:bidi="hi-IN"/>
        </w:rPr>
        <w:t>ACS Infect. Dis.</w:t>
      </w:r>
      <w:r w:rsidRPr="00CC484F">
        <w:rPr>
          <w:lang w:bidi="hi-IN"/>
        </w:rPr>
        <w:t xml:space="preserve"> </w:t>
      </w:r>
      <w:r w:rsidRPr="00CC484F">
        <w:rPr>
          <w:b/>
          <w:bCs/>
          <w:lang w:bidi="hi-IN"/>
        </w:rPr>
        <w:t>2020</w:t>
      </w:r>
      <w:r w:rsidRPr="00CC484F">
        <w:rPr>
          <w:lang w:bidi="hi-IN"/>
        </w:rPr>
        <w:t xml:space="preserve">, </w:t>
      </w:r>
      <w:r w:rsidRPr="00CC484F">
        <w:rPr>
          <w:i/>
          <w:iCs/>
          <w:lang w:bidi="hi-IN"/>
        </w:rPr>
        <w:t>6</w:t>
      </w:r>
      <w:r w:rsidRPr="00CC484F">
        <w:rPr>
          <w:lang w:bidi="hi-IN"/>
        </w:rPr>
        <w:t xml:space="preserve"> (1), 64–73. https://doi.org/10.1021/acsinfecdis.9b00178</w:t>
      </w:r>
    </w:p>
    <w:p w14:paraId="22E7D23A" w14:textId="77777777" w:rsidR="00CC484F" w:rsidRPr="00CC484F" w:rsidRDefault="00CC484F" w:rsidP="00CC484F">
      <w:pPr>
        <w:pStyle w:val="Bibliography"/>
        <w:rPr>
          <w:lang w:bidi="hi-IN"/>
        </w:rPr>
      </w:pPr>
      <w:r w:rsidRPr="00CC484F">
        <w:rPr>
          <w:lang w:bidi="hi-IN"/>
        </w:rPr>
        <w:lastRenderedPageBreak/>
        <w:t>(16)</w:t>
      </w:r>
      <w:r w:rsidRPr="00CC484F">
        <w:rPr>
          <w:lang w:bidi="hi-IN"/>
        </w:rPr>
        <w:tab/>
        <w:t xml:space="preserve">Feng, M.; Wang, D.; Grobler, J. A.; Hazuda, D. J.; Miller, M. D.; Lai, M.-T. In Vitro Resistance Selection with Doravirine (MK-1439), a Novel Nonnucleoside Reverse Transcriptase Inhibitor with Distinct Mutation Development Pathways. </w:t>
      </w:r>
      <w:r w:rsidRPr="00CC484F">
        <w:rPr>
          <w:i/>
          <w:iCs/>
          <w:lang w:bidi="hi-IN"/>
        </w:rPr>
        <w:t>Antimicrobial Agents and Chemotherapy</w:t>
      </w:r>
      <w:r w:rsidRPr="00CC484F">
        <w:rPr>
          <w:lang w:bidi="hi-IN"/>
        </w:rPr>
        <w:t xml:space="preserve"> </w:t>
      </w:r>
      <w:r w:rsidRPr="00CC484F">
        <w:rPr>
          <w:b/>
          <w:bCs/>
          <w:lang w:bidi="hi-IN"/>
        </w:rPr>
        <w:t>2015</w:t>
      </w:r>
      <w:r w:rsidRPr="00CC484F">
        <w:rPr>
          <w:lang w:bidi="hi-IN"/>
        </w:rPr>
        <w:t xml:space="preserve">, </w:t>
      </w:r>
      <w:r w:rsidRPr="00CC484F">
        <w:rPr>
          <w:i/>
          <w:iCs/>
          <w:lang w:bidi="hi-IN"/>
        </w:rPr>
        <w:t>59</w:t>
      </w:r>
      <w:r w:rsidRPr="00CC484F">
        <w:rPr>
          <w:lang w:bidi="hi-IN"/>
        </w:rPr>
        <w:t xml:space="preserve"> (1), 590–598. https://doi.org/10.1128/aac.04201-14</w:t>
      </w:r>
    </w:p>
    <w:p w14:paraId="3278CF5E" w14:textId="77777777" w:rsidR="00CC484F" w:rsidRPr="00CC484F" w:rsidRDefault="00CC484F" w:rsidP="00CC484F">
      <w:pPr>
        <w:pStyle w:val="Bibliography"/>
        <w:rPr>
          <w:lang w:bidi="hi-IN"/>
        </w:rPr>
      </w:pPr>
      <w:r w:rsidRPr="00CC484F">
        <w:rPr>
          <w:lang w:bidi="hi-IN"/>
        </w:rPr>
        <w:t>(17)</w:t>
      </w:r>
      <w:r w:rsidRPr="00CC484F">
        <w:rPr>
          <w:lang w:bidi="hi-IN"/>
        </w:rPr>
        <w:tab/>
        <w:t xml:space="preserve">Lai, M.-T.; Feng, M.; </w:t>
      </w:r>
      <w:proofErr w:type="spellStart"/>
      <w:r w:rsidRPr="00CC484F">
        <w:rPr>
          <w:lang w:bidi="hi-IN"/>
        </w:rPr>
        <w:t>Falgueyret</w:t>
      </w:r>
      <w:proofErr w:type="spellEnd"/>
      <w:r w:rsidRPr="00CC484F">
        <w:rPr>
          <w:lang w:bidi="hi-IN"/>
        </w:rPr>
        <w:t xml:space="preserve">, J.-P.; Tawa, P.; Witmer, M.; DiStefano, D.; Li, Y.; Burch, J.; Sachs, N.; Lu, M.; Cauchon, E.; Campeau, L.-C.; Grobler, J.; Yan, Y.; Ducharme, Y.; Côté, B.; Asante-Appiah, E.; Hazuda, D. J.; Miller, M. D. In Vitro Characterization of MK-1439, a Novel HIV-1 Nonnucleoside Reverse Transcriptase Inhibitor. </w:t>
      </w:r>
      <w:r w:rsidRPr="00CC484F">
        <w:rPr>
          <w:i/>
          <w:iCs/>
          <w:lang w:bidi="hi-IN"/>
        </w:rPr>
        <w:t>Antimicrobial Agents and Chemotherapy</w:t>
      </w:r>
      <w:r w:rsidRPr="00CC484F">
        <w:rPr>
          <w:lang w:bidi="hi-IN"/>
        </w:rPr>
        <w:t xml:space="preserve"> </w:t>
      </w:r>
      <w:r w:rsidRPr="00CC484F">
        <w:rPr>
          <w:b/>
          <w:bCs/>
          <w:lang w:bidi="hi-IN"/>
        </w:rPr>
        <w:t>2014</w:t>
      </w:r>
      <w:r w:rsidRPr="00CC484F">
        <w:rPr>
          <w:lang w:bidi="hi-IN"/>
        </w:rPr>
        <w:t xml:space="preserve">, </w:t>
      </w:r>
      <w:r w:rsidRPr="00CC484F">
        <w:rPr>
          <w:i/>
          <w:iCs/>
          <w:lang w:bidi="hi-IN"/>
        </w:rPr>
        <w:t>58</w:t>
      </w:r>
      <w:r w:rsidRPr="00CC484F">
        <w:rPr>
          <w:lang w:bidi="hi-IN"/>
        </w:rPr>
        <w:t xml:space="preserve"> (3), 1652–1663. https://doi.org/10.1128/aac.02403-13</w:t>
      </w:r>
    </w:p>
    <w:p w14:paraId="5FB809E3" w14:textId="77777777" w:rsidR="00CC484F" w:rsidRPr="00CC484F" w:rsidRDefault="00CC484F" w:rsidP="00CC484F">
      <w:pPr>
        <w:pStyle w:val="Bibliography"/>
        <w:rPr>
          <w:lang w:bidi="hi-IN"/>
        </w:rPr>
      </w:pPr>
      <w:r w:rsidRPr="00CC484F">
        <w:rPr>
          <w:lang w:bidi="hi-IN"/>
        </w:rPr>
        <w:t>(18)</w:t>
      </w:r>
      <w:r w:rsidRPr="00CC484F">
        <w:rPr>
          <w:lang w:bidi="hi-IN"/>
        </w:rPr>
        <w:tab/>
        <w:t xml:space="preserve">Rhee, S.-Y.; Schapiro, J. M.; </w:t>
      </w:r>
      <w:proofErr w:type="spellStart"/>
      <w:r w:rsidRPr="00CC484F">
        <w:rPr>
          <w:lang w:bidi="hi-IN"/>
        </w:rPr>
        <w:t>Saladini</w:t>
      </w:r>
      <w:proofErr w:type="spellEnd"/>
      <w:r w:rsidRPr="00CC484F">
        <w:rPr>
          <w:lang w:bidi="hi-IN"/>
        </w:rPr>
        <w:t xml:space="preserve">, F.; Zazzi, M.; Khoo, S.; Shafer, R. W. Potential Role of Doravirine for the Treatment of HIV-1-Infected Persons with Transmitted Drug Resistance. </w:t>
      </w:r>
      <w:r w:rsidRPr="00CC484F">
        <w:rPr>
          <w:i/>
          <w:iCs/>
          <w:lang w:bidi="hi-IN"/>
        </w:rPr>
        <w:t>AIDS Res Ther</w:t>
      </w:r>
      <w:r w:rsidRPr="00CC484F">
        <w:rPr>
          <w:lang w:bidi="hi-IN"/>
        </w:rPr>
        <w:t xml:space="preserve"> </w:t>
      </w:r>
      <w:r w:rsidRPr="00CC484F">
        <w:rPr>
          <w:b/>
          <w:bCs/>
          <w:lang w:bidi="hi-IN"/>
        </w:rPr>
        <w:t>2023</w:t>
      </w:r>
      <w:r w:rsidRPr="00CC484F">
        <w:rPr>
          <w:lang w:bidi="hi-IN"/>
        </w:rPr>
        <w:t xml:space="preserve">, </w:t>
      </w:r>
      <w:r w:rsidRPr="00CC484F">
        <w:rPr>
          <w:i/>
          <w:iCs/>
          <w:lang w:bidi="hi-IN"/>
        </w:rPr>
        <w:t>20</w:t>
      </w:r>
      <w:r w:rsidRPr="00CC484F">
        <w:rPr>
          <w:lang w:bidi="hi-IN"/>
        </w:rPr>
        <w:t xml:space="preserve"> (1), 8. https://doi.org/10.1186/s12981-023-00503-5</w:t>
      </w:r>
    </w:p>
    <w:p w14:paraId="326020E8" w14:textId="77777777" w:rsidR="00CC484F" w:rsidRPr="00CC484F" w:rsidRDefault="00CC484F" w:rsidP="00CC484F">
      <w:pPr>
        <w:pStyle w:val="Bibliography"/>
        <w:rPr>
          <w:lang w:bidi="hi-IN"/>
        </w:rPr>
      </w:pPr>
      <w:r w:rsidRPr="00CC484F">
        <w:rPr>
          <w:lang w:bidi="hi-IN"/>
        </w:rPr>
        <w:t>(19)</w:t>
      </w:r>
      <w:r w:rsidRPr="00CC484F">
        <w:rPr>
          <w:lang w:bidi="hi-IN"/>
        </w:rPr>
        <w:tab/>
        <w:t xml:space="preserve">Calza, L.; </w:t>
      </w:r>
      <w:proofErr w:type="spellStart"/>
      <w:r w:rsidRPr="00CC484F">
        <w:rPr>
          <w:lang w:bidi="hi-IN"/>
        </w:rPr>
        <w:t>Colangeli</w:t>
      </w:r>
      <w:proofErr w:type="spellEnd"/>
      <w:r w:rsidRPr="00CC484F">
        <w:rPr>
          <w:lang w:bidi="hi-IN"/>
        </w:rPr>
        <w:t xml:space="preserve">, V.; </w:t>
      </w:r>
      <w:proofErr w:type="spellStart"/>
      <w:r w:rsidRPr="00CC484F">
        <w:rPr>
          <w:lang w:bidi="hi-IN"/>
        </w:rPr>
        <w:t>Pensalfine</w:t>
      </w:r>
      <w:proofErr w:type="spellEnd"/>
      <w:r w:rsidRPr="00CC484F">
        <w:rPr>
          <w:lang w:bidi="hi-IN"/>
        </w:rPr>
        <w:t xml:space="preserve">, G.; </w:t>
      </w:r>
      <w:proofErr w:type="spellStart"/>
      <w:r w:rsidRPr="00CC484F">
        <w:rPr>
          <w:lang w:bidi="hi-IN"/>
        </w:rPr>
        <w:t>Appolloni</w:t>
      </w:r>
      <w:proofErr w:type="spellEnd"/>
      <w:r w:rsidRPr="00CC484F">
        <w:rPr>
          <w:lang w:bidi="hi-IN"/>
        </w:rPr>
        <w:t xml:space="preserve">, L.; Vitale, S.; Bon, I.; Viale, P. Doravirine/Lamivudine/Tenofovir Disoproxil Fumarate in Virologically Suppressed People Living with HIV: A Real-Life Experience. </w:t>
      </w:r>
      <w:r w:rsidRPr="00CC484F">
        <w:rPr>
          <w:i/>
          <w:iCs/>
          <w:lang w:bidi="hi-IN"/>
        </w:rPr>
        <w:t>Int J STD AIDS</w:t>
      </w:r>
      <w:r w:rsidRPr="00CC484F">
        <w:rPr>
          <w:lang w:bidi="hi-IN"/>
        </w:rPr>
        <w:t xml:space="preserve"> </w:t>
      </w:r>
      <w:r w:rsidRPr="00CC484F">
        <w:rPr>
          <w:b/>
          <w:bCs/>
          <w:lang w:bidi="hi-IN"/>
        </w:rPr>
        <w:t>2023</w:t>
      </w:r>
      <w:r w:rsidRPr="00CC484F">
        <w:rPr>
          <w:lang w:bidi="hi-IN"/>
        </w:rPr>
        <w:t xml:space="preserve">, </w:t>
      </w:r>
      <w:r w:rsidRPr="00CC484F">
        <w:rPr>
          <w:i/>
          <w:iCs/>
          <w:lang w:bidi="hi-IN"/>
        </w:rPr>
        <w:t>34</w:t>
      </w:r>
      <w:r w:rsidRPr="00CC484F">
        <w:rPr>
          <w:lang w:bidi="hi-IN"/>
        </w:rPr>
        <w:t xml:space="preserve"> (14), 1018–1023. https://doi.org/10.1177/09564624231195084</w:t>
      </w:r>
    </w:p>
    <w:p w14:paraId="2CDB3D26" w14:textId="77777777" w:rsidR="00CC484F" w:rsidRPr="00CC484F" w:rsidRDefault="00CC484F" w:rsidP="00CC484F">
      <w:pPr>
        <w:pStyle w:val="Bibliography"/>
        <w:rPr>
          <w:lang w:bidi="hi-IN"/>
        </w:rPr>
      </w:pPr>
      <w:r w:rsidRPr="00CC484F">
        <w:rPr>
          <w:lang w:bidi="hi-IN"/>
        </w:rPr>
        <w:t>(20)</w:t>
      </w:r>
      <w:r w:rsidRPr="00CC484F">
        <w:rPr>
          <w:lang w:bidi="hi-IN"/>
        </w:rPr>
        <w:tab/>
      </w:r>
      <w:proofErr w:type="spellStart"/>
      <w:r w:rsidRPr="00CC484F">
        <w:rPr>
          <w:lang w:bidi="hi-IN"/>
        </w:rPr>
        <w:t>Mejías</w:t>
      </w:r>
      <w:proofErr w:type="spellEnd"/>
      <w:r w:rsidRPr="00CC484F">
        <w:rPr>
          <w:lang w:bidi="hi-IN"/>
        </w:rPr>
        <w:t xml:space="preserve">-Trueba, M.; Gutierrez-Valencia, A.; Llaves-Flores, S.; Roca-Oporto, C.; Herrero, M.; Sotomayor de la Piedra, C.; Lopez-Cortes, L. F.; Espinosa, N. Long-Term Effectiveness, Safety, and Tolerability of Doravirine in Antiretroviral-Experienced People with HIV in Real Life. </w:t>
      </w:r>
      <w:r w:rsidRPr="00CC484F">
        <w:rPr>
          <w:i/>
          <w:iCs/>
          <w:lang w:bidi="hi-IN"/>
        </w:rPr>
        <w:t>Microbiology Spectrum</w:t>
      </w:r>
      <w:r w:rsidRPr="00CC484F">
        <w:rPr>
          <w:lang w:bidi="hi-IN"/>
        </w:rPr>
        <w:t xml:space="preserve"> </w:t>
      </w:r>
      <w:r w:rsidRPr="00CC484F">
        <w:rPr>
          <w:b/>
          <w:bCs/>
          <w:lang w:bidi="hi-IN"/>
        </w:rPr>
        <w:t>2024</w:t>
      </w:r>
      <w:r w:rsidRPr="00CC484F">
        <w:rPr>
          <w:lang w:bidi="hi-IN"/>
        </w:rPr>
        <w:t xml:space="preserve">, </w:t>
      </w:r>
      <w:r w:rsidRPr="00CC484F">
        <w:rPr>
          <w:i/>
          <w:iCs/>
          <w:lang w:bidi="hi-IN"/>
        </w:rPr>
        <w:t>12</w:t>
      </w:r>
      <w:r w:rsidRPr="00CC484F">
        <w:rPr>
          <w:lang w:bidi="hi-IN"/>
        </w:rPr>
        <w:t xml:space="preserve"> (8), e00654-24. https://doi.org/10.1128/spectrum.00654-24</w:t>
      </w:r>
    </w:p>
    <w:p w14:paraId="71C59E9D" w14:textId="77777777" w:rsidR="00CC484F" w:rsidRPr="00CC484F" w:rsidRDefault="00CC484F" w:rsidP="00CC484F">
      <w:pPr>
        <w:pStyle w:val="Bibliography"/>
        <w:rPr>
          <w:lang w:bidi="hi-IN"/>
        </w:rPr>
      </w:pPr>
      <w:r w:rsidRPr="00CC484F">
        <w:rPr>
          <w:lang w:bidi="hi-IN"/>
        </w:rPr>
        <w:t>(21)</w:t>
      </w:r>
      <w:r w:rsidRPr="00CC484F">
        <w:rPr>
          <w:lang w:bidi="hi-IN"/>
        </w:rPr>
        <w:tab/>
        <w:t xml:space="preserve">Yang, H.; Li, M.; Liu, Q.; Zeng, Q.; Yuan, J. The Efficacy and Safety of Doravirine/Lamivudine/Tenofovir Disoproxil Fumarate in Treatment-Naïve and Treatment-Experienced Patients with HIV. </w:t>
      </w:r>
      <w:r w:rsidRPr="00CC484F">
        <w:rPr>
          <w:i/>
          <w:iCs/>
          <w:lang w:bidi="hi-IN"/>
        </w:rPr>
        <w:t>Annals of Medicine</w:t>
      </w:r>
      <w:r w:rsidRPr="00CC484F">
        <w:rPr>
          <w:lang w:bidi="hi-IN"/>
        </w:rPr>
        <w:t xml:space="preserve"> </w:t>
      </w:r>
      <w:r w:rsidRPr="00CC484F">
        <w:rPr>
          <w:b/>
          <w:bCs/>
          <w:lang w:bidi="hi-IN"/>
        </w:rPr>
        <w:t>2025</w:t>
      </w:r>
      <w:r w:rsidRPr="00CC484F">
        <w:rPr>
          <w:lang w:bidi="hi-IN"/>
        </w:rPr>
        <w:t xml:space="preserve">, </w:t>
      </w:r>
      <w:r w:rsidRPr="00CC484F">
        <w:rPr>
          <w:i/>
          <w:iCs/>
          <w:lang w:bidi="hi-IN"/>
        </w:rPr>
        <w:t>57</w:t>
      </w:r>
      <w:r w:rsidRPr="00CC484F">
        <w:rPr>
          <w:lang w:bidi="hi-IN"/>
        </w:rPr>
        <w:t xml:space="preserve"> (1), 2564286. https://doi.org/10.1080/07853890.2025.2564286</w:t>
      </w:r>
    </w:p>
    <w:p w14:paraId="4562D5A3" w14:textId="77777777" w:rsidR="00CC484F" w:rsidRPr="00CC484F" w:rsidRDefault="00CC484F" w:rsidP="00CC484F">
      <w:pPr>
        <w:pStyle w:val="Bibliography"/>
        <w:rPr>
          <w:lang w:bidi="hi-IN"/>
        </w:rPr>
      </w:pPr>
      <w:r w:rsidRPr="00CC484F">
        <w:rPr>
          <w:lang w:bidi="hi-IN"/>
        </w:rPr>
        <w:t>(22)</w:t>
      </w:r>
      <w:r w:rsidRPr="00CC484F">
        <w:rPr>
          <w:lang w:bidi="hi-IN"/>
        </w:rPr>
        <w:tab/>
        <w:t xml:space="preserve">Orkin, C.; </w:t>
      </w:r>
      <w:proofErr w:type="spellStart"/>
      <w:r w:rsidRPr="00CC484F">
        <w:rPr>
          <w:lang w:bidi="hi-IN"/>
        </w:rPr>
        <w:t>Mngqibisa</w:t>
      </w:r>
      <w:proofErr w:type="spellEnd"/>
      <w:r w:rsidRPr="00CC484F">
        <w:rPr>
          <w:lang w:bidi="hi-IN"/>
        </w:rPr>
        <w:t xml:space="preserve">, R.; Velez, J. D.; Kumar, P.; Braun, D. L.; Carr, A.; Bloch, M.; Walmsley, S.; </w:t>
      </w:r>
      <w:proofErr w:type="spellStart"/>
      <w:r w:rsidRPr="00CC484F">
        <w:rPr>
          <w:lang w:bidi="hi-IN"/>
        </w:rPr>
        <w:t>Tebas</w:t>
      </w:r>
      <w:proofErr w:type="spellEnd"/>
      <w:r w:rsidRPr="00CC484F">
        <w:rPr>
          <w:lang w:bidi="hi-IN"/>
        </w:rPr>
        <w:t xml:space="preserve">, P.; </w:t>
      </w:r>
      <w:proofErr w:type="spellStart"/>
      <w:r w:rsidRPr="00CC484F">
        <w:rPr>
          <w:lang w:bidi="hi-IN"/>
        </w:rPr>
        <w:t>Yokomaku</w:t>
      </w:r>
      <w:proofErr w:type="spellEnd"/>
      <w:r w:rsidRPr="00CC484F">
        <w:rPr>
          <w:lang w:bidi="hi-IN"/>
        </w:rPr>
        <w:t xml:space="preserve">, Y.; Diamond, T. L.; Jackson, B.; Eves, K.; Grandhi, A.; </w:t>
      </w:r>
      <w:proofErr w:type="spellStart"/>
      <w:r w:rsidRPr="00CC484F">
        <w:rPr>
          <w:lang w:bidi="hi-IN"/>
        </w:rPr>
        <w:t>Fuszard</w:t>
      </w:r>
      <w:proofErr w:type="spellEnd"/>
      <w:r w:rsidRPr="00CC484F">
        <w:rPr>
          <w:lang w:bidi="hi-IN"/>
        </w:rPr>
        <w:t xml:space="preserve">, M.; Klopfer, S. O.; Stamm, L. M.; Fox, M. C.; Kim, J. Switch to Fixed-Dose Doravirine (100 Mg) and </w:t>
      </w:r>
      <w:proofErr w:type="spellStart"/>
      <w:r w:rsidRPr="00CC484F">
        <w:rPr>
          <w:lang w:bidi="hi-IN"/>
        </w:rPr>
        <w:t>Islatravir</w:t>
      </w:r>
      <w:proofErr w:type="spellEnd"/>
      <w:r w:rsidRPr="00CC484F">
        <w:rPr>
          <w:lang w:bidi="hi-IN"/>
        </w:rPr>
        <w:t xml:space="preserve"> (0·25 Mg) Once Daily in Virologically Suppressed Adults with HIV-1 on Oral Antiretroviral Therapy: 48-Week Results of a Phase 3, </w:t>
      </w:r>
      <w:proofErr w:type="spellStart"/>
      <w:r w:rsidRPr="00CC484F">
        <w:rPr>
          <w:lang w:bidi="hi-IN"/>
        </w:rPr>
        <w:t>Multicentre</w:t>
      </w:r>
      <w:proofErr w:type="spellEnd"/>
      <w:r w:rsidRPr="00CC484F">
        <w:rPr>
          <w:lang w:bidi="hi-IN"/>
        </w:rPr>
        <w:t xml:space="preserve">, </w:t>
      </w:r>
      <w:proofErr w:type="spellStart"/>
      <w:r w:rsidRPr="00CC484F">
        <w:rPr>
          <w:lang w:bidi="hi-IN"/>
        </w:rPr>
        <w:t>Randomised</w:t>
      </w:r>
      <w:proofErr w:type="spellEnd"/>
      <w:r w:rsidRPr="00CC484F">
        <w:rPr>
          <w:lang w:bidi="hi-IN"/>
        </w:rPr>
        <w:t xml:space="preserve">, Open-Label, Non-Inferiority Trial. </w:t>
      </w:r>
      <w:r w:rsidRPr="00CC484F">
        <w:rPr>
          <w:i/>
          <w:iCs/>
          <w:lang w:bidi="hi-IN"/>
        </w:rPr>
        <w:t>The Lancet</w:t>
      </w:r>
      <w:r w:rsidRPr="00CC484F">
        <w:rPr>
          <w:lang w:bidi="hi-IN"/>
        </w:rPr>
        <w:t xml:space="preserve"> </w:t>
      </w:r>
      <w:r w:rsidRPr="00CC484F">
        <w:rPr>
          <w:b/>
          <w:bCs/>
          <w:lang w:bidi="hi-IN"/>
        </w:rPr>
        <w:t>2026</w:t>
      </w:r>
      <w:r w:rsidRPr="00CC484F">
        <w:rPr>
          <w:lang w:bidi="hi-IN"/>
        </w:rPr>
        <w:t xml:space="preserve">, </w:t>
      </w:r>
      <w:r w:rsidRPr="00CC484F">
        <w:rPr>
          <w:i/>
          <w:iCs/>
          <w:lang w:bidi="hi-IN"/>
        </w:rPr>
        <w:t>407</w:t>
      </w:r>
      <w:r w:rsidRPr="00CC484F">
        <w:rPr>
          <w:lang w:bidi="hi-IN"/>
        </w:rPr>
        <w:t xml:space="preserve"> (10528), 599–610. https://doi.org/10.1016/S0140-6736(25)01945-2</w:t>
      </w:r>
    </w:p>
    <w:p w14:paraId="7BAA9791" w14:textId="77777777" w:rsidR="00CC484F" w:rsidRPr="00CC484F" w:rsidRDefault="00CC484F" w:rsidP="00CC484F">
      <w:pPr>
        <w:pStyle w:val="Bibliography"/>
        <w:rPr>
          <w:lang w:bidi="hi-IN"/>
        </w:rPr>
      </w:pPr>
      <w:r w:rsidRPr="00CC484F">
        <w:rPr>
          <w:lang w:bidi="hi-IN"/>
        </w:rPr>
        <w:t>(23)</w:t>
      </w:r>
      <w:r w:rsidRPr="00CC484F">
        <w:rPr>
          <w:lang w:bidi="hi-IN"/>
        </w:rPr>
        <w:tab/>
        <w:t xml:space="preserve">Rizzo, R. C.; Wang, D.-P.; Tirado-Rives, J.; Jorgensen, W. L. Validation of a Model for the Complex of HIV-1 Reverse Transcriptase with </w:t>
      </w:r>
      <w:proofErr w:type="spellStart"/>
      <w:r w:rsidRPr="00CC484F">
        <w:rPr>
          <w:lang w:bidi="hi-IN"/>
        </w:rPr>
        <w:t>Sustiva</w:t>
      </w:r>
      <w:proofErr w:type="spellEnd"/>
      <w:r w:rsidRPr="00CC484F">
        <w:rPr>
          <w:lang w:bidi="hi-IN"/>
        </w:rPr>
        <w:t xml:space="preserve"> through Computation of Resistance Profiles. </w:t>
      </w:r>
      <w:r w:rsidRPr="00CC484F">
        <w:rPr>
          <w:i/>
          <w:iCs/>
          <w:lang w:bidi="hi-IN"/>
        </w:rPr>
        <w:t>Journal American Chemical Society</w:t>
      </w:r>
      <w:r w:rsidRPr="00CC484F">
        <w:rPr>
          <w:lang w:bidi="hi-IN"/>
        </w:rPr>
        <w:t xml:space="preserve"> </w:t>
      </w:r>
      <w:r w:rsidRPr="00CC484F">
        <w:rPr>
          <w:b/>
          <w:bCs/>
          <w:lang w:bidi="hi-IN"/>
        </w:rPr>
        <w:t>2000</w:t>
      </w:r>
      <w:r w:rsidRPr="00CC484F">
        <w:rPr>
          <w:lang w:bidi="hi-IN"/>
        </w:rPr>
        <w:t xml:space="preserve">, </w:t>
      </w:r>
      <w:r w:rsidRPr="00CC484F">
        <w:rPr>
          <w:i/>
          <w:iCs/>
          <w:lang w:bidi="hi-IN"/>
        </w:rPr>
        <w:t>122</w:t>
      </w:r>
      <w:r w:rsidRPr="00CC484F">
        <w:rPr>
          <w:lang w:bidi="hi-IN"/>
        </w:rPr>
        <w:t xml:space="preserve"> (51), 12898–12900. https://doi.org/10.1021/ja003113r</w:t>
      </w:r>
    </w:p>
    <w:p w14:paraId="5A858F35" w14:textId="77777777" w:rsidR="00CC484F" w:rsidRPr="00CC484F" w:rsidRDefault="00CC484F" w:rsidP="00CC484F">
      <w:pPr>
        <w:pStyle w:val="Bibliography"/>
        <w:rPr>
          <w:lang w:bidi="hi-IN"/>
        </w:rPr>
      </w:pPr>
      <w:r w:rsidRPr="00CC484F">
        <w:rPr>
          <w:lang w:bidi="hi-IN"/>
        </w:rPr>
        <w:t>(24)</w:t>
      </w:r>
      <w:r w:rsidRPr="00CC484F">
        <w:rPr>
          <w:lang w:bidi="hi-IN"/>
        </w:rPr>
        <w:tab/>
        <w:t xml:space="preserve">Wang, D.-P.; Rizzo, R. C.; Tirado-Rives, J.; Jorgensen, W. L. Antiviral Drug Design: Computational Analyses of the Effects of the L100I Mutation for HIV-RT on the Binding of NNRTIs. </w:t>
      </w:r>
      <w:r w:rsidRPr="00CC484F">
        <w:rPr>
          <w:i/>
          <w:iCs/>
          <w:lang w:bidi="hi-IN"/>
        </w:rPr>
        <w:t>Bioorganic &amp; Medicinal Chemistry Letters</w:t>
      </w:r>
      <w:r w:rsidRPr="00CC484F">
        <w:rPr>
          <w:lang w:bidi="hi-IN"/>
        </w:rPr>
        <w:t xml:space="preserve"> </w:t>
      </w:r>
      <w:r w:rsidRPr="00CC484F">
        <w:rPr>
          <w:b/>
          <w:bCs/>
          <w:lang w:bidi="hi-IN"/>
        </w:rPr>
        <w:t>2001</w:t>
      </w:r>
      <w:r w:rsidRPr="00CC484F">
        <w:rPr>
          <w:lang w:bidi="hi-IN"/>
        </w:rPr>
        <w:t xml:space="preserve">, </w:t>
      </w:r>
      <w:r w:rsidRPr="00CC484F">
        <w:rPr>
          <w:i/>
          <w:iCs/>
          <w:lang w:bidi="hi-IN"/>
        </w:rPr>
        <w:t>11</w:t>
      </w:r>
      <w:r w:rsidRPr="00CC484F">
        <w:rPr>
          <w:lang w:bidi="hi-IN"/>
        </w:rPr>
        <w:t xml:space="preserve"> (21), 2799–2802. https://doi.org/10.1016/S0960-894X(01)00510-8</w:t>
      </w:r>
    </w:p>
    <w:p w14:paraId="50D3D5EB" w14:textId="77777777" w:rsidR="00CC484F" w:rsidRPr="00CC484F" w:rsidRDefault="00CC484F" w:rsidP="00CC484F">
      <w:pPr>
        <w:pStyle w:val="Bibliography"/>
        <w:rPr>
          <w:lang w:bidi="hi-IN"/>
        </w:rPr>
      </w:pPr>
      <w:r w:rsidRPr="00CC484F">
        <w:rPr>
          <w:lang w:bidi="hi-IN"/>
        </w:rPr>
        <w:lastRenderedPageBreak/>
        <w:t>(25)</w:t>
      </w:r>
      <w:r w:rsidRPr="00CC484F">
        <w:rPr>
          <w:lang w:bidi="hi-IN"/>
        </w:rPr>
        <w:tab/>
      </w:r>
      <w:proofErr w:type="spellStart"/>
      <w:r w:rsidRPr="00CC484F">
        <w:rPr>
          <w:lang w:bidi="hi-IN"/>
        </w:rPr>
        <w:t>Udier-Blagović</w:t>
      </w:r>
      <w:proofErr w:type="spellEnd"/>
      <w:r w:rsidRPr="00CC484F">
        <w:rPr>
          <w:lang w:bidi="hi-IN"/>
        </w:rPr>
        <w:t xml:space="preserve">, M.; Tirado-Rives, J.; Jorgensen, W. L. Validation of a Model for the Complex of HIV-1 Reverse Transcriptase with Nonnucleoside Inhibitor TMC125. </w:t>
      </w:r>
      <w:r w:rsidRPr="00CC484F">
        <w:rPr>
          <w:i/>
          <w:iCs/>
          <w:lang w:bidi="hi-IN"/>
        </w:rPr>
        <w:t>Journal American Chemical Society</w:t>
      </w:r>
      <w:r w:rsidRPr="00CC484F">
        <w:rPr>
          <w:lang w:bidi="hi-IN"/>
        </w:rPr>
        <w:t xml:space="preserve"> </w:t>
      </w:r>
      <w:r w:rsidRPr="00CC484F">
        <w:rPr>
          <w:b/>
          <w:bCs/>
          <w:lang w:bidi="hi-IN"/>
        </w:rPr>
        <w:t>2003</w:t>
      </w:r>
      <w:r w:rsidRPr="00CC484F">
        <w:rPr>
          <w:lang w:bidi="hi-IN"/>
        </w:rPr>
        <w:t xml:space="preserve">, </w:t>
      </w:r>
      <w:r w:rsidRPr="00CC484F">
        <w:rPr>
          <w:i/>
          <w:iCs/>
          <w:lang w:bidi="hi-IN"/>
        </w:rPr>
        <w:t>125</w:t>
      </w:r>
      <w:r w:rsidRPr="00CC484F">
        <w:rPr>
          <w:lang w:bidi="hi-IN"/>
        </w:rPr>
        <w:t xml:space="preserve"> (20), 6016–6017. https://doi.org/10.1021/ja034308c</w:t>
      </w:r>
    </w:p>
    <w:p w14:paraId="69C28743" w14:textId="77777777" w:rsidR="00CC484F" w:rsidRPr="00CC484F" w:rsidRDefault="00CC484F" w:rsidP="00CC484F">
      <w:pPr>
        <w:pStyle w:val="Bibliography"/>
        <w:rPr>
          <w:lang w:bidi="hi-IN"/>
        </w:rPr>
      </w:pPr>
      <w:r w:rsidRPr="00CC484F">
        <w:rPr>
          <w:lang w:bidi="hi-IN"/>
        </w:rPr>
        <w:t>(26)</w:t>
      </w:r>
      <w:r w:rsidRPr="00CC484F">
        <w:rPr>
          <w:lang w:bidi="hi-IN"/>
        </w:rPr>
        <w:tab/>
      </w:r>
      <w:proofErr w:type="spellStart"/>
      <w:r w:rsidRPr="00CC484F">
        <w:rPr>
          <w:lang w:bidi="hi-IN"/>
        </w:rPr>
        <w:t>Udier-Blagović</w:t>
      </w:r>
      <w:proofErr w:type="spellEnd"/>
      <w:r w:rsidRPr="00CC484F">
        <w:rPr>
          <w:lang w:bidi="hi-IN"/>
        </w:rPr>
        <w:t xml:space="preserve">, M.; Tirado-Rives, J.; Jorgensen, W. L. Structural and Energetic Analyses of the Effects of the K103N Mutation of HIV-1 Reverse Transcriptase on Efavirenz Analogues. </w:t>
      </w:r>
      <w:r w:rsidRPr="00CC484F">
        <w:rPr>
          <w:i/>
          <w:iCs/>
          <w:lang w:bidi="hi-IN"/>
        </w:rPr>
        <w:t>J. Med. Chem.</w:t>
      </w:r>
      <w:r w:rsidRPr="00CC484F">
        <w:rPr>
          <w:lang w:bidi="hi-IN"/>
        </w:rPr>
        <w:t xml:space="preserve"> </w:t>
      </w:r>
      <w:r w:rsidRPr="00CC484F">
        <w:rPr>
          <w:b/>
          <w:bCs/>
          <w:lang w:bidi="hi-IN"/>
        </w:rPr>
        <w:t>2004</w:t>
      </w:r>
      <w:r w:rsidRPr="00CC484F">
        <w:rPr>
          <w:lang w:bidi="hi-IN"/>
        </w:rPr>
        <w:t xml:space="preserve">, </w:t>
      </w:r>
      <w:r w:rsidRPr="00CC484F">
        <w:rPr>
          <w:i/>
          <w:iCs/>
          <w:lang w:bidi="hi-IN"/>
        </w:rPr>
        <w:t>47</w:t>
      </w:r>
      <w:r w:rsidRPr="00CC484F">
        <w:rPr>
          <w:lang w:bidi="hi-IN"/>
        </w:rPr>
        <w:t xml:space="preserve"> (9), 2389–2392. https://doi.org/10.1021/jm0303507</w:t>
      </w:r>
    </w:p>
    <w:p w14:paraId="66CC0EF2" w14:textId="77777777" w:rsidR="00CC484F" w:rsidRPr="00CC484F" w:rsidRDefault="00CC484F" w:rsidP="00CC484F">
      <w:pPr>
        <w:pStyle w:val="Bibliography"/>
        <w:rPr>
          <w:lang w:bidi="hi-IN"/>
        </w:rPr>
      </w:pPr>
      <w:r w:rsidRPr="00CC484F">
        <w:rPr>
          <w:lang w:bidi="hi-IN"/>
        </w:rPr>
        <w:t>(27)</w:t>
      </w:r>
      <w:r w:rsidRPr="00CC484F">
        <w:rPr>
          <w:lang w:bidi="hi-IN"/>
        </w:rPr>
        <w:tab/>
        <w:t xml:space="preserve">Rodríguez-Barrios, F.; Balzarini, J.; Gago, F. The Molecular Basis of Resilience to the Effect of the Lys103Asn Mutation in Non-Nucleoside HIV-1 Reverse Transcriptase Inhibitors Studied by Targeted Molecular Dynamics Simulations. </w:t>
      </w:r>
      <w:r w:rsidRPr="00CC484F">
        <w:rPr>
          <w:i/>
          <w:iCs/>
          <w:lang w:bidi="hi-IN"/>
        </w:rPr>
        <w:t>Journal American Chemical Society</w:t>
      </w:r>
      <w:r w:rsidRPr="00CC484F">
        <w:rPr>
          <w:lang w:bidi="hi-IN"/>
        </w:rPr>
        <w:t xml:space="preserve"> </w:t>
      </w:r>
      <w:r w:rsidRPr="00CC484F">
        <w:rPr>
          <w:b/>
          <w:bCs/>
          <w:lang w:bidi="hi-IN"/>
        </w:rPr>
        <w:t>2005</w:t>
      </w:r>
      <w:r w:rsidRPr="00CC484F">
        <w:rPr>
          <w:lang w:bidi="hi-IN"/>
        </w:rPr>
        <w:t xml:space="preserve">, </w:t>
      </w:r>
      <w:r w:rsidRPr="00CC484F">
        <w:rPr>
          <w:i/>
          <w:iCs/>
          <w:lang w:bidi="hi-IN"/>
        </w:rPr>
        <w:t>127</w:t>
      </w:r>
      <w:r w:rsidRPr="00CC484F">
        <w:rPr>
          <w:lang w:bidi="hi-IN"/>
        </w:rPr>
        <w:t xml:space="preserve"> (20), 7570–7578. https://doi.org/10.1021/ja042289g</w:t>
      </w:r>
    </w:p>
    <w:p w14:paraId="3D66528D" w14:textId="77777777" w:rsidR="00CC484F" w:rsidRPr="00CC484F" w:rsidRDefault="00CC484F" w:rsidP="00CC484F">
      <w:pPr>
        <w:pStyle w:val="Bibliography"/>
        <w:rPr>
          <w:lang w:bidi="hi-IN"/>
        </w:rPr>
      </w:pPr>
      <w:r w:rsidRPr="00CC484F">
        <w:rPr>
          <w:lang w:bidi="hi-IN"/>
        </w:rPr>
        <w:t>(28)</w:t>
      </w:r>
      <w:r w:rsidRPr="00CC484F">
        <w:rPr>
          <w:lang w:bidi="hi-IN"/>
        </w:rPr>
        <w:tab/>
        <w:t xml:space="preserve">Zhou, Z.; Madrid, M.; </w:t>
      </w:r>
      <w:proofErr w:type="spellStart"/>
      <w:r w:rsidRPr="00CC484F">
        <w:rPr>
          <w:lang w:bidi="hi-IN"/>
        </w:rPr>
        <w:t>Evanseck</w:t>
      </w:r>
      <w:proofErr w:type="spellEnd"/>
      <w:r w:rsidRPr="00CC484F">
        <w:rPr>
          <w:lang w:bidi="hi-IN"/>
        </w:rPr>
        <w:t xml:space="preserve">, J. D.; Madura, J. D. Effect of a Bound Non-Nucleoside RT Inhibitor on the Dynamics of Wild-Type and Mutant HIV-1 Reverse Transcriptase. </w:t>
      </w:r>
      <w:r w:rsidRPr="00CC484F">
        <w:rPr>
          <w:i/>
          <w:iCs/>
          <w:lang w:bidi="hi-IN"/>
        </w:rPr>
        <w:t>J. Am. Chem. Soc.</w:t>
      </w:r>
      <w:r w:rsidRPr="00CC484F">
        <w:rPr>
          <w:lang w:bidi="hi-IN"/>
        </w:rPr>
        <w:t xml:space="preserve"> </w:t>
      </w:r>
      <w:r w:rsidRPr="00CC484F">
        <w:rPr>
          <w:b/>
          <w:bCs/>
          <w:lang w:bidi="hi-IN"/>
        </w:rPr>
        <w:t>2005</w:t>
      </w:r>
      <w:r w:rsidRPr="00CC484F">
        <w:rPr>
          <w:lang w:bidi="hi-IN"/>
        </w:rPr>
        <w:t xml:space="preserve">, </w:t>
      </w:r>
      <w:r w:rsidRPr="00CC484F">
        <w:rPr>
          <w:i/>
          <w:iCs/>
          <w:lang w:bidi="hi-IN"/>
        </w:rPr>
        <w:t>127</w:t>
      </w:r>
      <w:r w:rsidRPr="00CC484F">
        <w:rPr>
          <w:lang w:bidi="hi-IN"/>
        </w:rPr>
        <w:t xml:space="preserve"> (49), 17253–17260. https://doi.org/10.1021/ja053973d</w:t>
      </w:r>
    </w:p>
    <w:p w14:paraId="1979AFA3" w14:textId="77777777" w:rsidR="00CC484F" w:rsidRPr="00CC484F" w:rsidRDefault="00CC484F" w:rsidP="00CC484F">
      <w:pPr>
        <w:pStyle w:val="Bibliography"/>
        <w:rPr>
          <w:lang w:bidi="hi-IN"/>
        </w:rPr>
      </w:pPr>
      <w:r w:rsidRPr="00CC484F">
        <w:rPr>
          <w:lang w:bidi="hi-IN"/>
        </w:rPr>
        <w:t>(29)</w:t>
      </w:r>
      <w:r w:rsidRPr="00CC484F">
        <w:rPr>
          <w:lang w:bidi="hi-IN"/>
        </w:rPr>
        <w:tab/>
        <w:t xml:space="preserve">Vijayan, R. S. K.; Arnold, E.; Das, K. Molecular Dynamics Study of HIV-1 RT-DNA-Nevirapine Complexes Explains NNRTI Inhibition and Resistance by Connection Mutations. </w:t>
      </w:r>
      <w:r w:rsidRPr="00CC484F">
        <w:rPr>
          <w:i/>
          <w:iCs/>
          <w:lang w:bidi="hi-IN"/>
        </w:rPr>
        <w:t>Proteins: Structure, Function, and Bioinformatics</w:t>
      </w:r>
      <w:r w:rsidRPr="00CC484F">
        <w:rPr>
          <w:lang w:bidi="hi-IN"/>
        </w:rPr>
        <w:t xml:space="preserve"> </w:t>
      </w:r>
      <w:r w:rsidRPr="00CC484F">
        <w:rPr>
          <w:b/>
          <w:bCs/>
          <w:lang w:bidi="hi-IN"/>
        </w:rPr>
        <w:t>2014</w:t>
      </w:r>
      <w:r w:rsidRPr="00CC484F">
        <w:rPr>
          <w:lang w:bidi="hi-IN"/>
        </w:rPr>
        <w:t xml:space="preserve">, </w:t>
      </w:r>
      <w:r w:rsidRPr="00CC484F">
        <w:rPr>
          <w:i/>
          <w:iCs/>
          <w:lang w:bidi="hi-IN"/>
        </w:rPr>
        <w:t>82</w:t>
      </w:r>
      <w:r w:rsidRPr="00CC484F">
        <w:rPr>
          <w:lang w:bidi="hi-IN"/>
        </w:rPr>
        <w:t xml:space="preserve"> (5), 815–829. https://doi.org/10.1002/prot.24460</w:t>
      </w:r>
    </w:p>
    <w:p w14:paraId="6C53AD78" w14:textId="77777777" w:rsidR="00CC484F" w:rsidRPr="00CC484F" w:rsidRDefault="00CC484F" w:rsidP="00CC484F">
      <w:pPr>
        <w:pStyle w:val="Bibliography"/>
        <w:rPr>
          <w:lang w:bidi="hi-IN"/>
        </w:rPr>
      </w:pPr>
      <w:r w:rsidRPr="00CC484F">
        <w:rPr>
          <w:lang w:bidi="hi-IN"/>
        </w:rPr>
        <w:t>(30)</w:t>
      </w:r>
      <w:r w:rsidRPr="00CC484F">
        <w:rPr>
          <w:lang w:bidi="hi-IN"/>
        </w:rPr>
        <w:tab/>
        <w:t xml:space="preserve">Geitmann, M.; </w:t>
      </w:r>
      <w:proofErr w:type="spellStart"/>
      <w:r w:rsidRPr="00CC484F">
        <w:rPr>
          <w:lang w:bidi="hi-IN"/>
        </w:rPr>
        <w:t>Unge</w:t>
      </w:r>
      <w:proofErr w:type="spellEnd"/>
      <w:r w:rsidRPr="00CC484F">
        <w:rPr>
          <w:lang w:bidi="hi-IN"/>
        </w:rPr>
        <w:t xml:space="preserve">, T.; Danielson, U. H. Interaction Kinetic Characterization of HIV-1 Reverse Transcriptase Non-Nucleoside Inhibitor Resistance. </w:t>
      </w:r>
      <w:r w:rsidRPr="00CC484F">
        <w:rPr>
          <w:i/>
          <w:iCs/>
          <w:lang w:bidi="hi-IN"/>
        </w:rPr>
        <w:t>J. Med. Chem.</w:t>
      </w:r>
      <w:r w:rsidRPr="00CC484F">
        <w:rPr>
          <w:lang w:bidi="hi-IN"/>
        </w:rPr>
        <w:t xml:space="preserve"> </w:t>
      </w:r>
      <w:r w:rsidRPr="00CC484F">
        <w:rPr>
          <w:b/>
          <w:bCs/>
          <w:lang w:bidi="hi-IN"/>
        </w:rPr>
        <w:t>2006</w:t>
      </w:r>
      <w:r w:rsidRPr="00CC484F">
        <w:rPr>
          <w:lang w:bidi="hi-IN"/>
        </w:rPr>
        <w:t xml:space="preserve">, </w:t>
      </w:r>
      <w:r w:rsidRPr="00CC484F">
        <w:rPr>
          <w:i/>
          <w:iCs/>
          <w:lang w:bidi="hi-IN"/>
        </w:rPr>
        <w:t>49</w:t>
      </w:r>
      <w:r w:rsidRPr="00CC484F">
        <w:rPr>
          <w:lang w:bidi="hi-IN"/>
        </w:rPr>
        <w:t xml:space="preserve"> (8), 2375–2387. https://doi.org/10.1021/jm0504050</w:t>
      </w:r>
    </w:p>
    <w:p w14:paraId="6132C9B4" w14:textId="77777777" w:rsidR="00CC484F" w:rsidRPr="00CC484F" w:rsidRDefault="00CC484F" w:rsidP="00CC484F">
      <w:pPr>
        <w:pStyle w:val="Bibliography"/>
        <w:rPr>
          <w:lang w:bidi="hi-IN"/>
        </w:rPr>
      </w:pPr>
      <w:r w:rsidRPr="00CC484F">
        <w:rPr>
          <w:lang w:bidi="hi-IN"/>
        </w:rPr>
        <w:t>(31)</w:t>
      </w:r>
      <w:r w:rsidRPr="00CC484F">
        <w:rPr>
          <w:lang w:bidi="hi-IN"/>
        </w:rPr>
        <w:tab/>
      </w:r>
      <w:proofErr w:type="spellStart"/>
      <w:r w:rsidRPr="00CC484F">
        <w:rPr>
          <w:lang w:bidi="hi-IN"/>
        </w:rPr>
        <w:t>Ghidini</w:t>
      </w:r>
      <w:proofErr w:type="spellEnd"/>
      <w:r w:rsidRPr="00CC484F">
        <w:rPr>
          <w:lang w:bidi="hi-IN"/>
        </w:rPr>
        <w:t xml:space="preserve">, A.; Serra, E.; Cavalli, A. On Free Energy Calculations in Drug Discovery. </w:t>
      </w:r>
      <w:r w:rsidRPr="00CC484F">
        <w:rPr>
          <w:i/>
          <w:iCs/>
          <w:lang w:bidi="hi-IN"/>
        </w:rPr>
        <w:t>Acc. Chem. Res.</w:t>
      </w:r>
      <w:r w:rsidRPr="00CC484F">
        <w:rPr>
          <w:lang w:bidi="hi-IN"/>
        </w:rPr>
        <w:t xml:space="preserve"> </w:t>
      </w:r>
      <w:r w:rsidRPr="00CC484F">
        <w:rPr>
          <w:b/>
          <w:bCs/>
          <w:lang w:bidi="hi-IN"/>
        </w:rPr>
        <w:t>2025</w:t>
      </w:r>
      <w:r w:rsidRPr="00CC484F">
        <w:rPr>
          <w:lang w:bidi="hi-IN"/>
        </w:rPr>
        <w:t xml:space="preserve">, </w:t>
      </w:r>
      <w:r w:rsidRPr="00CC484F">
        <w:rPr>
          <w:i/>
          <w:iCs/>
          <w:lang w:bidi="hi-IN"/>
        </w:rPr>
        <w:t>58</w:t>
      </w:r>
      <w:r w:rsidRPr="00CC484F">
        <w:rPr>
          <w:lang w:bidi="hi-IN"/>
        </w:rPr>
        <w:t xml:space="preserve"> (20), 3137–3145. https://doi.org/10.1021/acs.accounts.5c00465</w:t>
      </w:r>
    </w:p>
    <w:p w14:paraId="7470FAFE" w14:textId="77777777" w:rsidR="00CC484F" w:rsidRPr="00CC484F" w:rsidRDefault="00CC484F" w:rsidP="00CC484F">
      <w:pPr>
        <w:pStyle w:val="Bibliography"/>
        <w:rPr>
          <w:lang w:bidi="hi-IN"/>
        </w:rPr>
      </w:pPr>
      <w:r w:rsidRPr="00CC484F">
        <w:rPr>
          <w:lang w:bidi="hi-IN"/>
        </w:rPr>
        <w:t>(32)</w:t>
      </w:r>
      <w:r w:rsidRPr="00CC484F">
        <w:rPr>
          <w:lang w:bidi="hi-IN"/>
        </w:rPr>
        <w:tab/>
      </w:r>
      <w:proofErr w:type="spellStart"/>
      <w:r w:rsidRPr="00CC484F">
        <w:rPr>
          <w:lang w:bidi="hi-IN"/>
        </w:rPr>
        <w:t>Gapsys</w:t>
      </w:r>
      <w:proofErr w:type="spellEnd"/>
      <w:r w:rsidRPr="00CC484F">
        <w:rPr>
          <w:lang w:bidi="hi-IN"/>
        </w:rPr>
        <w:t xml:space="preserve">, V.; Pérez-Benito, L.; </w:t>
      </w:r>
      <w:proofErr w:type="spellStart"/>
      <w:r w:rsidRPr="00CC484F">
        <w:rPr>
          <w:lang w:bidi="hi-IN"/>
        </w:rPr>
        <w:t>Aldeghi</w:t>
      </w:r>
      <w:proofErr w:type="spellEnd"/>
      <w:r w:rsidRPr="00CC484F">
        <w:rPr>
          <w:lang w:bidi="hi-IN"/>
        </w:rPr>
        <w:t xml:space="preserve">, M.; Seeliger, D.; van </w:t>
      </w:r>
      <w:proofErr w:type="spellStart"/>
      <w:r w:rsidRPr="00CC484F">
        <w:rPr>
          <w:lang w:bidi="hi-IN"/>
        </w:rPr>
        <w:t>Vlijmen</w:t>
      </w:r>
      <w:proofErr w:type="spellEnd"/>
      <w:r w:rsidRPr="00CC484F">
        <w:rPr>
          <w:lang w:bidi="hi-IN"/>
        </w:rPr>
        <w:t xml:space="preserve">, H.; </w:t>
      </w:r>
      <w:proofErr w:type="spellStart"/>
      <w:r w:rsidRPr="00CC484F">
        <w:rPr>
          <w:lang w:bidi="hi-IN"/>
        </w:rPr>
        <w:t>Tresadern</w:t>
      </w:r>
      <w:proofErr w:type="spellEnd"/>
      <w:r w:rsidRPr="00CC484F">
        <w:rPr>
          <w:lang w:bidi="hi-IN"/>
        </w:rPr>
        <w:t xml:space="preserve">, G.; de Groot, B. L. Large Scale Relative Protein Ligand Binding Affinities Using Non-Equilibrium Alchemy. </w:t>
      </w:r>
      <w:r w:rsidRPr="00CC484F">
        <w:rPr>
          <w:i/>
          <w:iCs/>
          <w:lang w:bidi="hi-IN"/>
        </w:rPr>
        <w:t>Chem. Sci.</w:t>
      </w:r>
      <w:r w:rsidRPr="00CC484F">
        <w:rPr>
          <w:lang w:bidi="hi-IN"/>
        </w:rPr>
        <w:t xml:space="preserve"> </w:t>
      </w:r>
      <w:r w:rsidRPr="00CC484F">
        <w:rPr>
          <w:b/>
          <w:bCs/>
          <w:lang w:bidi="hi-IN"/>
        </w:rPr>
        <w:t>2020</w:t>
      </w:r>
      <w:r w:rsidRPr="00CC484F">
        <w:rPr>
          <w:lang w:bidi="hi-IN"/>
        </w:rPr>
        <w:t xml:space="preserve">, </w:t>
      </w:r>
      <w:r w:rsidRPr="00CC484F">
        <w:rPr>
          <w:i/>
          <w:iCs/>
          <w:lang w:bidi="hi-IN"/>
        </w:rPr>
        <w:t>11</w:t>
      </w:r>
      <w:r w:rsidRPr="00CC484F">
        <w:rPr>
          <w:lang w:bidi="hi-IN"/>
        </w:rPr>
        <w:t xml:space="preserve"> (4), 1140–1152. https://doi.org/10.1039/c9sc03754c</w:t>
      </w:r>
    </w:p>
    <w:p w14:paraId="2D59E51A" w14:textId="77777777" w:rsidR="00CC484F" w:rsidRPr="00CC484F" w:rsidRDefault="00CC484F" w:rsidP="00CC484F">
      <w:pPr>
        <w:pStyle w:val="Bibliography"/>
        <w:rPr>
          <w:lang w:bidi="hi-IN"/>
        </w:rPr>
      </w:pPr>
      <w:r w:rsidRPr="00CC484F">
        <w:rPr>
          <w:lang w:bidi="hi-IN"/>
        </w:rPr>
        <w:t>(33)</w:t>
      </w:r>
      <w:r w:rsidRPr="00CC484F">
        <w:rPr>
          <w:lang w:bidi="hi-IN"/>
        </w:rPr>
        <w:tab/>
        <w:t xml:space="preserve">Kollman, P. A.; </w:t>
      </w:r>
      <w:proofErr w:type="spellStart"/>
      <w:r w:rsidRPr="00CC484F">
        <w:rPr>
          <w:lang w:bidi="hi-IN"/>
        </w:rPr>
        <w:t>Massova</w:t>
      </w:r>
      <w:proofErr w:type="spellEnd"/>
      <w:r w:rsidRPr="00CC484F">
        <w:rPr>
          <w:lang w:bidi="hi-IN"/>
        </w:rPr>
        <w:t xml:space="preserve">, I.; Reyes, C.; Kuhn, B.; Huo, S.; Chong, L.; Lee, M.; Lee, T.; Duan, Y.; Wang, W.; Donini, O.; </w:t>
      </w:r>
      <w:proofErr w:type="spellStart"/>
      <w:r w:rsidRPr="00CC484F">
        <w:rPr>
          <w:lang w:bidi="hi-IN"/>
        </w:rPr>
        <w:t>Cieplak</w:t>
      </w:r>
      <w:proofErr w:type="spellEnd"/>
      <w:r w:rsidRPr="00CC484F">
        <w:rPr>
          <w:lang w:bidi="hi-IN"/>
        </w:rPr>
        <w:t xml:space="preserve">, P.; Srinivasan, J.; Case, D. A.; Cheatham, T. E. Calculating Structures and Free Energies of Complex Molecules: Combining Molecular Mechanics and Continuum Models. </w:t>
      </w:r>
      <w:r w:rsidRPr="00CC484F">
        <w:rPr>
          <w:i/>
          <w:iCs/>
          <w:lang w:bidi="hi-IN"/>
        </w:rPr>
        <w:t>Acc. Chem. Res.</w:t>
      </w:r>
      <w:r w:rsidRPr="00CC484F">
        <w:rPr>
          <w:lang w:bidi="hi-IN"/>
        </w:rPr>
        <w:t xml:space="preserve"> </w:t>
      </w:r>
      <w:r w:rsidRPr="00CC484F">
        <w:rPr>
          <w:b/>
          <w:bCs/>
          <w:lang w:bidi="hi-IN"/>
        </w:rPr>
        <w:t>2000</w:t>
      </w:r>
      <w:r w:rsidRPr="00CC484F">
        <w:rPr>
          <w:lang w:bidi="hi-IN"/>
        </w:rPr>
        <w:t xml:space="preserve">, </w:t>
      </w:r>
      <w:r w:rsidRPr="00CC484F">
        <w:rPr>
          <w:i/>
          <w:iCs/>
          <w:lang w:bidi="hi-IN"/>
        </w:rPr>
        <w:t>33</w:t>
      </w:r>
      <w:r w:rsidRPr="00CC484F">
        <w:rPr>
          <w:lang w:bidi="hi-IN"/>
        </w:rPr>
        <w:t xml:space="preserve"> (12), 889–897. https://doi.org/10.1021/ar000033j</w:t>
      </w:r>
    </w:p>
    <w:p w14:paraId="6CB6CF77" w14:textId="77777777" w:rsidR="00CC484F" w:rsidRPr="00CC484F" w:rsidRDefault="00CC484F" w:rsidP="00CC484F">
      <w:pPr>
        <w:pStyle w:val="Bibliography"/>
        <w:rPr>
          <w:lang w:bidi="hi-IN"/>
        </w:rPr>
      </w:pPr>
      <w:r w:rsidRPr="00CC484F">
        <w:rPr>
          <w:lang w:bidi="hi-IN"/>
        </w:rPr>
        <w:t>(34)</w:t>
      </w:r>
      <w:r w:rsidRPr="00CC484F">
        <w:rPr>
          <w:lang w:bidi="hi-IN"/>
        </w:rPr>
        <w:tab/>
      </w:r>
      <w:proofErr w:type="spellStart"/>
      <w:r w:rsidRPr="00CC484F">
        <w:rPr>
          <w:lang w:bidi="hi-IN"/>
        </w:rPr>
        <w:t>Genheden</w:t>
      </w:r>
      <w:proofErr w:type="spellEnd"/>
      <w:r w:rsidRPr="00CC484F">
        <w:rPr>
          <w:lang w:bidi="hi-IN"/>
        </w:rPr>
        <w:t xml:space="preserve">, S.; Ryde, U. The MM/PBSA and MM/GBSA Methods to Estimate Ligand-Binding Affinities. </w:t>
      </w:r>
      <w:r w:rsidRPr="00CC484F">
        <w:rPr>
          <w:i/>
          <w:iCs/>
          <w:lang w:bidi="hi-IN"/>
        </w:rPr>
        <w:t>Expert Opinion on Drug Discovery</w:t>
      </w:r>
      <w:r w:rsidRPr="00CC484F">
        <w:rPr>
          <w:lang w:bidi="hi-IN"/>
        </w:rPr>
        <w:t xml:space="preserve"> </w:t>
      </w:r>
      <w:r w:rsidRPr="00CC484F">
        <w:rPr>
          <w:b/>
          <w:bCs/>
          <w:lang w:bidi="hi-IN"/>
        </w:rPr>
        <w:t>2015</w:t>
      </w:r>
      <w:r w:rsidRPr="00CC484F">
        <w:rPr>
          <w:lang w:bidi="hi-IN"/>
        </w:rPr>
        <w:t xml:space="preserve">, </w:t>
      </w:r>
      <w:r w:rsidRPr="00CC484F">
        <w:rPr>
          <w:i/>
          <w:iCs/>
          <w:lang w:bidi="hi-IN"/>
        </w:rPr>
        <w:t>10</w:t>
      </w:r>
      <w:r w:rsidRPr="00CC484F">
        <w:rPr>
          <w:lang w:bidi="hi-IN"/>
        </w:rPr>
        <w:t xml:space="preserve"> (5), 449–461. https://doi.org/10.1517/17460441.2015.1032936</w:t>
      </w:r>
    </w:p>
    <w:p w14:paraId="3C41EAD6" w14:textId="77777777" w:rsidR="00CC484F" w:rsidRPr="00CC484F" w:rsidRDefault="00CC484F" w:rsidP="00CC484F">
      <w:pPr>
        <w:pStyle w:val="Bibliography"/>
        <w:rPr>
          <w:lang w:bidi="hi-IN"/>
        </w:rPr>
      </w:pPr>
      <w:r w:rsidRPr="00CC484F">
        <w:rPr>
          <w:lang w:bidi="hi-IN"/>
        </w:rPr>
        <w:t>(35)</w:t>
      </w:r>
      <w:r w:rsidRPr="00CC484F">
        <w:rPr>
          <w:lang w:bidi="hi-IN"/>
        </w:rPr>
        <w:tab/>
      </w:r>
      <w:proofErr w:type="spellStart"/>
      <w:r w:rsidRPr="00CC484F">
        <w:rPr>
          <w:lang w:bidi="hi-IN"/>
        </w:rPr>
        <w:t>Kabsch</w:t>
      </w:r>
      <w:proofErr w:type="spellEnd"/>
      <w:r w:rsidRPr="00CC484F">
        <w:rPr>
          <w:lang w:bidi="hi-IN"/>
        </w:rPr>
        <w:t xml:space="preserve">, W. A Solution for the Best Rotation to Relate Two Sets of Vectors. </w:t>
      </w:r>
      <w:r w:rsidRPr="00CC484F">
        <w:rPr>
          <w:i/>
          <w:iCs/>
          <w:lang w:bidi="hi-IN"/>
        </w:rPr>
        <w:t xml:space="preserve">Acta </w:t>
      </w:r>
      <w:proofErr w:type="spellStart"/>
      <w:r w:rsidRPr="00CC484F">
        <w:rPr>
          <w:i/>
          <w:iCs/>
          <w:lang w:bidi="hi-IN"/>
        </w:rPr>
        <w:t>Crystallographica</w:t>
      </w:r>
      <w:proofErr w:type="spellEnd"/>
      <w:r w:rsidRPr="00CC484F">
        <w:rPr>
          <w:i/>
          <w:iCs/>
          <w:lang w:bidi="hi-IN"/>
        </w:rPr>
        <w:t xml:space="preserve"> Section A</w:t>
      </w:r>
      <w:r w:rsidRPr="00CC484F">
        <w:rPr>
          <w:lang w:bidi="hi-IN"/>
        </w:rPr>
        <w:t xml:space="preserve"> </w:t>
      </w:r>
      <w:r w:rsidRPr="00CC484F">
        <w:rPr>
          <w:b/>
          <w:bCs/>
          <w:lang w:bidi="hi-IN"/>
        </w:rPr>
        <w:t>1976</w:t>
      </w:r>
      <w:r w:rsidRPr="00CC484F">
        <w:rPr>
          <w:lang w:bidi="hi-IN"/>
        </w:rPr>
        <w:t xml:space="preserve">, </w:t>
      </w:r>
      <w:r w:rsidRPr="00CC484F">
        <w:rPr>
          <w:i/>
          <w:iCs/>
          <w:lang w:bidi="hi-IN"/>
        </w:rPr>
        <w:t>32</w:t>
      </w:r>
      <w:r w:rsidRPr="00CC484F">
        <w:rPr>
          <w:lang w:bidi="hi-IN"/>
        </w:rPr>
        <w:t xml:space="preserve"> (5), 922–923. https://doi.org/10.1107/S0567739476001873</w:t>
      </w:r>
    </w:p>
    <w:p w14:paraId="47DAEF14" w14:textId="77777777" w:rsidR="00CC484F" w:rsidRPr="00CC484F" w:rsidRDefault="00CC484F" w:rsidP="00CC484F">
      <w:pPr>
        <w:pStyle w:val="Bibliography"/>
        <w:rPr>
          <w:lang w:bidi="hi-IN"/>
        </w:rPr>
      </w:pPr>
      <w:r w:rsidRPr="00CC484F">
        <w:rPr>
          <w:lang w:bidi="hi-IN"/>
        </w:rPr>
        <w:t>(36)</w:t>
      </w:r>
      <w:r w:rsidRPr="00CC484F">
        <w:rPr>
          <w:lang w:bidi="hi-IN"/>
        </w:rPr>
        <w:tab/>
        <w:t xml:space="preserve">Eastman, P.; Swails, J.; </w:t>
      </w:r>
      <w:proofErr w:type="spellStart"/>
      <w:r w:rsidRPr="00CC484F">
        <w:rPr>
          <w:lang w:bidi="hi-IN"/>
        </w:rPr>
        <w:t>Chodera</w:t>
      </w:r>
      <w:proofErr w:type="spellEnd"/>
      <w:r w:rsidRPr="00CC484F">
        <w:rPr>
          <w:lang w:bidi="hi-IN"/>
        </w:rPr>
        <w:t xml:space="preserve">, J. D.; McGibbon, R. T.; Zhao, Y.; Beauchamp, K. A.; Wang, L.-P.; Simmonett, A. C.; Harrigan, M. P.; Stern, C. D.; Wiewiora, R. P.; Brooks, B. </w:t>
      </w:r>
      <w:r w:rsidRPr="00CC484F">
        <w:rPr>
          <w:lang w:bidi="hi-IN"/>
        </w:rPr>
        <w:lastRenderedPageBreak/>
        <w:t xml:space="preserve">R.; Pande, V. S. </w:t>
      </w:r>
      <w:proofErr w:type="spellStart"/>
      <w:r w:rsidRPr="00CC484F">
        <w:rPr>
          <w:lang w:bidi="hi-IN"/>
        </w:rPr>
        <w:t>OpenMM</w:t>
      </w:r>
      <w:proofErr w:type="spellEnd"/>
      <w:r w:rsidRPr="00CC484F">
        <w:rPr>
          <w:lang w:bidi="hi-IN"/>
        </w:rPr>
        <w:t xml:space="preserve"> 7: Rapid Development of High Performance Algorithms for Molecular Dynamics. </w:t>
      </w:r>
      <w:r w:rsidRPr="00CC484F">
        <w:rPr>
          <w:i/>
          <w:iCs/>
          <w:lang w:bidi="hi-IN"/>
        </w:rPr>
        <w:t>PLOS Computational Biology</w:t>
      </w:r>
      <w:r w:rsidRPr="00CC484F">
        <w:rPr>
          <w:lang w:bidi="hi-IN"/>
        </w:rPr>
        <w:t xml:space="preserve"> </w:t>
      </w:r>
      <w:r w:rsidRPr="00CC484F">
        <w:rPr>
          <w:b/>
          <w:bCs/>
          <w:lang w:bidi="hi-IN"/>
        </w:rPr>
        <w:t>2017</w:t>
      </w:r>
      <w:r w:rsidRPr="00CC484F">
        <w:rPr>
          <w:lang w:bidi="hi-IN"/>
        </w:rPr>
        <w:t xml:space="preserve">, </w:t>
      </w:r>
      <w:r w:rsidRPr="00CC484F">
        <w:rPr>
          <w:i/>
          <w:iCs/>
          <w:lang w:bidi="hi-IN"/>
        </w:rPr>
        <w:t>13</w:t>
      </w:r>
      <w:r w:rsidRPr="00CC484F">
        <w:rPr>
          <w:lang w:bidi="hi-IN"/>
        </w:rPr>
        <w:t xml:space="preserve"> (7), e1005659. https://doi.org/10.1371/journal.pcbi.1005659</w:t>
      </w:r>
    </w:p>
    <w:p w14:paraId="3512BC37" w14:textId="77777777" w:rsidR="00CC484F" w:rsidRPr="00CC484F" w:rsidRDefault="00CC484F" w:rsidP="00CC484F">
      <w:pPr>
        <w:pStyle w:val="Bibliography"/>
        <w:rPr>
          <w:lang w:bidi="hi-IN"/>
        </w:rPr>
      </w:pPr>
      <w:r w:rsidRPr="00CC484F">
        <w:rPr>
          <w:lang w:bidi="hi-IN"/>
        </w:rPr>
        <w:t>(37)</w:t>
      </w:r>
      <w:r w:rsidRPr="00CC484F">
        <w:rPr>
          <w:lang w:bidi="hi-IN"/>
        </w:rPr>
        <w:tab/>
        <w:t xml:space="preserve">Maier, J. A.; Martinez, C.; </w:t>
      </w:r>
      <w:proofErr w:type="spellStart"/>
      <w:r w:rsidRPr="00CC484F">
        <w:rPr>
          <w:lang w:bidi="hi-IN"/>
        </w:rPr>
        <w:t>Kasavajhala</w:t>
      </w:r>
      <w:proofErr w:type="spellEnd"/>
      <w:r w:rsidRPr="00CC484F">
        <w:rPr>
          <w:lang w:bidi="hi-IN"/>
        </w:rPr>
        <w:t xml:space="preserve">, K.; Wickstrom, L.; Hauser, K. E.; Simmerling, C. ff14SB: Improving the Accuracy of Protein Side Chain and Backbone Parameters from ff99SB. </w:t>
      </w:r>
      <w:r w:rsidRPr="00CC484F">
        <w:rPr>
          <w:i/>
          <w:iCs/>
          <w:lang w:bidi="hi-IN"/>
        </w:rPr>
        <w:t xml:space="preserve">J. Chem. Theory </w:t>
      </w:r>
      <w:proofErr w:type="spellStart"/>
      <w:r w:rsidRPr="00CC484F">
        <w:rPr>
          <w:i/>
          <w:iCs/>
          <w:lang w:bidi="hi-IN"/>
        </w:rPr>
        <w:t>Comput</w:t>
      </w:r>
      <w:proofErr w:type="spellEnd"/>
      <w:r w:rsidRPr="00CC484F">
        <w:rPr>
          <w:i/>
          <w:iCs/>
          <w:lang w:bidi="hi-IN"/>
        </w:rPr>
        <w:t>.</w:t>
      </w:r>
      <w:r w:rsidRPr="00CC484F">
        <w:rPr>
          <w:lang w:bidi="hi-IN"/>
        </w:rPr>
        <w:t xml:space="preserve"> </w:t>
      </w:r>
      <w:r w:rsidRPr="00CC484F">
        <w:rPr>
          <w:b/>
          <w:bCs/>
          <w:lang w:bidi="hi-IN"/>
        </w:rPr>
        <w:t>2015</w:t>
      </w:r>
      <w:r w:rsidRPr="00CC484F">
        <w:rPr>
          <w:lang w:bidi="hi-IN"/>
        </w:rPr>
        <w:t xml:space="preserve">, </w:t>
      </w:r>
      <w:r w:rsidRPr="00CC484F">
        <w:rPr>
          <w:i/>
          <w:iCs/>
          <w:lang w:bidi="hi-IN"/>
        </w:rPr>
        <w:t>11</w:t>
      </w:r>
      <w:r w:rsidRPr="00CC484F">
        <w:rPr>
          <w:lang w:bidi="hi-IN"/>
        </w:rPr>
        <w:t xml:space="preserve"> (8), 3696–3713. https://doi.org/10.1021/acs.jctc.5b00255</w:t>
      </w:r>
    </w:p>
    <w:p w14:paraId="2ACB5DAD" w14:textId="77777777" w:rsidR="00CC484F" w:rsidRPr="00CC484F" w:rsidRDefault="00CC484F" w:rsidP="00CC484F">
      <w:pPr>
        <w:pStyle w:val="Bibliography"/>
        <w:rPr>
          <w:lang w:bidi="hi-IN"/>
        </w:rPr>
      </w:pPr>
      <w:r w:rsidRPr="00CC484F">
        <w:rPr>
          <w:lang w:bidi="hi-IN"/>
        </w:rPr>
        <w:t>(38)</w:t>
      </w:r>
      <w:r w:rsidRPr="00CC484F">
        <w:rPr>
          <w:lang w:bidi="hi-IN"/>
        </w:rPr>
        <w:tab/>
        <w:t xml:space="preserve">Jorgensen, W. L.; Chandrasekhar, J.; Madura, J. D.; Impey, R. W.; Klein, M. L. Comparison of Simple Potential Functions for Simulating Liquid Water. </w:t>
      </w:r>
      <w:r w:rsidRPr="00CC484F">
        <w:rPr>
          <w:i/>
          <w:iCs/>
          <w:lang w:bidi="hi-IN"/>
        </w:rPr>
        <w:t>J. Chem. Phys.</w:t>
      </w:r>
      <w:r w:rsidRPr="00CC484F">
        <w:rPr>
          <w:lang w:bidi="hi-IN"/>
        </w:rPr>
        <w:t xml:space="preserve"> </w:t>
      </w:r>
      <w:r w:rsidRPr="00CC484F">
        <w:rPr>
          <w:b/>
          <w:bCs/>
          <w:lang w:bidi="hi-IN"/>
        </w:rPr>
        <w:t>1983</w:t>
      </w:r>
      <w:r w:rsidRPr="00CC484F">
        <w:rPr>
          <w:lang w:bidi="hi-IN"/>
        </w:rPr>
        <w:t xml:space="preserve">, </w:t>
      </w:r>
      <w:r w:rsidRPr="00CC484F">
        <w:rPr>
          <w:i/>
          <w:iCs/>
          <w:lang w:bidi="hi-IN"/>
        </w:rPr>
        <w:t>79</w:t>
      </w:r>
      <w:r w:rsidRPr="00CC484F">
        <w:rPr>
          <w:lang w:bidi="hi-IN"/>
        </w:rPr>
        <w:t xml:space="preserve"> (2), 926–935. https://doi.org/10.1063/1.445869</w:t>
      </w:r>
    </w:p>
    <w:p w14:paraId="56D58B91" w14:textId="77777777" w:rsidR="00CC484F" w:rsidRPr="00CC484F" w:rsidRDefault="00CC484F" w:rsidP="00CC484F">
      <w:pPr>
        <w:pStyle w:val="Bibliography"/>
        <w:rPr>
          <w:lang w:bidi="hi-IN"/>
        </w:rPr>
      </w:pPr>
      <w:r w:rsidRPr="00CC484F">
        <w:rPr>
          <w:lang w:bidi="hi-IN"/>
        </w:rPr>
        <w:t>(39)</w:t>
      </w:r>
      <w:r w:rsidRPr="00CC484F">
        <w:rPr>
          <w:lang w:bidi="hi-IN"/>
        </w:rPr>
        <w:tab/>
        <w:t xml:space="preserve">Mobley, D. L.; Bannan, C. C.; Rizzi, A.; Bayly, C. I.; </w:t>
      </w:r>
      <w:proofErr w:type="spellStart"/>
      <w:r w:rsidRPr="00CC484F">
        <w:rPr>
          <w:lang w:bidi="hi-IN"/>
        </w:rPr>
        <w:t>Chodera</w:t>
      </w:r>
      <w:proofErr w:type="spellEnd"/>
      <w:r w:rsidRPr="00CC484F">
        <w:rPr>
          <w:lang w:bidi="hi-IN"/>
        </w:rPr>
        <w:t xml:space="preserve">, J. D.; Lim, V. T.; Lim, N. M.; Beauchamp, K. A.; </w:t>
      </w:r>
      <w:proofErr w:type="spellStart"/>
      <w:r w:rsidRPr="00CC484F">
        <w:rPr>
          <w:lang w:bidi="hi-IN"/>
        </w:rPr>
        <w:t>Slochower</w:t>
      </w:r>
      <w:proofErr w:type="spellEnd"/>
      <w:r w:rsidRPr="00CC484F">
        <w:rPr>
          <w:lang w:bidi="hi-IN"/>
        </w:rPr>
        <w:t xml:space="preserve">, D. R.; Shirts, M. R.; Gilson, M. K.; Eastman, P. K. Escaping Atom Types in Force Fields Using Direct Chemical Perception. </w:t>
      </w:r>
      <w:r w:rsidRPr="00CC484F">
        <w:rPr>
          <w:i/>
          <w:iCs/>
          <w:lang w:bidi="hi-IN"/>
        </w:rPr>
        <w:t xml:space="preserve">J. Chem. Theory </w:t>
      </w:r>
      <w:proofErr w:type="spellStart"/>
      <w:r w:rsidRPr="00CC484F">
        <w:rPr>
          <w:i/>
          <w:iCs/>
          <w:lang w:bidi="hi-IN"/>
        </w:rPr>
        <w:t>Comput</w:t>
      </w:r>
      <w:proofErr w:type="spellEnd"/>
      <w:r w:rsidRPr="00CC484F">
        <w:rPr>
          <w:i/>
          <w:iCs/>
          <w:lang w:bidi="hi-IN"/>
        </w:rPr>
        <w:t>.</w:t>
      </w:r>
      <w:r w:rsidRPr="00CC484F">
        <w:rPr>
          <w:lang w:bidi="hi-IN"/>
        </w:rPr>
        <w:t xml:space="preserve"> </w:t>
      </w:r>
      <w:r w:rsidRPr="00CC484F">
        <w:rPr>
          <w:b/>
          <w:bCs/>
          <w:lang w:bidi="hi-IN"/>
        </w:rPr>
        <w:t>2018</w:t>
      </w:r>
      <w:r w:rsidRPr="00CC484F">
        <w:rPr>
          <w:lang w:bidi="hi-IN"/>
        </w:rPr>
        <w:t xml:space="preserve">, </w:t>
      </w:r>
      <w:r w:rsidRPr="00CC484F">
        <w:rPr>
          <w:i/>
          <w:iCs/>
          <w:lang w:bidi="hi-IN"/>
        </w:rPr>
        <w:t>14</w:t>
      </w:r>
      <w:r w:rsidRPr="00CC484F">
        <w:rPr>
          <w:lang w:bidi="hi-IN"/>
        </w:rPr>
        <w:t xml:space="preserve"> (11), 6076–6092. https://doi.org/10.1021/acs.jctc.8b00640</w:t>
      </w:r>
    </w:p>
    <w:p w14:paraId="59580BB9" w14:textId="77777777" w:rsidR="00CC484F" w:rsidRPr="00CC484F" w:rsidRDefault="00CC484F" w:rsidP="00CC484F">
      <w:pPr>
        <w:pStyle w:val="Bibliography"/>
        <w:rPr>
          <w:lang w:bidi="hi-IN"/>
        </w:rPr>
      </w:pPr>
      <w:r w:rsidRPr="00CC484F">
        <w:rPr>
          <w:lang w:bidi="hi-IN"/>
        </w:rPr>
        <w:t>(40)</w:t>
      </w:r>
      <w:r w:rsidRPr="00CC484F">
        <w:rPr>
          <w:lang w:bidi="hi-IN"/>
        </w:rPr>
        <w:tab/>
        <w:t xml:space="preserve">Gasteiger, J.; Marsili, M. Iterative Partial Equalization of Orbital Electronegativity—a Rapid Access to Atomic Charges. </w:t>
      </w:r>
      <w:r w:rsidRPr="00CC484F">
        <w:rPr>
          <w:i/>
          <w:iCs/>
          <w:lang w:bidi="hi-IN"/>
        </w:rPr>
        <w:t>Tetrahedron</w:t>
      </w:r>
      <w:r w:rsidRPr="00CC484F">
        <w:rPr>
          <w:lang w:bidi="hi-IN"/>
        </w:rPr>
        <w:t xml:space="preserve"> </w:t>
      </w:r>
      <w:r w:rsidRPr="00CC484F">
        <w:rPr>
          <w:b/>
          <w:bCs/>
          <w:lang w:bidi="hi-IN"/>
        </w:rPr>
        <w:t>1980</w:t>
      </w:r>
      <w:r w:rsidRPr="00CC484F">
        <w:rPr>
          <w:lang w:bidi="hi-IN"/>
        </w:rPr>
        <w:t xml:space="preserve">, </w:t>
      </w:r>
      <w:r w:rsidRPr="00CC484F">
        <w:rPr>
          <w:i/>
          <w:iCs/>
          <w:lang w:bidi="hi-IN"/>
        </w:rPr>
        <w:t>36</w:t>
      </w:r>
      <w:r w:rsidRPr="00CC484F">
        <w:rPr>
          <w:lang w:bidi="hi-IN"/>
        </w:rPr>
        <w:t xml:space="preserve"> (22), 3219–3228. https://doi.org/10.1016/0040-4020(80)80168-2</w:t>
      </w:r>
    </w:p>
    <w:p w14:paraId="21C68E14" w14:textId="77777777" w:rsidR="00CC484F" w:rsidRPr="00CC484F" w:rsidRDefault="00CC484F" w:rsidP="00CC484F">
      <w:pPr>
        <w:pStyle w:val="Bibliography"/>
        <w:rPr>
          <w:lang w:bidi="hi-IN"/>
        </w:rPr>
      </w:pPr>
      <w:r w:rsidRPr="00CC484F">
        <w:rPr>
          <w:lang w:bidi="hi-IN"/>
        </w:rPr>
        <w:t>(41)</w:t>
      </w:r>
      <w:r w:rsidRPr="00CC484F">
        <w:rPr>
          <w:lang w:bidi="hi-IN"/>
        </w:rPr>
        <w:tab/>
        <w:t xml:space="preserve">Darden, T.; York, D.; Pedersen, L. Particle Mesh Ewald: An </w:t>
      </w:r>
      <w:proofErr w:type="spellStart"/>
      <w:r w:rsidRPr="00CC484F">
        <w:rPr>
          <w:lang w:bidi="hi-IN"/>
        </w:rPr>
        <w:t>N</w:t>
      </w:r>
      <w:r w:rsidRPr="00CC484F">
        <w:rPr>
          <w:rFonts w:ascii="Cambria Math" w:hAnsi="Cambria Math" w:cs="Cambria Math"/>
          <w:lang w:bidi="hi-IN"/>
        </w:rPr>
        <w:t>⋅</w:t>
      </w:r>
      <w:r w:rsidRPr="00CC484F">
        <w:rPr>
          <w:lang w:bidi="hi-IN"/>
        </w:rPr>
        <w:t>log</w:t>
      </w:r>
      <w:proofErr w:type="spellEnd"/>
      <w:r w:rsidRPr="00CC484F">
        <w:rPr>
          <w:lang w:bidi="hi-IN"/>
        </w:rPr>
        <w:t xml:space="preserve">(N) Method for Ewald Sums in Large Systems. </w:t>
      </w:r>
      <w:r w:rsidRPr="00CC484F">
        <w:rPr>
          <w:i/>
          <w:iCs/>
          <w:lang w:bidi="hi-IN"/>
        </w:rPr>
        <w:t>J. Chem. Phys.</w:t>
      </w:r>
      <w:r w:rsidRPr="00CC484F">
        <w:rPr>
          <w:lang w:bidi="hi-IN"/>
        </w:rPr>
        <w:t xml:space="preserve"> </w:t>
      </w:r>
      <w:r w:rsidRPr="00CC484F">
        <w:rPr>
          <w:b/>
          <w:bCs/>
          <w:lang w:bidi="hi-IN"/>
        </w:rPr>
        <w:t>1993</w:t>
      </w:r>
      <w:r w:rsidRPr="00CC484F">
        <w:rPr>
          <w:lang w:bidi="hi-IN"/>
        </w:rPr>
        <w:t xml:space="preserve">, </w:t>
      </w:r>
      <w:r w:rsidRPr="00CC484F">
        <w:rPr>
          <w:i/>
          <w:iCs/>
          <w:lang w:bidi="hi-IN"/>
        </w:rPr>
        <w:t>98</w:t>
      </w:r>
      <w:r w:rsidRPr="00CC484F">
        <w:rPr>
          <w:lang w:bidi="hi-IN"/>
        </w:rPr>
        <w:t xml:space="preserve"> (12), 10089–10092. https://doi.org/10.1063/1.464397</w:t>
      </w:r>
    </w:p>
    <w:p w14:paraId="59454EE2" w14:textId="77777777" w:rsidR="00CC484F" w:rsidRPr="00CC484F" w:rsidRDefault="00CC484F" w:rsidP="00CC484F">
      <w:pPr>
        <w:pStyle w:val="Bibliography"/>
        <w:rPr>
          <w:lang w:bidi="hi-IN"/>
        </w:rPr>
      </w:pPr>
      <w:r w:rsidRPr="00CC484F">
        <w:rPr>
          <w:lang w:bidi="hi-IN"/>
        </w:rPr>
        <w:t>(42)</w:t>
      </w:r>
      <w:r w:rsidRPr="00CC484F">
        <w:rPr>
          <w:lang w:bidi="hi-IN"/>
        </w:rPr>
        <w:tab/>
        <w:t xml:space="preserve">Michaud-Agrawal, N.; Denning, E. J.; Woolf, T. B.; Beckstein, O. </w:t>
      </w:r>
      <w:proofErr w:type="spellStart"/>
      <w:r w:rsidRPr="00CC484F">
        <w:rPr>
          <w:lang w:bidi="hi-IN"/>
        </w:rPr>
        <w:t>MDAnalysis</w:t>
      </w:r>
      <w:proofErr w:type="spellEnd"/>
      <w:r w:rsidRPr="00CC484F">
        <w:rPr>
          <w:lang w:bidi="hi-IN"/>
        </w:rPr>
        <w:t xml:space="preserve">: A Toolkit for the Analysis of Molecular Dynamics Simulations. </w:t>
      </w:r>
      <w:r w:rsidRPr="00CC484F">
        <w:rPr>
          <w:i/>
          <w:iCs/>
          <w:lang w:bidi="hi-IN"/>
        </w:rPr>
        <w:t>Journal of Computational Chemistry</w:t>
      </w:r>
      <w:r w:rsidRPr="00CC484F">
        <w:rPr>
          <w:lang w:bidi="hi-IN"/>
        </w:rPr>
        <w:t xml:space="preserve"> </w:t>
      </w:r>
      <w:r w:rsidRPr="00CC484F">
        <w:rPr>
          <w:b/>
          <w:bCs/>
          <w:lang w:bidi="hi-IN"/>
        </w:rPr>
        <w:t>2011</w:t>
      </w:r>
      <w:r w:rsidRPr="00CC484F">
        <w:rPr>
          <w:lang w:bidi="hi-IN"/>
        </w:rPr>
        <w:t xml:space="preserve">, </w:t>
      </w:r>
      <w:r w:rsidRPr="00CC484F">
        <w:rPr>
          <w:i/>
          <w:iCs/>
          <w:lang w:bidi="hi-IN"/>
        </w:rPr>
        <w:t>32</w:t>
      </w:r>
      <w:r w:rsidRPr="00CC484F">
        <w:rPr>
          <w:lang w:bidi="hi-IN"/>
        </w:rPr>
        <w:t xml:space="preserve"> (10), 2319–2327. https://doi.org/10.1002/jcc.21787</w:t>
      </w:r>
    </w:p>
    <w:p w14:paraId="52F02817" w14:textId="77777777" w:rsidR="00CC484F" w:rsidRPr="00CC484F" w:rsidRDefault="00CC484F" w:rsidP="00CC484F">
      <w:pPr>
        <w:pStyle w:val="Bibliography"/>
        <w:rPr>
          <w:lang w:bidi="hi-IN"/>
        </w:rPr>
      </w:pPr>
      <w:r w:rsidRPr="00CC484F">
        <w:rPr>
          <w:lang w:bidi="hi-IN"/>
        </w:rPr>
        <w:t>(43)</w:t>
      </w:r>
      <w:r w:rsidRPr="00CC484F">
        <w:rPr>
          <w:lang w:bidi="hi-IN"/>
        </w:rPr>
        <w:tab/>
        <w:t xml:space="preserve">McGibbon, R. T.; Beauchamp, K. A.; Harrigan, M. P.; Klein, C.; Swails, J. M.; Hernández, C. X.; Schwantes, C. R.; Wang, L.-P.; Lane, T. J.; Pande, V. S. </w:t>
      </w:r>
      <w:proofErr w:type="spellStart"/>
      <w:r w:rsidRPr="00CC484F">
        <w:rPr>
          <w:lang w:bidi="hi-IN"/>
        </w:rPr>
        <w:t>MDTraj</w:t>
      </w:r>
      <w:proofErr w:type="spellEnd"/>
      <w:r w:rsidRPr="00CC484F">
        <w:rPr>
          <w:lang w:bidi="hi-IN"/>
        </w:rPr>
        <w:t xml:space="preserve">: A Modern Open Library for the Analysis of Molecular Dynamics Trajectories. </w:t>
      </w:r>
      <w:r w:rsidRPr="00CC484F">
        <w:rPr>
          <w:i/>
          <w:iCs/>
          <w:lang w:bidi="hi-IN"/>
        </w:rPr>
        <w:t>Biophysical Journal</w:t>
      </w:r>
      <w:r w:rsidRPr="00CC484F">
        <w:rPr>
          <w:lang w:bidi="hi-IN"/>
        </w:rPr>
        <w:t xml:space="preserve"> </w:t>
      </w:r>
      <w:r w:rsidRPr="00CC484F">
        <w:rPr>
          <w:b/>
          <w:bCs/>
          <w:lang w:bidi="hi-IN"/>
        </w:rPr>
        <w:t>2015</w:t>
      </w:r>
      <w:r w:rsidRPr="00CC484F">
        <w:rPr>
          <w:lang w:bidi="hi-IN"/>
        </w:rPr>
        <w:t xml:space="preserve">, </w:t>
      </w:r>
      <w:r w:rsidRPr="00CC484F">
        <w:rPr>
          <w:i/>
          <w:iCs/>
          <w:lang w:bidi="hi-IN"/>
        </w:rPr>
        <w:t>109</w:t>
      </w:r>
      <w:r w:rsidRPr="00CC484F">
        <w:rPr>
          <w:lang w:bidi="hi-IN"/>
        </w:rPr>
        <w:t xml:space="preserve"> (8), 1528–1532. https://doi.org/10.1016/j.bpj.2015.08.015</w:t>
      </w:r>
    </w:p>
    <w:p w14:paraId="623EDB16" w14:textId="77777777" w:rsidR="00CC484F" w:rsidRPr="00CC484F" w:rsidRDefault="00CC484F" w:rsidP="00CC484F">
      <w:pPr>
        <w:pStyle w:val="Bibliography"/>
        <w:rPr>
          <w:lang w:bidi="hi-IN"/>
        </w:rPr>
      </w:pPr>
      <w:r w:rsidRPr="00CC484F">
        <w:rPr>
          <w:lang w:bidi="hi-IN"/>
        </w:rPr>
        <w:t>(44)</w:t>
      </w:r>
      <w:r w:rsidRPr="00CC484F">
        <w:rPr>
          <w:lang w:bidi="hi-IN"/>
        </w:rPr>
        <w:tab/>
      </w:r>
      <w:proofErr w:type="spellStart"/>
      <w:r w:rsidRPr="00CC484F">
        <w:rPr>
          <w:lang w:bidi="hi-IN"/>
        </w:rPr>
        <w:t>Massova</w:t>
      </w:r>
      <w:proofErr w:type="spellEnd"/>
      <w:r w:rsidRPr="00CC484F">
        <w:rPr>
          <w:lang w:bidi="hi-IN"/>
        </w:rPr>
        <w:t xml:space="preserve">, I.; Kollman, P. A. Combined Molecular Mechanical and Continuum Solvent Approach (MM-PBSA/GBSA) to Predict Ligand Binding. </w:t>
      </w:r>
      <w:r w:rsidRPr="00CC484F">
        <w:rPr>
          <w:i/>
          <w:iCs/>
          <w:lang w:bidi="hi-IN"/>
        </w:rPr>
        <w:t>Perspectives in Drug Discovery and Design</w:t>
      </w:r>
      <w:r w:rsidRPr="00CC484F">
        <w:rPr>
          <w:lang w:bidi="hi-IN"/>
        </w:rPr>
        <w:t xml:space="preserve"> </w:t>
      </w:r>
      <w:r w:rsidRPr="00CC484F">
        <w:rPr>
          <w:b/>
          <w:bCs/>
          <w:lang w:bidi="hi-IN"/>
        </w:rPr>
        <w:t>2000</w:t>
      </w:r>
      <w:r w:rsidRPr="00CC484F">
        <w:rPr>
          <w:lang w:bidi="hi-IN"/>
        </w:rPr>
        <w:t xml:space="preserve">, </w:t>
      </w:r>
      <w:r w:rsidRPr="00CC484F">
        <w:rPr>
          <w:i/>
          <w:iCs/>
          <w:lang w:bidi="hi-IN"/>
        </w:rPr>
        <w:t>18</w:t>
      </w:r>
      <w:r w:rsidRPr="00CC484F">
        <w:rPr>
          <w:lang w:bidi="hi-IN"/>
        </w:rPr>
        <w:t xml:space="preserve"> (1), 113–135. https://doi.org/10.1023/A:1008763014207</w:t>
      </w:r>
    </w:p>
    <w:p w14:paraId="2067C7F1" w14:textId="77777777" w:rsidR="00CC484F" w:rsidRPr="00CC484F" w:rsidRDefault="00CC484F" w:rsidP="00CC484F">
      <w:pPr>
        <w:pStyle w:val="Bibliography"/>
        <w:rPr>
          <w:lang w:bidi="hi-IN"/>
        </w:rPr>
      </w:pPr>
      <w:r w:rsidRPr="00CC484F">
        <w:rPr>
          <w:lang w:bidi="hi-IN"/>
        </w:rPr>
        <w:t>(45)</w:t>
      </w:r>
      <w:r w:rsidRPr="00CC484F">
        <w:rPr>
          <w:lang w:bidi="hi-IN"/>
        </w:rPr>
        <w:tab/>
      </w:r>
      <w:proofErr w:type="spellStart"/>
      <w:r w:rsidRPr="00CC484F">
        <w:rPr>
          <w:lang w:bidi="hi-IN"/>
        </w:rPr>
        <w:t>Onufriev</w:t>
      </w:r>
      <w:proofErr w:type="spellEnd"/>
      <w:r w:rsidRPr="00CC484F">
        <w:rPr>
          <w:lang w:bidi="hi-IN"/>
        </w:rPr>
        <w:t xml:space="preserve">, A.; Bashford, D.; Case, D. A. Exploring Protein Native States and Large-Scale Conformational Changes with a Modified Generalized Born Model. </w:t>
      </w:r>
      <w:r w:rsidRPr="00CC484F">
        <w:rPr>
          <w:i/>
          <w:iCs/>
          <w:lang w:bidi="hi-IN"/>
        </w:rPr>
        <w:t>Proteins: Structure, Function, and Bioinformatics</w:t>
      </w:r>
      <w:r w:rsidRPr="00CC484F">
        <w:rPr>
          <w:lang w:bidi="hi-IN"/>
        </w:rPr>
        <w:t xml:space="preserve"> </w:t>
      </w:r>
      <w:r w:rsidRPr="00CC484F">
        <w:rPr>
          <w:b/>
          <w:bCs/>
          <w:lang w:bidi="hi-IN"/>
        </w:rPr>
        <w:t>2004</w:t>
      </w:r>
      <w:r w:rsidRPr="00CC484F">
        <w:rPr>
          <w:lang w:bidi="hi-IN"/>
        </w:rPr>
        <w:t xml:space="preserve">, </w:t>
      </w:r>
      <w:r w:rsidRPr="00CC484F">
        <w:rPr>
          <w:i/>
          <w:iCs/>
          <w:lang w:bidi="hi-IN"/>
        </w:rPr>
        <w:t>55</w:t>
      </w:r>
      <w:r w:rsidRPr="00CC484F">
        <w:rPr>
          <w:lang w:bidi="hi-IN"/>
        </w:rPr>
        <w:t xml:space="preserve"> (2), 383–394. https://doi.org/10.1002/prot.20033</w:t>
      </w:r>
    </w:p>
    <w:p w14:paraId="486E2013" w14:textId="77777777" w:rsidR="00CC484F" w:rsidRPr="00CC484F" w:rsidRDefault="00CC484F" w:rsidP="00CC484F">
      <w:pPr>
        <w:pStyle w:val="Bibliography"/>
        <w:rPr>
          <w:lang w:bidi="hi-IN"/>
        </w:rPr>
      </w:pPr>
      <w:r w:rsidRPr="00CC484F">
        <w:rPr>
          <w:lang w:bidi="hi-IN"/>
        </w:rPr>
        <w:t>(46)</w:t>
      </w:r>
      <w:r w:rsidRPr="00CC484F">
        <w:rPr>
          <w:lang w:bidi="hi-IN"/>
        </w:rPr>
        <w:tab/>
        <w:t xml:space="preserve">Kuhn, B.; Gerber, P.; Schulz-Gasch, T.; Stahl, M. Validation and Use of the MM-PBSA Approach for Drug Discovery. </w:t>
      </w:r>
      <w:r w:rsidRPr="00CC484F">
        <w:rPr>
          <w:i/>
          <w:iCs/>
          <w:lang w:bidi="hi-IN"/>
        </w:rPr>
        <w:t>J. Med. Chem.</w:t>
      </w:r>
      <w:r w:rsidRPr="00CC484F">
        <w:rPr>
          <w:lang w:bidi="hi-IN"/>
        </w:rPr>
        <w:t xml:space="preserve"> </w:t>
      </w:r>
      <w:r w:rsidRPr="00CC484F">
        <w:rPr>
          <w:b/>
          <w:bCs/>
          <w:lang w:bidi="hi-IN"/>
        </w:rPr>
        <w:t>2005</w:t>
      </w:r>
      <w:r w:rsidRPr="00CC484F">
        <w:rPr>
          <w:lang w:bidi="hi-IN"/>
        </w:rPr>
        <w:t xml:space="preserve">, </w:t>
      </w:r>
      <w:r w:rsidRPr="00CC484F">
        <w:rPr>
          <w:i/>
          <w:iCs/>
          <w:lang w:bidi="hi-IN"/>
        </w:rPr>
        <w:t>48</w:t>
      </w:r>
      <w:r w:rsidRPr="00CC484F">
        <w:rPr>
          <w:lang w:bidi="hi-IN"/>
        </w:rPr>
        <w:t xml:space="preserve"> (12), 4040–4048. https://doi.org/10.1021/jm049081q</w:t>
      </w:r>
    </w:p>
    <w:p w14:paraId="43D1433B" w14:textId="77777777" w:rsidR="00CC484F" w:rsidRPr="00CC484F" w:rsidRDefault="00CC484F" w:rsidP="00CC484F">
      <w:pPr>
        <w:pStyle w:val="Bibliography"/>
        <w:rPr>
          <w:lang w:bidi="hi-IN"/>
        </w:rPr>
      </w:pPr>
      <w:r w:rsidRPr="00CC484F">
        <w:rPr>
          <w:lang w:bidi="hi-IN"/>
        </w:rPr>
        <w:lastRenderedPageBreak/>
        <w:t>(47)</w:t>
      </w:r>
      <w:r w:rsidRPr="00CC484F">
        <w:rPr>
          <w:lang w:bidi="hi-IN"/>
        </w:rPr>
        <w:tab/>
        <w:t xml:space="preserve">Rastelli, G.; Rio, A. D.; </w:t>
      </w:r>
      <w:proofErr w:type="spellStart"/>
      <w:r w:rsidRPr="00CC484F">
        <w:rPr>
          <w:lang w:bidi="hi-IN"/>
        </w:rPr>
        <w:t>Degliesposti</w:t>
      </w:r>
      <w:proofErr w:type="spellEnd"/>
      <w:r w:rsidRPr="00CC484F">
        <w:rPr>
          <w:lang w:bidi="hi-IN"/>
        </w:rPr>
        <w:t xml:space="preserve">, G.; </w:t>
      </w:r>
      <w:proofErr w:type="spellStart"/>
      <w:r w:rsidRPr="00CC484F">
        <w:rPr>
          <w:lang w:bidi="hi-IN"/>
        </w:rPr>
        <w:t>Sgobba</w:t>
      </w:r>
      <w:proofErr w:type="spellEnd"/>
      <w:r w:rsidRPr="00CC484F">
        <w:rPr>
          <w:lang w:bidi="hi-IN"/>
        </w:rPr>
        <w:t xml:space="preserve">, M. Fast and Accurate Predictions of Binding Free Energies Using MM-PBSA and MM-GBSA. </w:t>
      </w:r>
      <w:r w:rsidRPr="00CC484F">
        <w:rPr>
          <w:i/>
          <w:iCs/>
          <w:lang w:bidi="hi-IN"/>
        </w:rPr>
        <w:t>Journal of Computational Chemistry</w:t>
      </w:r>
      <w:r w:rsidRPr="00CC484F">
        <w:rPr>
          <w:lang w:bidi="hi-IN"/>
        </w:rPr>
        <w:t xml:space="preserve"> </w:t>
      </w:r>
      <w:r w:rsidRPr="00CC484F">
        <w:rPr>
          <w:b/>
          <w:bCs/>
          <w:lang w:bidi="hi-IN"/>
        </w:rPr>
        <w:t>2010</w:t>
      </w:r>
      <w:r w:rsidRPr="00CC484F">
        <w:rPr>
          <w:lang w:bidi="hi-IN"/>
        </w:rPr>
        <w:t xml:space="preserve">, </w:t>
      </w:r>
      <w:r w:rsidRPr="00CC484F">
        <w:rPr>
          <w:i/>
          <w:iCs/>
          <w:lang w:bidi="hi-IN"/>
        </w:rPr>
        <w:t>31</w:t>
      </w:r>
      <w:r w:rsidRPr="00CC484F">
        <w:rPr>
          <w:lang w:bidi="hi-IN"/>
        </w:rPr>
        <w:t xml:space="preserve"> (4), 797–810. https://doi.org/10.1002/jcc.21372</w:t>
      </w:r>
    </w:p>
    <w:p w14:paraId="4E0D0F77" w14:textId="77777777" w:rsidR="00CC484F" w:rsidRPr="00CC484F" w:rsidRDefault="00CC484F" w:rsidP="00CC484F">
      <w:pPr>
        <w:pStyle w:val="Bibliography"/>
        <w:rPr>
          <w:lang w:bidi="hi-IN"/>
        </w:rPr>
      </w:pPr>
      <w:r w:rsidRPr="00CC484F">
        <w:rPr>
          <w:lang w:bidi="hi-IN"/>
        </w:rPr>
        <w:t>(48)</w:t>
      </w:r>
      <w:r w:rsidRPr="00CC484F">
        <w:rPr>
          <w:lang w:bidi="hi-IN"/>
        </w:rPr>
        <w:tab/>
        <w:t xml:space="preserve">Weis, A.; </w:t>
      </w:r>
      <w:proofErr w:type="spellStart"/>
      <w:r w:rsidRPr="00CC484F">
        <w:rPr>
          <w:lang w:bidi="hi-IN"/>
        </w:rPr>
        <w:t>Katebzadeh</w:t>
      </w:r>
      <w:proofErr w:type="spellEnd"/>
      <w:r w:rsidRPr="00CC484F">
        <w:rPr>
          <w:lang w:bidi="hi-IN"/>
        </w:rPr>
        <w:t xml:space="preserve">, K.; </w:t>
      </w:r>
      <w:proofErr w:type="spellStart"/>
      <w:r w:rsidRPr="00CC484F">
        <w:rPr>
          <w:lang w:bidi="hi-IN"/>
        </w:rPr>
        <w:t>Söderhjelm</w:t>
      </w:r>
      <w:proofErr w:type="spellEnd"/>
      <w:r w:rsidRPr="00CC484F">
        <w:rPr>
          <w:lang w:bidi="hi-IN"/>
        </w:rPr>
        <w:t xml:space="preserve">, P.; Nilsson, I.; Ryde, U. Ligand Affinities Predicted with the MM/PBSA Method:  Dependence on the Simulation Method and the Force Field. </w:t>
      </w:r>
      <w:r w:rsidRPr="00CC484F">
        <w:rPr>
          <w:i/>
          <w:iCs/>
          <w:lang w:bidi="hi-IN"/>
        </w:rPr>
        <w:t>J. Med. Chem.</w:t>
      </w:r>
      <w:r w:rsidRPr="00CC484F">
        <w:rPr>
          <w:lang w:bidi="hi-IN"/>
        </w:rPr>
        <w:t xml:space="preserve"> </w:t>
      </w:r>
      <w:r w:rsidRPr="00CC484F">
        <w:rPr>
          <w:b/>
          <w:bCs/>
          <w:lang w:bidi="hi-IN"/>
        </w:rPr>
        <w:t>2006</w:t>
      </w:r>
      <w:r w:rsidRPr="00CC484F">
        <w:rPr>
          <w:lang w:bidi="hi-IN"/>
        </w:rPr>
        <w:t xml:space="preserve">, </w:t>
      </w:r>
      <w:r w:rsidRPr="00CC484F">
        <w:rPr>
          <w:i/>
          <w:iCs/>
          <w:lang w:bidi="hi-IN"/>
        </w:rPr>
        <w:t>49</w:t>
      </w:r>
      <w:r w:rsidRPr="00CC484F">
        <w:rPr>
          <w:lang w:bidi="hi-IN"/>
        </w:rPr>
        <w:t xml:space="preserve"> (22), 6596–6606. https://doi.org/10.1021/jm0608210</w:t>
      </w:r>
    </w:p>
    <w:p w14:paraId="66172AAF" w14:textId="77777777" w:rsidR="00CC484F" w:rsidRPr="00CC484F" w:rsidRDefault="00CC484F" w:rsidP="00CC484F">
      <w:pPr>
        <w:pStyle w:val="Bibliography"/>
        <w:rPr>
          <w:lang w:bidi="hi-IN"/>
        </w:rPr>
      </w:pPr>
      <w:r w:rsidRPr="00CC484F">
        <w:rPr>
          <w:lang w:bidi="hi-IN"/>
        </w:rPr>
        <w:t>(49)</w:t>
      </w:r>
      <w:r w:rsidRPr="00CC484F">
        <w:rPr>
          <w:lang w:bidi="hi-IN"/>
        </w:rPr>
        <w:tab/>
      </w:r>
      <w:proofErr w:type="spellStart"/>
      <w:r w:rsidRPr="00CC484F">
        <w:rPr>
          <w:lang w:bidi="hi-IN"/>
        </w:rPr>
        <w:t>Gapsys</w:t>
      </w:r>
      <w:proofErr w:type="spellEnd"/>
      <w:r w:rsidRPr="00CC484F">
        <w:rPr>
          <w:lang w:bidi="hi-IN"/>
        </w:rPr>
        <w:t xml:space="preserve">, V.; </w:t>
      </w:r>
      <w:proofErr w:type="spellStart"/>
      <w:r w:rsidRPr="00CC484F">
        <w:rPr>
          <w:lang w:bidi="hi-IN"/>
        </w:rPr>
        <w:t>Michielssens</w:t>
      </w:r>
      <w:proofErr w:type="spellEnd"/>
      <w:r w:rsidRPr="00CC484F">
        <w:rPr>
          <w:lang w:bidi="hi-IN"/>
        </w:rPr>
        <w:t xml:space="preserve">, S.; Seeliger, D.; de Groot, B. L. </w:t>
      </w:r>
      <w:proofErr w:type="spellStart"/>
      <w:r w:rsidRPr="00CC484F">
        <w:rPr>
          <w:lang w:bidi="hi-IN"/>
        </w:rPr>
        <w:t>Pmx</w:t>
      </w:r>
      <w:proofErr w:type="spellEnd"/>
      <w:r w:rsidRPr="00CC484F">
        <w:rPr>
          <w:lang w:bidi="hi-IN"/>
        </w:rPr>
        <w:t xml:space="preserve">: Automated Protein Structure and Topology Generation for Alchemical Perturbations. </w:t>
      </w:r>
      <w:r w:rsidRPr="00CC484F">
        <w:rPr>
          <w:i/>
          <w:iCs/>
          <w:lang w:bidi="hi-IN"/>
        </w:rPr>
        <w:t>Journal of Computational Chemistry</w:t>
      </w:r>
      <w:r w:rsidRPr="00CC484F">
        <w:rPr>
          <w:lang w:bidi="hi-IN"/>
        </w:rPr>
        <w:t xml:space="preserve"> </w:t>
      </w:r>
      <w:r w:rsidRPr="00CC484F">
        <w:rPr>
          <w:b/>
          <w:bCs/>
          <w:lang w:bidi="hi-IN"/>
        </w:rPr>
        <w:t>2015</w:t>
      </w:r>
      <w:r w:rsidRPr="00CC484F">
        <w:rPr>
          <w:lang w:bidi="hi-IN"/>
        </w:rPr>
        <w:t xml:space="preserve">, </w:t>
      </w:r>
      <w:r w:rsidRPr="00CC484F">
        <w:rPr>
          <w:i/>
          <w:iCs/>
          <w:lang w:bidi="hi-IN"/>
        </w:rPr>
        <w:t>36</w:t>
      </w:r>
      <w:r w:rsidRPr="00CC484F">
        <w:rPr>
          <w:lang w:bidi="hi-IN"/>
        </w:rPr>
        <w:t xml:space="preserve"> (5), 348–354. https://doi.org/10.1002/jcc.23804</w:t>
      </w:r>
    </w:p>
    <w:p w14:paraId="21CD6F57" w14:textId="77777777" w:rsidR="00CC484F" w:rsidRPr="00CC484F" w:rsidRDefault="00CC484F" w:rsidP="00CC484F">
      <w:pPr>
        <w:pStyle w:val="Bibliography"/>
        <w:rPr>
          <w:lang w:bidi="hi-IN"/>
        </w:rPr>
      </w:pPr>
      <w:r w:rsidRPr="00CC484F">
        <w:rPr>
          <w:lang w:bidi="hi-IN"/>
        </w:rPr>
        <w:t>(50)</w:t>
      </w:r>
      <w:r w:rsidRPr="00CC484F">
        <w:rPr>
          <w:lang w:bidi="hi-IN"/>
        </w:rPr>
        <w:tab/>
        <w:t xml:space="preserve">Abraham, M. J.; </w:t>
      </w:r>
      <w:proofErr w:type="spellStart"/>
      <w:r w:rsidRPr="00CC484F">
        <w:rPr>
          <w:lang w:bidi="hi-IN"/>
        </w:rPr>
        <w:t>Murtola</w:t>
      </w:r>
      <w:proofErr w:type="spellEnd"/>
      <w:r w:rsidRPr="00CC484F">
        <w:rPr>
          <w:lang w:bidi="hi-IN"/>
        </w:rPr>
        <w:t xml:space="preserve">, T.; Schulz, R.; Páll, S.; Smith, J. C.; Hess, B.; Lindahl, E. GROMACS: High Performance Molecular Simulations through Multi-Level Parallelism from Laptops to Supercomputers. </w:t>
      </w:r>
      <w:proofErr w:type="spellStart"/>
      <w:r w:rsidRPr="00CC484F">
        <w:rPr>
          <w:i/>
          <w:iCs/>
          <w:lang w:bidi="hi-IN"/>
        </w:rPr>
        <w:t>SoftwareX</w:t>
      </w:r>
      <w:proofErr w:type="spellEnd"/>
      <w:r w:rsidRPr="00CC484F">
        <w:rPr>
          <w:lang w:bidi="hi-IN"/>
        </w:rPr>
        <w:t xml:space="preserve"> </w:t>
      </w:r>
      <w:r w:rsidRPr="00CC484F">
        <w:rPr>
          <w:b/>
          <w:bCs/>
          <w:lang w:bidi="hi-IN"/>
        </w:rPr>
        <w:t>2015</w:t>
      </w:r>
      <w:r w:rsidRPr="00CC484F">
        <w:rPr>
          <w:lang w:bidi="hi-IN"/>
        </w:rPr>
        <w:t xml:space="preserve">, </w:t>
      </w:r>
      <w:r w:rsidRPr="00CC484F">
        <w:rPr>
          <w:i/>
          <w:iCs/>
          <w:lang w:bidi="hi-IN"/>
        </w:rPr>
        <w:t>1–2</w:t>
      </w:r>
      <w:r w:rsidRPr="00CC484F">
        <w:rPr>
          <w:lang w:bidi="hi-IN"/>
        </w:rPr>
        <w:t>, 19–25. https://doi.org/10.1016/j.softx.2015.06.001</w:t>
      </w:r>
    </w:p>
    <w:p w14:paraId="6135286E" w14:textId="77777777" w:rsidR="00CC484F" w:rsidRPr="00CC484F" w:rsidRDefault="00CC484F" w:rsidP="00CC484F">
      <w:pPr>
        <w:pStyle w:val="Bibliography"/>
        <w:rPr>
          <w:lang w:bidi="hi-IN"/>
        </w:rPr>
      </w:pPr>
      <w:r w:rsidRPr="00CC484F">
        <w:rPr>
          <w:lang w:bidi="hi-IN"/>
        </w:rPr>
        <w:t>(51)</w:t>
      </w:r>
      <w:r w:rsidRPr="00CC484F">
        <w:rPr>
          <w:lang w:bidi="hi-IN"/>
        </w:rPr>
        <w:tab/>
      </w:r>
      <w:proofErr w:type="spellStart"/>
      <w:r w:rsidRPr="00CC484F">
        <w:rPr>
          <w:lang w:bidi="hi-IN"/>
        </w:rPr>
        <w:t>Gapsys</w:t>
      </w:r>
      <w:proofErr w:type="spellEnd"/>
      <w:r w:rsidRPr="00CC484F">
        <w:rPr>
          <w:lang w:bidi="hi-IN"/>
        </w:rPr>
        <w:t xml:space="preserve">, V.; Seeliger, D.; de Groot, B. L. New Soft-Core Potential Function for Molecular Dynamics Based Alchemical Free Energy Calculations. </w:t>
      </w:r>
      <w:r w:rsidRPr="00CC484F">
        <w:rPr>
          <w:i/>
          <w:iCs/>
          <w:lang w:bidi="hi-IN"/>
        </w:rPr>
        <w:t xml:space="preserve">J. Chem. Theory </w:t>
      </w:r>
      <w:proofErr w:type="spellStart"/>
      <w:r w:rsidRPr="00CC484F">
        <w:rPr>
          <w:i/>
          <w:iCs/>
          <w:lang w:bidi="hi-IN"/>
        </w:rPr>
        <w:t>Comput</w:t>
      </w:r>
      <w:proofErr w:type="spellEnd"/>
      <w:r w:rsidRPr="00CC484F">
        <w:rPr>
          <w:i/>
          <w:iCs/>
          <w:lang w:bidi="hi-IN"/>
        </w:rPr>
        <w:t>.</w:t>
      </w:r>
      <w:r w:rsidRPr="00CC484F">
        <w:rPr>
          <w:lang w:bidi="hi-IN"/>
        </w:rPr>
        <w:t xml:space="preserve"> </w:t>
      </w:r>
      <w:r w:rsidRPr="00CC484F">
        <w:rPr>
          <w:b/>
          <w:bCs/>
          <w:lang w:bidi="hi-IN"/>
        </w:rPr>
        <w:t>2012</w:t>
      </w:r>
      <w:r w:rsidRPr="00CC484F">
        <w:rPr>
          <w:lang w:bidi="hi-IN"/>
        </w:rPr>
        <w:t xml:space="preserve">, </w:t>
      </w:r>
      <w:r w:rsidRPr="00CC484F">
        <w:rPr>
          <w:i/>
          <w:iCs/>
          <w:lang w:bidi="hi-IN"/>
        </w:rPr>
        <w:t>8</w:t>
      </w:r>
      <w:r w:rsidRPr="00CC484F">
        <w:rPr>
          <w:lang w:bidi="hi-IN"/>
        </w:rPr>
        <w:t xml:space="preserve"> (7), 2373–2382. https://doi.org/10.1021/ct300220p</w:t>
      </w:r>
    </w:p>
    <w:p w14:paraId="4F5CFD45" w14:textId="77777777" w:rsidR="00CC484F" w:rsidRPr="00CC484F" w:rsidRDefault="00CC484F" w:rsidP="00CC484F">
      <w:pPr>
        <w:pStyle w:val="Bibliography"/>
        <w:rPr>
          <w:lang w:bidi="hi-IN"/>
        </w:rPr>
      </w:pPr>
      <w:r w:rsidRPr="00CC484F">
        <w:rPr>
          <w:lang w:bidi="hi-IN"/>
        </w:rPr>
        <w:t>(52)</w:t>
      </w:r>
      <w:r w:rsidRPr="00CC484F">
        <w:rPr>
          <w:lang w:bidi="hi-IN"/>
        </w:rPr>
        <w:tab/>
        <w:t xml:space="preserve">Jarzynski, C. Nonequilibrium Equality for Free Energy Differences. </w:t>
      </w:r>
      <w:r w:rsidRPr="00CC484F">
        <w:rPr>
          <w:i/>
          <w:iCs/>
          <w:lang w:bidi="hi-IN"/>
        </w:rPr>
        <w:t>Phys. Rev. Lett.</w:t>
      </w:r>
      <w:r w:rsidRPr="00CC484F">
        <w:rPr>
          <w:lang w:bidi="hi-IN"/>
        </w:rPr>
        <w:t xml:space="preserve"> </w:t>
      </w:r>
      <w:r w:rsidRPr="00CC484F">
        <w:rPr>
          <w:b/>
          <w:bCs/>
          <w:lang w:bidi="hi-IN"/>
        </w:rPr>
        <w:t>1997</w:t>
      </w:r>
      <w:r w:rsidRPr="00CC484F">
        <w:rPr>
          <w:lang w:bidi="hi-IN"/>
        </w:rPr>
        <w:t xml:space="preserve">, </w:t>
      </w:r>
      <w:r w:rsidRPr="00CC484F">
        <w:rPr>
          <w:i/>
          <w:iCs/>
          <w:lang w:bidi="hi-IN"/>
        </w:rPr>
        <w:t>78</w:t>
      </w:r>
      <w:r w:rsidRPr="00CC484F">
        <w:rPr>
          <w:lang w:bidi="hi-IN"/>
        </w:rPr>
        <w:t xml:space="preserve"> (14), 2690–2693. https://doi.org/10.1103/PhysRevLett.78.2690</w:t>
      </w:r>
    </w:p>
    <w:p w14:paraId="3D6D1CD4" w14:textId="77777777" w:rsidR="00CC484F" w:rsidRPr="00CC484F" w:rsidRDefault="00CC484F" w:rsidP="00CC484F">
      <w:pPr>
        <w:pStyle w:val="Bibliography"/>
        <w:rPr>
          <w:lang w:bidi="hi-IN"/>
        </w:rPr>
      </w:pPr>
      <w:r w:rsidRPr="00CC484F">
        <w:rPr>
          <w:lang w:bidi="hi-IN"/>
        </w:rPr>
        <w:t>(53)</w:t>
      </w:r>
      <w:r w:rsidRPr="00CC484F">
        <w:rPr>
          <w:lang w:bidi="hi-IN"/>
        </w:rPr>
        <w:tab/>
        <w:t xml:space="preserve">Crooks, G. E. Entropy Production Fluctuation Theorem and the Nonequilibrium Work Relation for Free Energy Differences. </w:t>
      </w:r>
      <w:r w:rsidRPr="00CC484F">
        <w:rPr>
          <w:i/>
          <w:iCs/>
          <w:lang w:bidi="hi-IN"/>
        </w:rPr>
        <w:t>Phys. Rev. E</w:t>
      </w:r>
      <w:r w:rsidRPr="00CC484F">
        <w:rPr>
          <w:lang w:bidi="hi-IN"/>
        </w:rPr>
        <w:t xml:space="preserve"> </w:t>
      </w:r>
      <w:r w:rsidRPr="00CC484F">
        <w:rPr>
          <w:b/>
          <w:bCs/>
          <w:lang w:bidi="hi-IN"/>
        </w:rPr>
        <w:t>1999</w:t>
      </w:r>
      <w:r w:rsidRPr="00CC484F">
        <w:rPr>
          <w:lang w:bidi="hi-IN"/>
        </w:rPr>
        <w:t xml:space="preserve">, </w:t>
      </w:r>
      <w:r w:rsidRPr="00CC484F">
        <w:rPr>
          <w:i/>
          <w:iCs/>
          <w:lang w:bidi="hi-IN"/>
        </w:rPr>
        <w:t>60</w:t>
      </w:r>
      <w:r w:rsidRPr="00CC484F">
        <w:rPr>
          <w:lang w:bidi="hi-IN"/>
        </w:rPr>
        <w:t xml:space="preserve"> (3), 2721–2726. https://doi.org/10.1103/PhysRevE.60.2721</w:t>
      </w:r>
    </w:p>
    <w:p w14:paraId="1DF7C5E9" w14:textId="77777777" w:rsidR="00CC484F" w:rsidRPr="00CC484F" w:rsidRDefault="00CC484F" w:rsidP="00CC484F">
      <w:pPr>
        <w:pStyle w:val="Bibliography"/>
        <w:rPr>
          <w:lang w:bidi="hi-IN"/>
        </w:rPr>
      </w:pPr>
      <w:r w:rsidRPr="00CC484F">
        <w:rPr>
          <w:lang w:bidi="hi-IN"/>
        </w:rPr>
        <w:t>(54)</w:t>
      </w:r>
      <w:r w:rsidRPr="00CC484F">
        <w:rPr>
          <w:lang w:bidi="hi-IN"/>
        </w:rPr>
        <w:tab/>
        <w:t xml:space="preserve">Bernetti, M.; Bussi, G. Pressure Control Using Stochastic Cell Rescaling. </w:t>
      </w:r>
      <w:r w:rsidRPr="00CC484F">
        <w:rPr>
          <w:i/>
          <w:iCs/>
          <w:lang w:bidi="hi-IN"/>
        </w:rPr>
        <w:t>J. Chem. Phys.</w:t>
      </w:r>
      <w:r w:rsidRPr="00CC484F">
        <w:rPr>
          <w:lang w:bidi="hi-IN"/>
        </w:rPr>
        <w:t xml:space="preserve"> </w:t>
      </w:r>
      <w:r w:rsidRPr="00CC484F">
        <w:rPr>
          <w:b/>
          <w:bCs/>
          <w:lang w:bidi="hi-IN"/>
        </w:rPr>
        <w:t>2020</w:t>
      </w:r>
      <w:r w:rsidRPr="00CC484F">
        <w:rPr>
          <w:lang w:bidi="hi-IN"/>
        </w:rPr>
        <w:t xml:space="preserve">, </w:t>
      </w:r>
      <w:r w:rsidRPr="00CC484F">
        <w:rPr>
          <w:i/>
          <w:iCs/>
          <w:lang w:bidi="hi-IN"/>
        </w:rPr>
        <w:t>153</w:t>
      </w:r>
      <w:r w:rsidRPr="00CC484F">
        <w:rPr>
          <w:lang w:bidi="hi-IN"/>
        </w:rPr>
        <w:t xml:space="preserve"> (11), 114107. https://doi.org/10.1063/5.0020514</w:t>
      </w:r>
    </w:p>
    <w:p w14:paraId="45704DC4" w14:textId="77777777" w:rsidR="00CC484F" w:rsidRPr="00CC484F" w:rsidRDefault="00CC484F" w:rsidP="00CC484F">
      <w:pPr>
        <w:pStyle w:val="Bibliography"/>
        <w:rPr>
          <w:lang w:bidi="hi-IN"/>
        </w:rPr>
      </w:pPr>
      <w:r w:rsidRPr="00CC484F">
        <w:rPr>
          <w:lang w:bidi="hi-IN"/>
        </w:rPr>
        <w:t>(55)</w:t>
      </w:r>
      <w:r w:rsidRPr="00CC484F">
        <w:rPr>
          <w:lang w:bidi="hi-IN"/>
        </w:rPr>
        <w:tab/>
        <w:t xml:space="preserve">Bennett, C. H. Efficient Estimation of Free Energy Differences from Monte Carlo Data. </w:t>
      </w:r>
      <w:r w:rsidRPr="00CC484F">
        <w:rPr>
          <w:i/>
          <w:iCs/>
          <w:lang w:bidi="hi-IN"/>
        </w:rPr>
        <w:t>Journal of Computational Physics</w:t>
      </w:r>
      <w:r w:rsidRPr="00CC484F">
        <w:rPr>
          <w:lang w:bidi="hi-IN"/>
        </w:rPr>
        <w:t xml:space="preserve"> </w:t>
      </w:r>
      <w:r w:rsidRPr="00CC484F">
        <w:rPr>
          <w:b/>
          <w:bCs/>
          <w:lang w:bidi="hi-IN"/>
        </w:rPr>
        <w:t>1976</w:t>
      </w:r>
      <w:r w:rsidRPr="00CC484F">
        <w:rPr>
          <w:lang w:bidi="hi-IN"/>
        </w:rPr>
        <w:t xml:space="preserve">, </w:t>
      </w:r>
      <w:r w:rsidRPr="00CC484F">
        <w:rPr>
          <w:i/>
          <w:iCs/>
          <w:lang w:bidi="hi-IN"/>
        </w:rPr>
        <w:t>22</w:t>
      </w:r>
      <w:r w:rsidRPr="00CC484F">
        <w:rPr>
          <w:lang w:bidi="hi-IN"/>
        </w:rPr>
        <w:t xml:space="preserve"> (2), 245–268. https://doi.org/10.1016/0021-9991(76)90078-4</w:t>
      </w:r>
    </w:p>
    <w:p w14:paraId="0064350B" w14:textId="77777777" w:rsidR="00CC484F" w:rsidRPr="00CC484F" w:rsidRDefault="00CC484F" w:rsidP="00CC484F">
      <w:pPr>
        <w:pStyle w:val="Bibliography"/>
        <w:rPr>
          <w:lang w:bidi="hi-IN"/>
        </w:rPr>
      </w:pPr>
      <w:r w:rsidRPr="00CC484F">
        <w:rPr>
          <w:lang w:bidi="hi-IN"/>
        </w:rPr>
        <w:t>(56)</w:t>
      </w:r>
      <w:r w:rsidRPr="00CC484F">
        <w:rPr>
          <w:lang w:bidi="hi-IN"/>
        </w:rPr>
        <w:tab/>
        <w:t xml:space="preserve">Rocklin, G. J.; Mobley, D. L.; Dill, K. A.; </w:t>
      </w:r>
      <w:proofErr w:type="spellStart"/>
      <w:r w:rsidRPr="00CC484F">
        <w:rPr>
          <w:lang w:bidi="hi-IN"/>
        </w:rPr>
        <w:t>Hünenberger</w:t>
      </w:r>
      <w:proofErr w:type="spellEnd"/>
      <w:r w:rsidRPr="00CC484F">
        <w:rPr>
          <w:lang w:bidi="hi-IN"/>
        </w:rPr>
        <w:t xml:space="preserve">, P. H. Calculating the Binding Free Energies of Charged Species Based on Explicit-Solvent Simulations Employing Lattice-Sum Methods: An Accurate Correction Scheme for Electrostatic Finite-Size Effects. </w:t>
      </w:r>
      <w:r w:rsidRPr="00CC484F">
        <w:rPr>
          <w:i/>
          <w:iCs/>
          <w:lang w:bidi="hi-IN"/>
        </w:rPr>
        <w:t>J. Chem. Phys.</w:t>
      </w:r>
      <w:r w:rsidRPr="00CC484F">
        <w:rPr>
          <w:lang w:bidi="hi-IN"/>
        </w:rPr>
        <w:t xml:space="preserve"> </w:t>
      </w:r>
      <w:r w:rsidRPr="00CC484F">
        <w:rPr>
          <w:b/>
          <w:bCs/>
          <w:lang w:bidi="hi-IN"/>
        </w:rPr>
        <w:t>2013</w:t>
      </w:r>
      <w:r w:rsidRPr="00CC484F">
        <w:rPr>
          <w:lang w:bidi="hi-IN"/>
        </w:rPr>
        <w:t xml:space="preserve">, </w:t>
      </w:r>
      <w:r w:rsidRPr="00CC484F">
        <w:rPr>
          <w:i/>
          <w:iCs/>
          <w:lang w:bidi="hi-IN"/>
        </w:rPr>
        <w:t>139</w:t>
      </w:r>
      <w:r w:rsidRPr="00CC484F">
        <w:rPr>
          <w:lang w:bidi="hi-IN"/>
        </w:rPr>
        <w:t xml:space="preserve"> (18), 184103. https://doi.org/10.1063/1.4826261</w:t>
      </w:r>
    </w:p>
    <w:p w14:paraId="1F539C7F" w14:textId="77777777" w:rsidR="00CC484F" w:rsidRPr="00CC484F" w:rsidRDefault="00CC484F" w:rsidP="00CC484F">
      <w:pPr>
        <w:pStyle w:val="Bibliography"/>
        <w:rPr>
          <w:lang w:bidi="hi-IN"/>
        </w:rPr>
      </w:pPr>
      <w:r w:rsidRPr="00CC484F">
        <w:rPr>
          <w:lang w:bidi="hi-IN"/>
        </w:rPr>
        <w:t>(57)</w:t>
      </w:r>
      <w:r w:rsidRPr="00CC484F">
        <w:rPr>
          <w:lang w:bidi="hi-IN"/>
        </w:rPr>
        <w:tab/>
        <w:t xml:space="preserve">Orkin, C.; Kuritzkes, D. R.; </w:t>
      </w:r>
      <w:proofErr w:type="spellStart"/>
      <w:r w:rsidRPr="00CC484F">
        <w:rPr>
          <w:lang w:bidi="hi-IN"/>
        </w:rPr>
        <w:t>Katlama</w:t>
      </w:r>
      <w:proofErr w:type="spellEnd"/>
      <w:r w:rsidRPr="00CC484F">
        <w:rPr>
          <w:lang w:bidi="hi-IN"/>
        </w:rPr>
        <w:t xml:space="preserve">, C.; Su, F.-H.; Plank, R. M.; </w:t>
      </w:r>
      <w:proofErr w:type="spellStart"/>
      <w:r w:rsidRPr="00CC484F">
        <w:rPr>
          <w:lang w:bidi="hi-IN"/>
        </w:rPr>
        <w:t>Lahoulou</w:t>
      </w:r>
      <w:proofErr w:type="spellEnd"/>
      <w:r w:rsidRPr="00CC484F">
        <w:rPr>
          <w:lang w:bidi="hi-IN"/>
        </w:rPr>
        <w:t xml:space="preserve">, R.; Asante-Appiah, E. Doravirine Resistance Patterns Identified Through Week 192 in the DRIVE-FORWARD and DRIVE-AHEAD Phase 3 Clinical Trials. </w:t>
      </w:r>
      <w:r w:rsidRPr="00CC484F">
        <w:rPr>
          <w:i/>
          <w:iCs/>
          <w:lang w:bidi="hi-IN"/>
        </w:rPr>
        <w:t xml:space="preserve">J </w:t>
      </w:r>
      <w:proofErr w:type="spellStart"/>
      <w:r w:rsidRPr="00CC484F">
        <w:rPr>
          <w:i/>
          <w:iCs/>
          <w:lang w:bidi="hi-IN"/>
        </w:rPr>
        <w:t>Acquir</w:t>
      </w:r>
      <w:proofErr w:type="spellEnd"/>
      <w:r w:rsidRPr="00CC484F">
        <w:rPr>
          <w:i/>
          <w:iCs/>
          <w:lang w:bidi="hi-IN"/>
        </w:rPr>
        <w:t xml:space="preserve"> Immune Defic Syndr</w:t>
      </w:r>
      <w:r w:rsidRPr="00CC484F">
        <w:rPr>
          <w:lang w:bidi="hi-IN"/>
        </w:rPr>
        <w:t xml:space="preserve"> </w:t>
      </w:r>
      <w:r w:rsidRPr="00CC484F">
        <w:rPr>
          <w:b/>
          <w:bCs/>
          <w:lang w:bidi="hi-IN"/>
        </w:rPr>
        <w:t>2026</w:t>
      </w:r>
      <w:r w:rsidRPr="00CC484F">
        <w:rPr>
          <w:lang w:bidi="hi-IN"/>
        </w:rPr>
        <w:t xml:space="preserve">, </w:t>
      </w:r>
      <w:r w:rsidRPr="00CC484F">
        <w:rPr>
          <w:i/>
          <w:iCs/>
          <w:lang w:bidi="hi-IN"/>
        </w:rPr>
        <w:t>101</w:t>
      </w:r>
      <w:r w:rsidRPr="00CC484F">
        <w:rPr>
          <w:lang w:bidi="hi-IN"/>
        </w:rPr>
        <w:t xml:space="preserve"> (3), 308–315. https://doi.org/10.1097/QAI.0000000000003787</w:t>
      </w:r>
    </w:p>
    <w:p w14:paraId="65A78223" w14:textId="77777777" w:rsidR="00CC484F" w:rsidRPr="00CC484F" w:rsidRDefault="00CC484F" w:rsidP="00CC484F">
      <w:pPr>
        <w:pStyle w:val="Bibliography"/>
        <w:rPr>
          <w:lang w:bidi="hi-IN"/>
        </w:rPr>
      </w:pPr>
      <w:r w:rsidRPr="00CC484F">
        <w:rPr>
          <w:lang w:bidi="hi-IN"/>
        </w:rPr>
        <w:t>(58)</w:t>
      </w:r>
      <w:r w:rsidRPr="00CC484F">
        <w:rPr>
          <w:lang w:bidi="hi-IN"/>
        </w:rPr>
        <w:tab/>
        <w:t xml:space="preserve">Asante-Appiah, E.; Lai, J.; Wan, H.; Yang, D.; Martin, E. A.; Sklar, P.; Hazuda, D.; Petropoulos, C. J.; Walworth, C.; Grobler, J. A. Impact of HIV-1 Resistance-Associated Mutations on Susceptibility to Doravirine: Analysis of Real-World Clinical Isolates. </w:t>
      </w:r>
      <w:r w:rsidRPr="00CC484F">
        <w:rPr>
          <w:i/>
          <w:iCs/>
          <w:lang w:bidi="hi-IN"/>
        </w:rPr>
        <w:lastRenderedPageBreak/>
        <w:t>Antimicrobial Agents and Chemotherapy</w:t>
      </w:r>
      <w:r w:rsidRPr="00CC484F">
        <w:rPr>
          <w:lang w:bidi="hi-IN"/>
        </w:rPr>
        <w:t xml:space="preserve"> </w:t>
      </w:r>
      <w:r w:rsidRPr="00CC484F">
        <w:rPr>
          <w:b/>
          <w:bCs/>
          <w:lang w:bidi="hi-IN"/>
        </w:rPr>
        <w:t>2021</w:t>
      </w:r>
      <w:r w:rsidRPr="00CC484F">
        <w:rPr>
          <w:lang w:bidi="hi-IN"/>
        </w:rPr>
        <w:t xml:space="preserve">, </w:t>
      </w:r>
      <w:r w:rsidRPr="00CC484F">
        <w:rPr>
          <w:i/>
          <w:iCs/>
          <w:lang w:bidi="hi-IN"/>
        </w:rPr>
        <w:t>65</w:t>
      </w:r>
      <w:r w:rsidRPr="00CC484F">
        <w:rPr>
          <w:lang w:bidi="hi-IN"/>
        </w:rPr>
        <w:t xml:space="preserve"> (12), 10.1128/aac.01216-21. https://doi.org/10.1128/aac.01216-21</w:t>
      </w:r>
    </w:p>
    <w:p w14:paraId="6638644F" w14:textId="77777777" w:rsidR="00CC484F" w:rsidRPr="00CC484F" w:rsidRDefault="00CC484F" w:rsidP="00CC484F">
      <w:pPr>
        <w:pStyle w:val="Bibliography"/>
        <w:rPr>
          <w:lang w:bidi="hi-IN"/>
        </w:rPr>
      </w:pPr>
      <w:r w:rsidRPr="00CC484F">
        <w:rPr>
          <w:lang w:bidi="hi-IN"/>
        </w:rPr>
        <w:t>(59)</w:t>
      </w:r>
      <w:r w:rsidRPr="00CC484F">
        <w:rPr>
          <w:lang w:bidi="hi-IN"/>
        </w:rPr>
        <w:tab/>
        <w:t xml:space="preserve">Lai, M.-T.; Xu, M.; Ngo, W.; Feng, M.; Graham, D.; Wang, J.; Hazuda, D. J.; Hanna, G. J.; Kumar, S.; Xu, X.; Martin, E.; Hwang, C. </w:t>
      </w:r>
      <w:r w:rsidRPr="00CC484F">
        <w:rPr>
          <w:i/>
          <w:iCs/>
          <w:lang w:bidi="hi-IN"/>
        </w:rPr>
        <w:t>Characterization of Doravirine-Selected Resistance Patterns From Participants in Treatment-Naïve Phase 3 Clinical Trials</w:t>
      </w:r>
      <w:r w:rsidRPr="00CC484F">
        <w:rPr>
          <w:lang w:bidi="hi-IN"/>
        </w:rPr>
        <w:t>. https://www.natap.org/2018/IAC/IAC_54.htm (accessed 2026-05-24)</w:t>
      </w:r>
    </w:p>
    <w:p w14:paraId="1C6D249C" w14:textId="77777777" w:rsidR="00CC484F" w:rsidRPr="00CC484F" w:rsidRDefault="00CC484F" w:rsidP="00CC484F">
      <w:pPr>
        <w:pStyle w:val="Bibliography"/>
        <w:rPr>
          <w:lang w:bidi="hi-IN"/>
        </w:rPr>
      </w:pPr>
      <w:r w:rsidRPr="00CC484F">
        <w:rPr>
          <w:lang w:bidi="hi-IN"/>
        </w:rPr>
        <w:t>(60)</w:t>
      </w:r>
      <w:r w:rsidRPr="00CC484F">
        <w:rPr>
          <w:lang w:bidi="hi-IN"/>
        </w:rPr>
        <w:tab/>
        <w:t xml:space="preserve">Hazuda, D. J.; Xu, M.; Ngo, W.; Feng, M.; Hwang, C.; Grobler, J. A.; Lai, M.-T. </w:t>
      </w:r>
      <w:r w:rsidRPr="00CC484F">
        <w:rPr>
          <w:i/>
          <w:iCs/>
          <w:lang w:bidi="hi-IN"/>
        </w:rPr>
        <w:t>Understanding the Resistance Profile of the HIV-1 NNRTI Doravirine in Combination With the Novel NRTTI MK-8591</w:t>
      </w:r>
      <w:r w:rsidRPr="00CC484F">
        <w:rPr>
          <w:lang w:bidi="hi-IN"/>
        </w:rPr>
        <w:t>. https://www.natap.org/2018/IAC/IAC_48.htm (accessed 2026-05-24)</w:t>
      </w:r>
    </w:p>
    <w:p w14:paraId="22223C75" w14:textId="77777777" w:rsidR="00CC484F" w:rsidRPr="00CC484F" w:rsidRDefault="00CC484F" w:rsidP="00CC484F">
      <w:pPr>
        <w:pStyle w:val="Bibliography"/>
        <w:rPr>
          <w:lang w:bidi="hi-IN"/>
        </w:rPr>
      </w:pPr>
      <w:r w:rsidRPr="00CC484F">
        <w:rPr>
          <w:lang w:bidi="hi-IN"/>
        </w:rPr>
        <w:t>(61)</w:t>
      </w:r>
      <w:r w:rsidRPr="00CC484F">
        <w:rPr>
          <w:lang w:bidi="hi-IN"/>
        </w:rPr>
        <w:tab/>
        <w:t xml:space="preserve">Smith, S. J.; Pauly, G. T.; Akram, A.; Melody, K.; Ambrose, Z.; Schneider, J. P.; Hughes, S. H. Rilpivirine and Doravirine Have Complementary Efficacies Against NNRTI-Resistant HIV-1 Mutants. </w:t>
      </w:r>
      <w:r w:rsidRPr="00CC484F">
        <w:rPr>
          <w:i/>
          <w:iCs/>
          <w:lang w:bidi="hi-IN"/>
        </w:rPr>
        <w:t>JAIDS Journal of Acquired Immune Deficiency Syndromes</w:t>
      </w:r>
      <w:r w:rsidRPr="00CC484F">
        <w:rPr>
          <w:lang w:bidi="hi-IN"/>
        </w:rPr>
        <w:t xml:space="preserve"> </w:t>
      </w:r>
      <w:r w:rsidRPr="00CC484F">
        <w:rPr>
          <w:b/>
          <w:bCs/>
          <w:lang w:bidi="hi-IN"/>
        </w:rPr>
        <w:t>2016</w:t>
      </w:r>
      <w:r w:rsidRPr="00CC484F">
        <w:rPr>
          <w:lang w:bidi="hi-IN"/>
        </w:rPr>
        <w:t xml:space="preserve">, </w:t>
      </w:r>
      <w:r w:rsidRPr="00CC484F">
        <w:rPr>
          <w:i/>
          <w:iCs/>
          <w:lang w:bidi="hi-IN"/>
        </w:rPr>
        <w:t>72</w:t>
      </w:r>
      <w:r w:rsidRPr="00CC484F">
        <w:rPr>
          <w:lang w:bidi="hi-IN"/>
        </w:rPr>
        <w:t xml:space="preserve"> (5), 485. https://doi.org/10.1097/QAI.0000000000001031</w:t>
      </w:r>
    </w:p>
    <w:p w14:paraId="1676086F" w14:textId="77777777" w:rsidR="00CC484F" w:rsidRPr="00CC484F" w:rsidRDefault="00CC484F" w:rsidP="00CC484F">
      <w:pPr>
        <w:pStyle w:val="Bibliography"/>
        <w:rPr>
          <w:lang w:bidi="hi-IN"/>
        </w:rPr>
      </w:pPr>
      <w:r w:rsidRPr="00CC484F">
        <w:rPr>
          <w:lang w:bidi="hi-IN"/>
        </w:rPr>
        <w:t>(62)</w:t>
      </w:r>
      <w:r w:rsidRPr="00CC484F">
        <w:rPr>
          <w:lang w:bidi="hi-IN"/>
        </w:rPr>
        <w:tab/>
        <w:t xml:space="preserve">Kellinger, M. W.; Johnson, K. A. Nucleotide-Dependent Conformational Change Governs Specificity and Analog Discrimination by HIV Reverse Transcriptase. </w:t>
      </w:r>
      <w:r w:rsidRPr="00CC484F">
        <w:rPr>
          <w:i/>
          <w:iCs/>
          <w:lang w:bidi="hi-IN"/>
        </w:rPr>
        <w:t>Proceedings of the National Academy of Sciences</w:t>
      </w:r>
      <w:r w:rsidRPr="00CC484F">
        <w:rPr>
          <w:lang w:bidi="hi-IN"/>
        </w:rPr>
        <w:t xml:space="preserve"> </w:t>
      </w:r>
      <w:r w:rsidRPr="00CC484F">
        <w:rPr>
          <w:b/>
          <w:bCs/>
          <w:lang w:bidi="hi-IN"/>
        </w:rPr>
        <w:t>2010</w:t>
      </w:r>
      <w:r w:rsidRPr="00CC484F">
        <w:rPr>
          <w:lang w:bidi="hi-IN"/>
        </w:rPr>
        <w:t xml:space="preserve">, </w:t>
      </w:r>
      <w:r w:rsidRPr="00CC484F">
        <w:rPr>
          <w:i/>
          <w:iCs/>
          <w:lang w:bidi="hi-IN"/>
        </w:rPr>
        <w:t>107</w:t>
      </w:r>
      <w:r w:rsidRPr="00CC484F">
        <w:rPr>
          <w:lang w:bidi="hi-IN"/>
        </w:rPr>
        <w:t xml:space="preserve"> (17), 7734–7739. https://doi.org/10.1073/pnas.0913946107</w:t>
      </w:r>
    </w:p>
    <w:p w14:paraId="492E3914" w14:textId="77777777" w:rsidR="00CC484F" w:rsidRPr="00CC484F" w:rsidRDefault="00CC484F" w:rsidP="00CC484F">
      <w:pPr>
        <w:pStyle w:val="Bibliography"/>
        <w:rPr>
          <w:lang w:bidi="hi-IN"/>
        </w:rPr>
      </w:pPr>
      <w:r w:rsidRPr="00CC484F">
        <w:rPr>
          <w:lang w:bidi="hi-IN"/>
        </w:rPr>
        <w:t>(63)</w:t>
      </w:r>
      <w:r w:rsidRPr="00CC484F">
        <w:rPr>
          <w:lang w:bidi="hi-IN"/>
        </w:rPr>
        <w:tab/>
        <w:t xml:space="preserve">Chachra, R.; Rizzo, R. C. Origins of Resistance Conferred by the R292K Neuraminidase Mutation via Molecular Dynamics and Free Energy Calculations. </w:t>
      </w:r>
      <w:r w:rsidRPr="00CC484F">
        <w:rPr>
          <w:i/>
          <w:iCs/>
          <w:lang w:bidi="hi-IN"/>
        </w:rPr>
        <w:t xml:space="preserve">J. Chem. Theory </w:t>
      </w:r>
      <w:proofErr w:type="spellStart"/>
      <w:r w:rsidRPr="00CC484F">
        <w:rPr>
          <w:i/>
          <w:iCs/>
          <w:lang w:bidi="hi-IN"/>
        </w:rPr>
        <w:t>Comput</w:t>
      </w:r>
      <w:proofErr w:type="spellEnd"/>
      <w:r w:rsidRPr="00CC484F">
        <w:rPr>
          <w:i/>
          <w:iCs/>
          <w:lang w:bidi="hi-IN"/>
        </w:rPr>
        <w:t>.</w:t>
      </w:r>
      <w:r w:rsidRPr="00CC484F">
        <w:rPr>
          <w:lang w:bidi="hi-IN"/>
        </w:rPr>
        <w:t xml:space="preserve"> </w:t>
      </w:r>
      <w:r w:rsidRPr="00CC484F">
        <w:rPr>
          <w:b/>
          <w:bCs/>
          <w:lang w:bidi="hi-IN"/>
        </w:rPr>
        <w:t>2008</w:t>
      </w:r>
      <w:r w:rsidRPr="00CC484F">
        <w:rPr>
          <w:lang w:bidi="hi-IN"/>
        </w:rPr>
        <w:t xml:space="preserve">, </w:t>
      </w:r>
      <w:r w:rsidRPr="00CC484F">
        <w:rPr>
          <w:i/>
          <w:iCs/>
          <w:lang w:bidi="hi-IN"/>
        </w:rPr>
        <w:t>4</w:t>
      </w:r>
      <w:r w:rsidRPr="00CC484F">
        <w:rPr>
          <w:lang w:bidi="hi-IN"/>
        </w:rPr>
        <w:t xml:space="preserve"> (9), 1526–1540. https://doi.org/10.1021/ct800068v</w:t>
      </w:r>
    </w:p>
    <w:p w14:paraId="0D509B4C" w14:textId="77777777" w:rsidR="00CC484F" w:rsidRPr="00CC484F" w:rsidRDefault="00CC484F" w:rsidP="00CC484F">
      <w:pPr>
        <w:pStyle w:val="Bibliography"/>
        <w:rPr>
          <w:lang w:bidi="hi-IN"/>
        </w:rPr>
      </w:pPr>
      <w:r w:rsidRPr="00CC484F">
        <w:rPr>
          <w:lang w:bidi="hi-IN"/>
        </w:rPr>
        <w:t>(64)</w:t>
      </w:r>
      <w:r w:rsidRPr="00CC484F">
        <w:rPr>
          <w:lang w:bidi="hi-IN"/>
        </w:rPr>
        <w:tab/>
        <w:t xml:space="preserve">Ripoll, D. R.; </w:t>
      </w:r>
      <w:proofErr w:type="spellStart"/>
      <w:r w:rsidRPr="00CC484F">
        <w:rPr>
          <w:lang w:bidi="hi-IN"/>
        </w:rPr>
        <w:t>Khavrutskii</w:t>
      </w:r>
      <w:proofErr w:type="spellEnd"/>
      <w:r w:rsidRPr="00CC484F">
        <w:rPr>
          <w:lang w:bidi="hi-IN"/>
        </w:rPr>
        <w:t xml:space="preserve">, I. V.; Chaudhury, S.; Liu, J.; </w:t>
      </w:r>
      <w:proofErr w:type="spellStart"/>
      <w:r w:rsidRPr="00CC484F">
        <w:rPr>
          <w:lang w:bidi="hi-IN"/>
        </w:rPr>
        <w:t>Kuschner</w:t>
      </w:r>
      <w:proofErr w:type="spellEnd"/>
      <w:r w:rsidRPr="00CC484F">
        <w:rPr>
          <w:lang w:bidi="hi-IN"/>
        </w:rPr>
        <w:t xml:space="preserve">, R. A.; </w:t>
      </w:r>
      <w:proofErr w:type="spellStart"/>
      <w:r w:rsidRPr="00CC484F">
        <w:rPr>
          <w:lang w:bidi="hi-IN"/>
        </w:rPr>
        <w:t>Wallqvist</w:t>
      </w:r>
      <w:proofErr w:type="spellEnd"/>
      <w:r w:rsidRPr="00CC484F">
        <w:rPr>
          <w:lang w:bidi="hi-IN"/>
        </w:rPr>
        <w:t xml:space="preserve">, A.; Reifman, J. Quantitative Predictions of Binding Free Energy Changes in Drug-Resistant Influenza Neuraminidase. </w:t>
      </w:r>
      <w:r w:rsidRPr="00CC484F">
        <w:rPr>
          <w:i/>
          <w:iCs/>
          <w:lang w:bidi="hi-IN"/>
        </w:rPr>
        <w:t>PLOS Computational Biology</w:t>
      </w:r>
      <w:r w:rsidRPr="00CC484F">
        <w:rPr>
          <w:lang w:bidi="hi-IN"/>
        </w:rPr>
        <w:t xml:space="preserve"> </w:t>
      </w:r>
      <w:r w:rsidRPr="00CC484F">
        <w:rPr>
          <w:b/>
          <w:bCs/>
          <w:lang w:bidi="hi-IN"/>
        </w:rPr>
        <w:t>2012</w:t>
      </w:r>
      <w:r w:rsidRPr="00CC484F">
        <w:rPr>
          <w:lang w:bidi="hi-IN"/>
        </w:rPr>
        <w:t xml:space="preserve">, </w:t>
      </w:r>
      <w:r w:rsidRPr="00CC484F">
        <w:rPr>
          <w:i/>
          <w:iCs/>
          <w:lang w:bidi="hi-IN"/>
        </w:rPr>
        <w:t>8</w:t>
      </w:r>
      <w:r w:rsidRPr="00CC484F">
        <w:rPr>
          <w:lang w:bidi="hi-IN"/>
        </w:rPr>
        <w:t xml:space="preserve"> (8), e1002665. https://doi.org/10.1371/journal.pcbi.1002665</w:t>
      </w:r>
    </w:p>
    <w:p w14:paraId="68625CB8" w14:textId="77777777" w:rsidR="00CC484F" w:rsidRPr="00CC484F" w:rsidRDefault="00CC484F" w:rsidP="00CC484F">
      <w:pPr>
        <w:pStyle w:val="Bibliography"/>
        <w:rPr>
          <w:lang w:bidi="hi-IN"/>
        </w:rPr>
      </w:pPr>
      <w:r w:rsidRPr="00CC484F">
        <w:rPr>
          <w:lang w:bidi="hi-IN"/>
        </w:rPr>
        <w:t>(65)</w:t>
      </w:r>
      <w:r w:rsidRPr="00CC484F">
        <w:rPr>
          <w:lang w:bidi="hi-IN"/>
        </w:rPr>
        <w:tab/>
        <w:t xml:space="preserve">Havranek, B.; Demissie, R.; Lee, H.; Lan, S.; Zhang, H.; </w:t>
      </w:r>
      <w:proofErr w:type="spellStart"/>
      <w:r w:rsidRPr="00CC484F">
        <w:rPr>
          <w:lang w:bidi="hi-IN"/>
        </w:rPr>
        <w:t>Sarafianos</w:t>
      </w:r>
      <w:proofErr w:type="spellEnd"/>
      <w:r w:rsidRPr="00CC484F">
        <w:rPr>
          <w:lang w:bidi="hi-IN"/>
        </w:rPr>
        <w:t xml:space="preserve">, S.; </w:t>
      </w:r>
      <w:proofErr w:type="spellStart"/>
      <w:r w:rsidRPr="00CC484F">
        <w:rPr>
          <w:lang w:bidi="hi-IN"/>
        </w:rPr>
        <w:t>Ayitou</w:t>
      </w:r>
      <w:proofErr w:type="spellEnd"/>
      <w:r w:rsidRPr="00CC484F">
        <w:rPr>
          <w:lang w:bidi="hi-IN"/>
        </w:rPr>
        <w:t xml:space="preserve">, A. J.-L.; Islam, S. M. Discovery of Nirmatrelvir Resistance Mutations in SARS-CoV‑2 3CLpro: A Computational-Experimental Approach. </w:t>
      </w:r>
      <w:r w:rsidRPr="00CC484F">
        <w:rPr>
          <w:i/>
          <w:iCs/>
          <w:lang w:bidi="hi-IN"/>
        </w:rPr>
        <w:t>J. Chem. Inf. Model.</w:t>
      </w:r>
      <w:r w:rsidRPr="00CC484F">
        <w:rPr>
          <w:lang w:bidi="hi-IN"/>
        </w:rPr>
        <w:t xml:space="preserve"> </w:t>
      </w:r>
      <w:r w:rsidRPr="00CC484F">
        <w:rPr>
          <w:b/>
          <w:bCs/>
          <w:lang w:bidi="hi-IN"/>
        </w:rPr>
        <w:t>2023</w:t>
      </w:r>
      <w:r w:rsidRPr="00CC484F">
        <w:rPr>
          <w:lang w:bidi="hi-IN"/>
        </w:rPr>
        <w:t xml:space="preserve">, </w:t>
      </w:r>
      <w:r w:rsidRPr="00CC484F">
        <w:rPr>
          <w:i/>
          <w:iCs/>
          <w:lang w:bidi="hi-IN"/>
        </w:rPr>
        <w:t>63</w:t>
      </w:r>
      <w:r w:rsidRPr="00CC484F">
        <w:rPr>
          <w:lang w:bidi="hi-IN"/>
        </w:rPr>
        <w:t xml:space="preserve"> (22), 7180–7188. https://doi.org/10.1021/acs.jcim.3c01269</w:t>
      </w:r>
    </w:p>
    <w:p w14:paraId="208BDBD5" w14:textId="77777777" w:rsidR="00CC484F" w:rsidRPr="00CC484F" w:rsidRDefault="00CC484F" w:rsidP="00CC484F">
      <w:pPr>
        <w:pStyle w:val="Bibliography"/>
        <w:rPr>
          <w:lang w:bidi="hi-IN"/>
        </w:rPr>
      </w:pPr>
      <w:r w:rsidRPr="00CC484F">
        <w:rPr>
          <w:lang w:bidi="hi-IN"/>
        </w:rPr>
        <w:t>(66)</w:t>
      </w:r>
      <w:r w:rsidRPr="00CC484F">
        <w:rPr>
          <w:lang w:bidi="hi-IN"/>
        </w:rPr>
        <w:tab/>
        <w:t xml:space="preserve">Cai, Y.; Schiffer, C. A. Decomposing the Energetic Impact of Drug Resistant Mutations in HIV-1 Protease on Binding DRV. </w:t>
      </w:r>
      <w:r w:rsidRPr="00CC484F">
        <w:rPr>
          <w:i/>
          <w:iCs/>
          <w:lang w:bidi="hi-IN"/>
        </w:rPr>
        <w:t xml:space="preserve">J. Chem. Theory </w:t>
      </w:r>
      <w:proofErr w:type="spellStart"/>
      <w:r w:rsidRPr="00CC484F">
        <w:rPr>
          <w:i/>
          <w:iCs/>
          <w:lang w:bidi="hi-IN"/>
        </w:rPr>
        <w:t>Comput</w:t>
      </w:r>
      <w:proofErr w:type="spellEnd"/>
      <w:r w:rsidRPr="00CC484F">
        <w:rPr>
          <w:i/>
          <w:iCs/>
          <w:lang w:bidi="hi-IN"/>
        </w:rPr>
        <w:t>.</w:t>
      </w:r>
      <w:r w:rsidRPr="00CC484F">
        <w:rPr>
          <w:lang w:bidi="hi-IN"/>
        </w:rPr>
        <w:t xml:space="preserve"> </w:t>
      </w:r>
      <w:r w:rsidRPr="00CC484F">
        <w:rPr>
          <w:b/>
          <w:bCs/>
          <w:lang w:bidi="hi-IN"/>
        </w:rPr>
        <w:t>2010</w:t>
      </w:r>
      <w:r w:rsidRPr="00CC484F">
        <w:rPr>
          <w:lang w:bidi="hi-IN"/>
        </w:rPr>
        <w:t xml:space="preserve">, </w:t>
      </w:r>
      <w:r w:rsidRPr="00CC484F">
        <w:rPr>
          <w:i/>
          <w:iCs/>
          <w:lang w:bidi="hi-IN"/>
        </w:rPr>
        <w:t>6</w:t>
      </w:r>
      <w:r w:rsidRPr="00CC484F">
        <w:rPr>
          <w:lang w:bidi="hi-IN"/>
        </w:rPr>
        <w:t xml:space="preserve"> (4), 1358–1368. https://doi.org/10.1021/ct9004678</w:t>
      </w:r>
    </w:p>
    <w:p w14:paraId="307D3DD1" w14:textId="77777777" w:rsidR="00CC484F" w:rsidRPr="00CC484F" w:rsidRDefault="00CC484F" w:rsidP="00CC484F">
      <w:pPr>
        <w:pStyle w:val="Bibliography"/>
        <w:rPr>
          <w:lang w:bidi="hi-IN"/>
        </w:rPr>
      </w:pPr>
      <w:r w:rsidRPr="00CC484F">
        <w:rPr>
          <w:lang w:bidi="hi-IN"/>
        </w:rPr>
        <w:t>(67)</w:t>
      </w:r>
      <w:r w:rsidRPr="00CC484F">
        <w:rPr>
          <w:lang w:bidi="hi-IN"/>
        </w:rPr>
        <w:tab/>
      </w:r>
      <w:proofErr w:type="spellStart"/>
      <w:r w:rsidRPr="00CC484F">
        <w:rPr>
          <w:lang w:bidi="hi-IN"/>
        </w:rPr>
        <w:t>Bastys</w:t>
      </w:r>
      <w:proofErr w:type="spellEnd"/>
      <w:r w:rsidRPr="00CC484F">
        <w:rPr>
          <w:lang w:bidi="hi-IN"/>
        </w:rPr>
        <w:t xml:space="preserve">, T.; </w:t>
      </w:r>
      <w:proofErr w:type="spellStart"/>
      <w:r w:rsidRPr="00CC484F">
        <w:rPr>
          <w:lang w:bidi="hi-IN"/>
        </w:rPr>
        <w:t>Gapsys</w:t>
      </w:r>
      <w:proofErr w:type="spellEnd"/>
      <w:r w:rsidRPr="00CC484F">
        <w:rPr>
          <w:lang w:bidi="hi-IN"/>
        </w:rPr>
        <w:t xml:space="preserve">, V.; Doncheva, N. T.; Kaiser, R.; de Groot, B. L.; Kalinina, O. V. Consistent Prediction of Mutation Effect on Drug Binding in HIV‑1 Protease Using Alchemical Calculations. </w:t>
      </w:r>
      <w:r w:rsidRPr="00CC484F">
        <w:rPr>
          <w:i/>
          <w:iCs/>
          <w:lang w:bidi="hi-IN"/>
        </w:rPr>
        <w:t xml:space="preserve">J. Chem. Theory </w:t>
      </w:r>
      <w:proofErr w:type="spellStart"/>
      <w:r w:rsidRPr="00CC484F">
        <w:rPr>
          <w:i/>
          <w:iCs/>
          <w:lang w:bidi="hi-IN"/>
        </w:rPr>
        <w:t>Comput</w:t>
      </w:r>
      <w:proofErr w:type="spellEnd"/>
      <w:r w:rsidRPr="00CC484F">
        <w:rPr>
          <w:i/>
          <w:iCs/>
          <w:lang w:bidi="hi-IN"/>
        </w:rPr>
        <w:t>.</w:t>
      </w:r>
      <w:r w:rsidRPr="00CC484F">
        <w:rPr>
          <w:lang w:bidi="hi-IN"/>
        </w:rPr>
        <w:t xml:space="preserve"> </w:t>
      </w:r>
      <w:r w:rsidRPr="00CC484F">
        <w:rPr>
          <w:b/>
          <w:bCs/>
          <w:lang w:bidi="hi-IN"/>
        </w:rPr>
        <w:t>2018</w:t>
      </w:r>
      <w:r w:rsidRPr="00CC484F">
        <w:rPr>
          <w:lang w:bidi="hi-IN"/>
        </w:rPr>
        <w:t xml:space="preserve">, </w:t>
      </w:r>
      <w:r w:rsidRPr="00CC484F">
        <w:rPr>
          <w:i/>
          <w:iCs/>
          <w:lang w:bidi="hi-IN"/>
        </w:rPr>
        <w:t>14</w:t>
      </w:r>
      <w:r w:rsidRPr="00CC484F">
        <w:rPr>
          <w:lang w:bidi="hi-IN"/>
        </w:rPr>
        <w:t xml:space="preserve"> (7), 3397–3408. https://doi.org/10.1021/acs.jctc.7b01109</w:t>
      </w:r>
    </w:p>
    <w:p w14:paraId="4FB940AF" w14:textId="77777777" w:rsidR="00CC484F" w:rsidRPr="00CC484F" w:rsidRDefault="00CC484F" w:rsidP="00CC484F">
      <w:pPr>
        <w:pStyle w:val="Bibliography"/>
        <w:rPr>
          <w:lang w:bidi="hi-IN"/>
        </w:rPr>
      </w:pPr>
      <w:r w:rsidRPr="00CC484F">
        <w:rPr>
          <w:lang w:bidi="hi-IN"/>
        </w:rPr>
        <w:t>(68)</w:t>
      </w:r>
      <w:r w:rsidRPr="00CC484F">
        <w:rPr>
          <w:lang w:bidi="hi-IN"/>
        </w:rPr>
        <w:tab/>
      </w:r>
      <w:proofErr w:type="spellStart"/>
      <w:r w:rsidRPr="00CC484F">
        <w:rPr>
          <w:lang w:bidi="hi-IN"/>
        </w:rPr>
        <w:t>Bastys</w:t>
      </w:r>
      <w:proofErr w:type="spellEnd"/>
      <w:r w:rsidRPr="00CC484F">
        <w:rPr>
          <w:lang w:bidi="hi-IN"/>
        </w:rPr>
        <w:t xml:space="preserve">, T.; </w:t>
      </w:r>
      <w:proofErr w:type="spellStart"/>
      <w:r w:rsidRPr="00CC484F">
        <w:rPr>
          <w:lang w:bidi="hi-IN"/>
        </w:rPr>
        <w:t>Gapsys</w:t>
      </w:r>
      <w:proofErr w:type="spellEnd"/>
      <w:r w:rsidRPr="00CC484F">
        <w:rPr>
          <w:lang w:bidi="hi-IN"/>
        </w:rPr>
        <w:t xml:space="preserve">, V.; Walter, H.; Heger, E.; Doncheva, N. T.; Kaiser, R.; de Groot, B. L.; Kalinina, O. V. Non-Active Site Mutants of HIV-1 Protease Influence Resistance and </w:t>
      </w:r>
      <w:proofErr w:type="spellStart"/>
      <w:r w:rsidRPr="00CC484F">
        <w:rPr>
          <w:lang w:bidi="hi-IN"/>
        </w:rPr>
        <w:lastRenderedPageBreak/>
        <w:t>Sensitisation</w:t>
      </w:r>
      <w:proofErr w:type="spellEnd"/>
      <w:r w:rsidRPr="00CC484F">
        <w:rPr>
          <w:lang w:bidi="hi-IN"/>
        </w:rPr>
        <w:t xml:space="preserve"> towards Protease Inhibitors. </w:t>
      </w:r>
      <w:r w:rsidRPr="00CC484F">
        <w:rPr>
          <w:i/>
          <w:iCs/>
          <w:lang w:bidi="hi-IN"/>
        </w:rPr>
        <w:t>Retrovirology</w:t>
      </w:r>
      <w:r w:rsidRPr="00CC484F">
        <w:rPr>
          <w:lang w:bidi="hi-IN"/>
        </w:rPr>
        <w:t xml:space="preserve"> </w:t>
      </w:r>
      <w:r w:rsidRPr="00CC484F">
        <w:rPr>
          <w:b/>
          <w:bCs/>
          <w:lang w:bidi="hi-IN"/>
        </w:rPr>
        <w:t>2020</w:t>
      </w:r>
      <w:r w:rsidRPr="00CC484F">
        <w:rPr>
          <w:lang w:bidi="hi-IN"/>
        </w:rPr>
        <w:t xml:space="preserve">, </w:t>
      </w:r>
      <w:r w:rsidRPr="00CC484F">
        <w:rPr>
          <w:i/>
          <w:iCs/>
          <w:lang w:bidi="hi-IN"/>
        </w:rPr>
        <w:t>17</w:t>
      </w:r>
      <w:r w:rsidRPr="00CC484F">
        <w:rPr>
          <w:lang w:bidi="hi-IN"/>
        </w:rPr>
        <w:t xml:space="preserve"> (1), 13. https://doi.org/10.1186/s12977-020-00520-6</w:t>
      </w:r>
    </w:p>
    <w:p w14:paraId="10F3578A" w14:textId="77777777" w:rsidR="00CC484F" w:rsidRPr="00CC484F" w:rsidRDefault="00CC484F" w:rsidP="00CC484F">
      <w:pPr>
        <w:pStyle w:val="Bibliography"/>
        <w:rPr>
          <w:lang w:bidi="hi-IN"/>
        </w:rPr>
      </w:pPr>
      <w:r w:rsidRPr="00CC484F">
        <w:rPr>
          <w:lang w:bidi="hi-IN"/>
        </w:rPr>
        <w:t>(69)</w:t>
      </w:r>
      <w:r w:rsidRPr="00CC484F">
        <w:rPr>
          <w:lang w:bidi="hi-IN"/>
        </w:rPr>
        <w:tab/>
        <w:t xml:space="preserve">Sun, Q.; Levy, R. M.; Kirby, K. A.; Wang, Z.; </w:t>
      </w:r>
      <w:proofErr w:type="spellStart"/>
      <w:r w:rsidRPr="00CC484F">
        <w:rPr>
          <w:lang w:bidi="hi-IN"/>
        </w:rPr>
        <w:t>Sarafianos</w:t>
      </w:r>
      <w:proofErr w:type="spellEnd"/>
      <w:r w:rsidRPr="00CC484F">
        <w:rPr>
          <w:lang w:bidi="hi-IN"/>
        </w:rPr>
        <w:t xml:space="preserve">, S. G.; Deng, N. Molecular Dynamics Free Energy Simulations Reveal the Mechanism for the Antiviral Resistance of the M66I HIV-1 Capsid Mutation. </w:t>
      </w:r>
      <w:r w:rsidRPr="00CC484F">
        <w:rPr>
          <w:i/>
          <w:iCs/>
          <w:lang w:bidi="hi-IN"/>
        </w:rPr>
        <w:t>Viruses</w:t>
      </w:r>
      <w:r w:rsidRPr="00CC484F">
        <w:rPr>
          <w:lang w:bidi="hi-IN"/>
        </w:rPr>
        <w:t xml:space="preserve"> </w:t>
      </w:r>
      <w:r w:rsidRPr="00CC484F">
        <w:rPr>
          <w:b/>
          <w:bCs/>
          <w:lang w:bidi="hi-IN"/>
        </w:rPr>
        <w:t>2021</w:t>
      </w:r>
      <w:r w:rsidRPr="00CC484F">
        <w:rPr>
          <w:lang w:bidi="hi-IN"/>
        </w:rPr>
        <w:t xml:space="preserve">, </w:t>
      </w:r>
      <w:r w:rsidRPr="00CC484F">
        <w:rPr>
          <w:i/>
          <w:iCs/>
          <w:lang w:bidi="hi-IN"/>
        </w:rPr>
        <w:t>13</w:t>
      </w:r>
      <w:r w:rsidRPr="00CC484F">
        <w:rPr>
          <w:lang w:bidi="hi-IN"/>
        </w:rPr>
        <w:t xml:space="preserve"> (5), 920. https://doi.org/10.3390/v13050920</w:t>
      </w:r>
    </w:p>
    <w:p w14:paraId="6271F411" w14:textId="77777777" w:rsidR="00CC484F" w:rsidRPr="00CC484F" w:rsidRDefault="00CC484F" w:rsidP="00CC484F">
      <w:pPr>
        <w:pStyle w:val="Bibliography"/>
        <w:rPr>
          <w:lang w:bidi="hi-IN"/>
        </w:rPr>
      </w:pPr>
      <w:r w:rsidRPr="00CC484F">
        <w:rPr>
          <w:lang w:bidi="hi-IN"/>
        </w:rPr>
        <w:t>(70)</w:t>
      </w:r>
      <w:r w:rsidRPr="00CC484F">
        <w:rPr>
          <w:lang w:bidi="hi-IN"/>
        </w:rPr>
        <w:tab/>
        <w:t xml:space="preserve">Li, M.; Oliveira Passos, D.; Shan, Z.; Smith, S. J.; Sun, Q.; Biswas, A.; Choudhuri, I.; </w:t>
      </w:r>
      <w:proofErr w:type="spellStart"/>
      <w:r w:rsidRPr="00CC484F">
        <w:rPr>
          <w:lang w:bidi="hi-IN"/>
        </w:rPr>
        <w:t>Strutzenberg</w:t>
      </w:r>
      <w:proofErr w:type="spellEnd"/>
      <w:r w:rsidRPr="00CC484F">
        <w:rPr>
          <w:lang w:bidi="hi-IN"/>
        </w:rPr>
        <w:t xml:space="preserve">, T. S.; Haldane, A.; Deng, N.; Li, Z.; Zhao, X. Z.; Briganti, L.; Kvaratskhelia, M.; Burke, T. R.; Levy, R. M.; Hughes, S. H.; Craigie, R.; </w:t>
      </w:r>
      <w:proofErr w:type="spellStart"/>
      <w:r w:rsidRPr="00CC484F">
        <w:rPr>
          <w:lang w:bidi="hi-IN"/>
        </w:rPr>
        <w:t>Lyumkis</w:t>
      </w:r>
      <w:proofErr w:type="spellEnd"/>
      <w:r w:rsidRPr="00CC484F">
        <w:rPr>
          <w:lang w:bidi="hi-IN"/>
        </w:rPr>
        <w:t xml:space="preserve">, D. Mechanisms of HIV-1 Integrase Resistance to Dolutegravir and Potent Inhibition of Drug-Resistant Variants. </w:t>
      </w:r>
      <w:r w:rsidRPr="00CC484F">
        <w:rPr>
          <w:i/>
          <w:iCs/>
          <w:lang w:bidi="hi-IN"/>
        </w:rPr>
        <w:t>Science Advances</w:t>
      </w:r>
      <w:r w:rsidRPr="00CC484F">
        <w:rPr>
          <w:lang w:bidi="hi-IN"/>
        </w:rPr>
        <w:t xml:space="preserve"> </w:t>
      </w:r>
      <w:r w:rsidRPr="00CC484F">
        <w:rPr>
          <w:b/>
          <w:bCs/>
          <w:lang w:bidi="hi-IN"/>
        </w:rPr>
        <w:t>2023</w:t>
      </w:r>
      <w:r w:rsidRPr="00CC484F">
        <w:rPr>
          <w:lang w:bidi="hi-IN"/>
        </w:rPr>
        <w:t xml:space="preserve">, </w:t>
      </w:r>
      <w:r w:rsidRPr="00CC484F">
        <w:rPr>
          <w:i/>
          <w:iCs/>
          <w:lang w:bidi="hi-IN"/>
        </w:rPr>
        <w:t>9</w:t>
      </w:r>
      <w:r w:rsidRPr="00CC484F">
        <w:rPr>
          <w:lang w:bidi="hi-IN"/>
        </w:rPr>
        <w:t xml:space="preserve"> (29), eadg5953. https://doi.org/10.1126/sciadv.adg5953</w:t>
      </w:r>
    </w:p>
    <w:p w14:paraId="48AD0D16" w14:textId="77777777" w:rsidR="00CC484F" w:rsidRPr="00CC484F" w:rsidRDefault="00CC484F" w:rsidP="00CC484F">
      <w:pPr>
        <w:pStyle w:val="Bibliography"/>
        <w:rPr>
          <w:lang w:bidi="hi-IN"/>
        </w:rPr>
      </w:pPr>
      <w:r w:rsidRPr="00CC484F">
        <w:rPr>
          <w:lang w:bidi="hi-IN"/>
        </w:rPr>
        <w:t>(71)</w:t>
      </w:r>
      <w:r w:rsidRPr="00CC484F">
        <w:rPr>
          <w:lang w:bidi="hi-IN"/>
        </w:rPr>
        <w:tab/>
        <w:t xml:space="preserve">Hauser, K.; Negron, C.; Albanese, S. K.; Ray, S.; Steinbrecher, T.; Abel, R.; </w:t>
      </w:r>
      <w:proofErr w:type="spellStart"/>
      <w:r w:rsidRPr="00CC484F">
        <w:rPr>
          <w:lang w:bidi="hi-IN"/>
        </w:rPr>
        <w:t>Chodera</w:t>
      </w:r>
      <w:proofErr w:type="spellEnd"/>
      <w:r w:rsidRPr="00CC484F">
        <w:rPr>
          <w:lang w:bidi="hi-IN"/>
        </w:rPr>
        <w:t xml:space="preserve">, J. D.; Wang, L. Predicting Resistance of Clinical Abl Mutations to Targeted Kinase Inhibitors Using Alchemical Free-Energy Calculations. </w:t>
      </w:r>
      <w:r w:rsidRPr="00CC484F">
        <w:rPr>
          <w:i/>
          <w:iCs/>
          <w:lang w:bidi="hi-IN"/>
        </w:rPr>
        <w:t>Commun Biol</w:t>
      </w:r>
      <w:r w:rsidRPr="00CC484F">
        <w:rPr>
          <w:lang w:bidi="hi-IN"/>
        </w:rPr>
        <w:t xml:space="preserve"> </w:t>
      </w:r>
      <w:r w:rsidRPr="00CC484F">
        <w:rPr>
          <w:b/>
          <w:bCs/>
          <w:lang w:bidi="hi-IN"/>
        </w:rPr>
        <w:t>2018</w:t>
      </w:r>
      <w:r w:rsidRPr="00CC484F">
        <w:rPr>
          <w:lang w:bidi="hi-IN"/>
        </w:rPr>
        <w:t xml:space="preserve">, </w:t>
      </w:r>
      <w:r w:rsidRPr="00CC484F">
        <w:rPr>
          <w:i/>
          <w:iCs/>
          <w:lang w:bidi="hi-IN"/>
        </w:rPr>
        <w:t>1</w:t>
      </w:r>
      <w:r w:rsidRPr="00CC484F">
        <w:rPr>
          <w:lang w:bidi="hi-IN"/>
        </w:rPr>
        <w:t xml:space="preserve"> (1), 70. https://doi.org/10.1038/s42003-018-0075-x</w:t>
      </w:r>
    </w:p>
    <w:p w14:paraId="31DBE7D3" w14:textId="77777777" w:rsidR="00CC484F" w:rsidRPr="00CC484F" w:rsidRDefault="00CC484F" w:rsidP="00CC484F">
      <w:pPr>
        <w:pStyle w:val="Bibliography"/>
        <w:rPr>
          <w:lang w:bidi="hi-IN"/>
        </w:rPr>
      </w:pPr>
      <w:r w:rsidRPr="00CC484F">
        <w:rPr>
          <w:lang w:bidi="hi-IN"/>
        </w:rPr>
        <w:t>(72)</w:t>
      </w:r>
      <w:r w:rsidRPr="00CC484F">
        <w:rPr>
          <w:lang w:bidi="hi-IN"/>
        </w:rPr>
        <w:tab/>
        <w:t xml:space="preserve">Nagarajan, A.; Amberg-Johnson, K.; Paull, E.; Huang, K.; </w:t>
      </w:r>
      <w:proofErr w:type="spellStart"/>
      <w:r w:rsidRPr="00CC484F">
        <w:rPr>
          <w:lang w:bidi="hi-IN"/>
        </w:rPr>
        <w:t>Ghanakota</w:t>
      </w:r>
      <w:proofErr w:type="spellEnd"/>
      <w:r w:rsidRPr="00CC484F">
        <w:rPr>
          <w:lang w:bidi="hi-IN"/>
        </w:rPr>
        <w:t xml:space="preserve">, P.; </w:t>
      </w:r>
      <w:proofErr w:type="spellStart"/>
      <w:r w:rsidRPr="00CC484F">
        <w:rPr>
          <w:lang w:bidi="hi-IN"/>
        </w:rPr>
        <w:t>Chandrasinghe</w:t>
      </w:r>
      <w:proofErr w:type="spellEnd"/>
      <w:r w:rsidRPr="00CC484F">
        <w:rPr>
          <w:lang w:bidi="hi-IN"/>
        </w:rPr>
        <w:t xml:space="preserve">, A.; Chief Elk, J.; Sampson, J. M.; Wang, L.; Abel, R.; Albanese, S. K. Predicting Resistance to Small Molecule Kinase Inhibitors. </w:t>
      </w:r>
      <w:r w:rsidRPr="00CC484F">
        <w:rPr>
          <w:i/>
          <w:iCs/>
          <w:lang w:bidi="hi-IN"/>
        </w:rPr>
        <w:t>J. Chem. Inf. Model.</w:t>
      </w:r>
      <w:r w:rsidRPr="00CC484F">
        <w:rPr>
          <w:lang w:bidi="hi-IN"/>
        </w:rPr>
        <w:t xml:space="preserve"> </w:t>
      </w:r>
      <w:r w:rsidRPr="00CC484F">
        <w:rPr>
          <w:b/>
          <w:bCs/>
          <w:lang w:bidi="hi-IN"/>
        </w:rPr>
        <w:t>2025</w:t>
      </w:r>
      <w:r w:rsidRPr="00CC484F">
        <w:rPr>
          <w:lang w:bidi="hi-IN"/>
        </w:rPr>
        <w:t xml:space="preserve">, </w:t>
      </w:r>
      <w:r w:rsidRPr="00CC484F">
        <w:rPr>
          <w:i/>
          <w:iCs/>
          <w:lang w:bidi="hi-IN"/>
        </w:rPr>
        <w:t>65</w:t>
      </w:r>
      <w:r w:rsidRPr="00CC484F">
        <w:rPr>
          <w:lang w:bidi="hi-IN"/>
        </w:rPr>
        <w:t xml:space="preserve"> (5), 2543–2557. https://doi.org/10.1021/acs.jcim.4c02313</w:t>
      </w:r>
    </w:p>
    <w:p w14:paraId="5C595388" w14:textId="77777777" w:rsidR="00CC484F" w:rsidRPr="00CC484F" w:rsidRDefault="00CC484F" w:rsidP="00CC484F">
      <w:pPr>
        <w:pStyle w:val="Bibliography"/>
        <w:rPr>
          <w:lang w:bidi="hi-IN"/>
        </w:rPr>
      </w:pPr>
      <w:r w:rsidRPr="00CC484F">
        <w:rPr>
          <w:lang w:bidi="hi-IN"/>
        </w:rPr>
        <w:t>(73)</w:t>
      </w:r>
      <w:r w:rsidRPr="00CC484F">
        <w:rPr>
          <w:lang w:bidi="hi-IN"/>
        </w:rPr>
        <w:tab/>
        <w:t xml:space="preserve">Wang, L.; Wu, Y.; Deng, Y.; Kim, B.; Pierce, L.; Krilov, G.; </w:t>
      </w:r>
      <w:proofErr w:type="spellStart"/>
      <w:r w:rsidRPr="00CC484F">
        <w:rPr>
          <w:lang w:bidi="hi-IN"/>
        </w:rPr>
        <w:t>Lupyan</w:t>
      </w:r>
      <w:proofErr w:type="spellEnd"/>
      <w:r w:rsidRPr="00CC484F">
        <w:rPr>
          <w:lang w:bidi="hi-IN"/>
        </w:rPr>
        <w:t xml:space="preserve">, D.; Robinson, S.; Dahlgren, M. K.; Greenwood, J.; Romero, D. L.; Masse, C.; Knight, J. L.; Steinbrecher, T.; </w:t>
      </w:r>
      <w:proofErr w:type="spellStart"/>
      <w:r w:rsidRPr="00CC484F">
        <w:rPr>
          <w:lang w:bidi="hi-IN"/>
        </w:rPr>
        <w:t>Beuming</w:t>
      </w:r>
      <w:proofErr w:type="spellEnd"/>
      <w:r w:rsidRPr="00CC484F">
        <w:rPr>
          <w:lang w:bidi="hi-IN"/>
        </w:rPr>
        <w:t xml:space="preserve">, T.; Damm, W.; Harder, E.; Sherman, W.; Brewer, M.; Wester, R.; Murcko, M.; Frye, L.; Farid, R.; Lin, T.; Mobley, D. L.; Jorgensen, W. L.; Berne, B. J.; Friesner, R. A.; Abel, R. Accurate and Reliable Prediction of Relative Ligand Binding Potency in Prospective Drug Discovery by Way of a Modern Free-Energy Calculation Protocol and Force Field. </w:t>
      </w:r>
      <w:r w:rsidRPr="00CC484F">
        <w:rPr>
          <w:i/>
          <w:iCs/>
          <w:lang w:bidi="hi-IN"/>
        </w:rPr>
        <w:t>Journal American Chemical Society</w:t>
      </w:r>
      <w:r w:rsidRPr="00CC484F">
        <w:rPr>
          <w:lang w:bidi="hi-IN"/>
        </w:rPr>
        <w:t xml:space="preserve"> </w:t>
      </w:r>
      <w:r w:rsidRPr="00CC484F">
        <w:rPr>
          <w:b/>
          <w:bCs/>
          <w:lang w:bidi="hi-IN"/>
        </w:rPr>
        <w:t>2015</w:t>
      </w:r>
      <w:r w:rsidRPr="00CC484F">
        <w:rPr>
          <w:lang w:bidi="hi-IN"/>
        </w:rPr>
        <w:t xml:space="preserve">, </w:t>
      </w:r>
      <w:r w:rsidRPr="00CC484F">
        <w:rPr>
          <w:i/>
          <w:iCs/>
          <w:lang w:bidi="hi-IN"/>
        </w:rPr>
        <w:t>137</w:t>
      </w:r>
      <w:r w:rsidRPr="00CC484F">
        <w:rPr>
          <w:lang w:bidi="hi-IN"/>
        </w:rPr>
        <w:t xml:space="preserve"> (7), 2695–2703. https://doi.org/10.1021/ja512751q</w:t>
      </w:r>
    </w:p>
    <w:p w14:paraId="69E665FD" w14:textId="77777777" w:rsidR="00CC484F" w:rsidRPr="00CC484F" w:rsidRDefault="00CC484F" w:rsidP="00CC484F">
      <w:pPr>
        <w:pStyle w:val="Bibliography"/>
        <w:rPr>
          <w:lang w:bidi="hi-IN"/>
        </w:rPr>
      </w:pPr>
      <w:r w:rsidRPr="00CC484F">
        <w:rPr>
          <w:lang w:bidi="hi-IN"/>
        </w:rPr>
        <w:t>(74)</w:t>
      </w:r>
      <w:r w:rsidRPr="00CC484F">
        <w:rPr>
          <w:lang w:bidi="hi-IN"/>
        </w:rPr>
        <w:tab/>
        <w:t xml:space="preserve">Schindler, C. E. M.; Baumann, H.; Blum, A.; </w:t>
      </w:r>
      <w:proofErr w:type="spellStart"/>
      <w:r w:rsidRPr="00CC484F">
        <w:rPr>
          <w:lang w:bidi="hi-IN"/>
        </w:rPr>
        <w:t>Böse</w:t>
      </w:r>
      <w:proofErr w:type="spellEnd"/>
      <w:r w:rsidRPr="00CC484F">
        <w:rPr>
          <w:lang w:bidi="hi-IN"/>
        </w:rPr>
        <w:t xml:space="preserve">, D.; </w:t>
      </w:r>
      <w:proofErr w:type="spellStart"/>
      <w:r w:rsidRPr="00CC484F">
        <w:rPr>
          <w:lang w:bidi="hi-IN"/>
        </w:rPr>
        <w:t>Buchstaller</w:t>
      </w:r>
      <w:proofErr w:type="spellEnd"/>
      <w:r w:rsidRPr="00CC484F">
        <w:rPr>
          <w:lang w:bidi="hi-IN"/>
        </w:rPr>
        <w:t xml:space="preserve">, H.-P.; Burgdorf, L.; Cappel, D.; </w:t>
      </w:r>
      <w:proofErr w:type="spellStart"/>
      <w:r w:rsidRPr="00CC484F">
        <w:rPr>
          <w:lang w:bidi="hi-IN"/>
        </w:rPr>
        <w:t>Chekler</w:t>
      </w:r>
      <w:proofErr w:type="spellEnd"/>
      <w:r w:rsidRPr="00CC484F">
        <w:rPr>
          <w:lang w:bidi="hi-IN"/>
        </w:rPr>
        <w:t xml:space="preserve">, E.; </w:t>
      </w:r>
      <w:proofErr w:type="spellStart"/>
      <w:r w:rsidRPr="00CC484F">
        <w:rPr>
          <w:lang w:bidi="hi-IN"/>
        </w:rPr>
        <w:t>Czodrowski</w:t>
      </w:r>
      <w:proofErr w:type="spellEnd"/>
      <w:r w:rsidRPr="00CC484F">
        <w:rPr>
          <w:lang w:bidi="hi-IN"/>
        </w:rPr>
        <w:t xml:space="preserve">, P.; Dorsch, D.; </w:t>
      </w:r>
      <w:proofErr w:type="spellStart"/>
      <w:r w:rsidRPr="00CC484F">
        <w:rPr>
          <w:lang w:bidi="hi-IN"/>
        </w:rPr>
        <w:t>Eguida</w:t>
      </w:r>
      <w:proofErr w:type="spellEnd"/>
      <w:r w:rsidRPr="00CC484F">
        <w:rPr>
          <w:lang w:bidi="hi-IN"/>
        </w:rPr>
        <w:t xml:space="preserve">, M. K. I.; Follows, B.; </w:t>
      </w:r>
      <w:proofErr w:type="spellStart"/>
      <w:r w:rsidRPr="00CC484F">
        <w:rPr>
          <w:lang w:bidi="hi-IN"/>
        </w:rPr>
        <w:t>Fuchß</w:t>
      </w:r>
      <w:proofErr w:type="spellEnd"/>
      <w:r w:rsidRPr="00CC484F">
        <w:rPr>
          <w:lang w:bidi="hi-IN"/>
        </w:rPr>
        <w:t xml:space="preserve">, T.; </w:t>
      </w:r>
      <w:proofErr w:type="spellStart"/>
      <w:r w:rsidRPr="00CC484F">
        <w:rPr>
          <w:lang w:bidi="hi-IN"/>
        </w:rPr>
        <w:t>Grädler</w:t>
      </w:r>
      <w:proofErr w:type="spellEnd"/>
      <w:r w:rsidRPr="00CC484F">
        <w:rPr>
          <w:lang w:bidi="hi-IN"/>
        </w:rPr>
        <w:t xml:space="preserve">, U.; Gunera, J.; Johnson, T.; Jorand Lebrun, C.; Karra, S.; Klein, M.; Knehans, T.; </w:t>
      </w:r>
      <w:proofErr w:type="spellStart"/>
      <w:r w:rsidRPr="00CC484F">
        <w:rPr>
          <w:lang w:bidi="hi-IN"/>
        </w:rPr>
        <w:t>Koetzner</w:t>
      </w:r>
      <w:proofErr w:type="spellEnd"/>
      <w:r w:rsidRPr="00CC484F">
        <w:rPr>
          <w:lang w:bidi="hi-IN"/>
        </w:rPr>
        <w:t xml:space="preserve">, L.; Krier, M.; Leiendecker, M.; Leuthner, B.; Li, L.; </w:t>
      </w:r>
      <w:proofErr w:type="spellStart"/>
      <w:r w:rsidRPr="00CC484F">
        <w:rPr>
          <w:lang w:bidi="hi-IN"/>
        </w:rPr>
        <w:t>Mochalkin</w:t>
      </w:r>
      <w:proofErr w:type="spellEnd"/>
      <w:r w:rsidRPr="00CC484F">
        <w:rPr>
          <w:lang w:bidi="hi-IN"/>
        </w:rPr>
        <w:t xml:space="preserve">, I.; Musil, D.; Neagu, C.; Rippmann, F.; Schiemann, K.; Schulz, R.; Steinbrecher, T.; Tanzer, E.-M.; </w:t>
      </w:r>
      <w:proofErr w:type="spellStart"/>
      <w:r w:rsidRPr="00CC484F">
        <w:rPr>
          <w:lang w:bidi="hi-IN"/>
        </w:rPr>
        <w:t>Unzue</w:t>
      </w:r>
      <w:proofErr w:type="spellEnd"/>
      <w:r w:rsidRPr="00CC484F">
        <w:rPr>
          <w:lang w:bidi="hi-IN"/>
        </w:rPr>
        <w:t xml:space="preserve"> Lopez, A.; </w:t>
      </w:r>
      <w:proofErr w:type="spellStart"/>
      <w:r w:rsidRPr="00CC484F">
        <w:rPr>
          <w:lang w:bidi="hi-IN"/>
        </w:rPr>
        <w:t>Viacava</w:t>
      </w:r>
      <w:proofErr w:type="spellEnd"/>
      <w:r w:rsidRPr="00CC484F">
        <w:rPr>
          <w:lang w:bidi="hi-IN"/>
        </w:rPr>
        <w:t xml:space="preserve"> Follis, A.; Wegener, A.; Kuhn, D. Large-Scale Assessment of Binding Free Energy Calculations in Active Drug Discovery Projects. </w:t>
      </w:r>
      <w:r w:rsidRPr="00CC484F">
        <w:rPr>
          <w:i/>
          <w:iCs/>
          <w:lang w:bidi="hi-IN"/>
        </w:rPr>
        <w:t>J. Chem. Inf. Model.</w:t>
      </w:r>
      <w:r w:rsidRPr="00CC484F">
        <w:rPr>
          <w:lang w:bidi="hi-IN"/>
        </w:rPr>
        <w:t xml:space="preserve"> </w:t>
      </w:r>
      <w:r w:rsidRPr="00CC484F">
        <w:rPr>
          <w:b/>
          <w:bCs/>
          <w:lang w:bidi="hi-IN"/>
        </w:rPr>
        <w:t>2020</w:t>
      </w:r>
      <w:r w:rsidRPr="00CC484F">
        <w:rPr>
          <w:lang w:bidi="hi-IN"/>
        </w:rPr>
        <w:t xml:space="preserve">, </w:t>
      </w:r>
      <w:r w:rsidRPr="00CC484F">
        <w:rPr>
          <w:i/>
          <w:iCs/>
          <w:lang w:bidi="hi-IN"/>
        </w:rPr>
        <w:t>60</w:t>
      </w:r>
      <w:r w:rsidRPr="00CC484F">
        <w:rPr>
          <w:lang w:bidi="hi-IN"/>
        </w:rPr>
        <w:t xml:space="preserve"> (11), 5457–5474. https://doi.org/10.1021/acs.jcim.0c00900</w:t>
      </w:r>
    </w:p>
    <w:p w14:paraId="46E39618" w14:textId="77777777" w:rsidR="00CC484F" w:rsidRPr="00CC484F" w:rsidRDefault="00CC484F" w:rsidP="00CC484F">
      <w:pPr>
        <w:pStyle w:val="Bibliography"/>
        <w:rPr>
          <w:lang w:bidi="hi-IN"/>
        </w:rPr>
      </w:pPr>
      <w:r w:rsidRPr="00CC484F">
        <w:rPr>
          <w:lang w:bidi="hi-IN"/>
        </w:rPr>
        <w:t>(75)</w:t>
      </w:r>
      <w:r w:rsidRPr="00CC484F">
        <w:rPr>
          <w:lang w:bidi="hi-IN"/>
        </w:rPr>
        <w:tab/>
        <w:t xml:space="preserve">Ren, J.; Stammers, D. K. Structural Basis for Drug Resistance Mechanisms for Non-Nucleoside Inhibitors of HIV Reverse Transcriptase. </w:t>
      </w:r>
      <w:r w:rsidRPr="00CC484F">
        <w:rPr>
          <w:i/>
          <w:iCs/>
          <w:lang w:bidi="hi-IN"/>
        </w:rPr>
        <w:t>Virus Research</w:t>
      </w:r>
      <w:r w:rsidRPr="00CC484F">
        <w:rPr>
          <w:lang w:bidi="hi-IN"/>
        </w:rPr>
        <w:t xml:space="preserve"> </w:t>
      </w:r>
      <w:r w:rsidRPr="00CC484F">
        <w:rPr>
          <w:b/>
          <w:bCs/>
          <w:lang w:bidi="hi-IN"/>
        </w:rPr>
        <w:t>2008</w:t>
      </w:r>
      <w:r w:rsidRPr="00CC484F">
        <w:rPr>
          <w:lang w:bidi="hi-IN"/>
        </w:rPr>
        <w:t xml:space="preserve">, </w:t>
      </w:r>
      <w:r w:rsidRPr="00CC484F">
        <w:rPr>
          <w:i/>
          <w:iCs/>
          <w:lang w:bidi="hi-IN"/>
        </w:rPr>
        <w:t>134</w:t>
      </w:r>
      <w:r w:rsidRPr="00CC484F">
        <w:rPr>
          <w:lang w:bidi="hi-IN"/>
        </w:rPr>
        <w:t xml:space="preserve"> (1), 157–170. https://doi.org/10.1016/j.virusres.2007.12.018</w:t>
      </w:r>
    </w:p>
    <w:p w14:paraId="2401E1E0" w14:textId="77777777" w:rsidR="00CC484F" w:rsidRPr="00CC484F" w:rsidRDefault="00CC484F" w:rsidP="00CC484F">
      <w:pPr>
        <w:pStyle w:val="Bibliography"/>
        <w:rPr>
          <w:lang w:bidi="hi-IN"/>
        </w:rPr>
      </w:pPr>
      <w:r w:rsidRPr="00CC484F">
        <w:rPr>
          <w:lang w:bidi="hi-IN"/>
        </w:rPr>
        <w:t>(76)</w:t>
      </w:r>
      <w:r w:rsidRPr="00CC484F">
        <w:rPr>
          <w:lang w:bidi="hi-IN"/>
        </w:rPr>
        <w:tab/>
        <w:t xml:space="preserve">Huang, W.; </w:t>
      </w:r>
      <w:proofErr w:type="spellStart"/>
      <w:r w:rsidRPr="00CC484F">
        <w:rPr>
          <w:lang w:bidi="hi-IN"/>
        </w:rPr>
        <w:t>Gamarnik</w:t>
      </w:r>
      <w:proofErr w:type="spellEnd"/>
      <w:r w:rsidRPr="00CC484F">
        <w:rPr>
          <w:lang w:bidi="hi-IN"/>
        </w:rPr>
        <w:t xml:space="preserve">, A.; Limoli, K.; Petropoulos, C. J.; Whitcomb, J. M. Amino Acid Substitutions at Position 190 of Human Immunodeficiency Virus Type 1 Reverse </w:t>
      </w:r>
      <w:r w:rsidRPr="00CC484F">
        <w:rPr>
          <w:lang w:bidi="hi-IN"/>
        </w:rPr>
        <w:lastRenderedPageBreak/>
        <w:t xml:space="preserve">Transcriptase Increase Susceptibility to Delavirdine and Impair Virus Replication. </w:t>
      </w:r>
      <w:r w:rsidRPr="00CC484F">
        <w:rPr>
          <w:i/>
          <w:iCs/>
          <w:lang w:bidi="hi-IN"/>
        </w:rPr>
        <w:t>Journal of Virology</w:t>
      </w:r>
      <w:r w:rsidRPr="00CC484F">
        <w:rPr>
          <w:lang w:bidi="hi-IN"/>
        </w:rPr>
        <w:t xml:space="preserve"> </w:t>
      </w:r>
      <w:r w:rsidRPr="00CC484F">
        <w:rPr>
          <w:b/>
          <w:bCs/>
          <w:lang w:bidi="hi-IN"/>
        </w:rPr>
        <w:t>2003</w:t>
      </w:r>
      <w:r w:rsidRPr="00CC484F">
        <w:rPr>
          <w:lang w:bidi="hi-IN"/>
        </w:rPr>
        <w:t xml:space="preserve">, </w:t>
      </w:r>
      <w:r w:rsidRPr="00CC484F">
        <w:rPr>
          <w:i/>
          <w:iCs/>
          <w:lang w:bidi="hi-IN"/>
        </w:rPr>
        <w:t>77</w:t>
      </w:r>
      <w:r w:rsidRPr="00CC484F">
        <w:rPr>
          <w:lang w:bidi="hi-IN"/>
        </w:rPr>
        <w:t xml:space="preserve"> (2), 1512–1523. https://doi.org/10.1128/jvi.77.2.1512-1523.2003</w:t>
      </w:r>
    </w:p>
    <w:p w14:paraId="774308F7" w14:textId="77777777" w:rsidR="00CC484F" w:rsidRPr="00CC484F" w:rsidRDefault="00CC484F" w:rsidP="00CC484F">
      <w:pPr>
        <w:pStyle w:val="Bibliography"/>
        <w:rPr>
          <w:lang w:bidi="hi-IN"/>
        </w:rPr>
      </w:pPr>
      <w:r w:rsidRPr="00CC484F">
        <w:rPr>
          <w:lang w:bidi="hi-IN"/>
        </w:rPr>
        <w:t>(77)</w:t>
      </w:r>
      <w:r w:rsidRPr="00CC484F">
        <w:rPr>
          <w:lang w:bidi="hi-IN"/>
        </w:rPr>
        <w:tab/>
        <w:t xml:space="preserve">Ren, J.; Nichols, C. E.; Chamberlain, P. P.; Weaver, K. L.; Short, S. A.; Stammers, D. K. Crystal Structures of HIV-1 Reverse </w:t>
      </w:r>
      <w:proofErr w:type="spellStart"/>
      <w:r w:rsidRPr="00CC484F">
        <w:rPr>
          <w:lang w:bidi="hi-IN"/>
        </w:rPr>
        <w:t>Transcriptases</w:t>
      </w:r>
      <w:proofErr w:type="spellEnd"/>
      <w:r w:rsidRPr="00CC484F">
        <w:rPr>
          <w:lang w:bidi="hi-IN"/>
        </w:rPr>
        <w:t xml:space="preserve"> Mutated at Codons 100, 106 and 108 and Mechanisms of Resistance to Non-Nucleoside Inhibitors. </w:t>
      </w:r>
      <w:r w:rsidRPr="00CC484F">
        <w:rPr>
          <w:i/>
          <w:iCs/>
          <w:lang w:bidi="hi-IN"/>
        </w:rPr>
        <w:t>Journal of Molecular Biology</w:t>
      </w:r>
      <w:r w:rsidRPr="00CC484F">
        <w:rPr>
          <w:lang w:bidi="hi-IN"/>
        </w:rPr>
        <w:t xml:space="preserve"> </w:t>
      </w:r>
      <w:r w:rsidRPr="00CC484F">
        <w:rPr>
          <w:b/>
          <w:bCs/>
          <w:lang w:bidi="hi-IN"/>
        </w:rPr>
        <w:t>2004</w:t>
      </w:r>
      <w:r w:rsidRPr="00CC484F">
        <w:rPr>
          <w:lang w:bidi="hi-IN"/>
        </w:rPr>
        <w:t xml:space="preserve">, </w:t>
      </w:r>
      <w:r w:rsidRPr="00CC484F">
        <w:rPr>
          <w:i/>
          <w:iCs/>
          <w:lang w:bidi="hi-IN"/>
        </w:rPr>
        <w:t>336</w:t>
      </w:r>
      <w:r w:rsidRPr="00CC484F">
        <w:rPr>
          <w:lang w:bidi="hi-IN"/>
        </w:rPr>
        <w:t xml:space="preserve"> (3), 569–578. https://doi.org/10.1016/j.jmb.2003.12.055</w:t>
      </w:r>
    </w:p>
    <w:p w14:paraId="61BBED94" w14:textId="77777777" w:rsidR="00CC484F" w:rsidRPr="00CC484F" w:rsidRDefault="00CC484F" w:rsidP="00CC484F">
      <w:pPr>
        <w:pStyle w:val="Bibliography"/>
        <w:rPr>
          <w:lang w:bidi="hi-IN"/>
        </w:rPr>
      </w:pPr>
      <w:r w:rsidRPr="00CC484F">
        <w:rPr>
          <w:lang w:bidi="hi-IN"/>
        </w:rPr>
        <w:t>(78)</w:t>
      </w:r>
      <w:r w:rsidRPr="00CC484F">
        <w:rPr>
          <w:lang w:bidi="hi-IN"/>
        </w:rPr>
        <w:tab/>
        <w:t xml:space="preserve">Reddy, N.; </w:t>
      </w:r>
      <w:proofErr w:type="spellStart"/>
      <w:r w:rsidRPr="00CC484F">
        <w:rPr>
          <w:lang w:bidi="hi-IN"/>
        </w:rPr>
        <w:t>Papathanasopoulos</w:t>
      </w:r>
      <w:proofErr w:type="spellEnd"/>
      <w:r w:rsidRPr="00CC484F">
        <w:rPr>
          <w:lang w:bidi="hi-IN"/>
        </w:rPr>
        <w:t xml:space="preserve">, M.; </w:t>
      </w:r>
      <w:proofErr w:type="spellStart"/>
      <w:r w:rsidRPr="00CC484F">
        <w:rPr>
          <w:lang w:bidi="hi-IN"/>
        </w:rPr>
        <w:t>Steegen</w:t>
      </w:r>
      <w:proofErr w:type="spellEnd"/>
      <w:r w:rsidRPr="00CC484F">
        <w:rPr>
          <w:lang w:bidi="hi-IN"/>
        </w:rPr>
        <w:t xml:space="preserve">, K.; Basson, A. E. K103N, V106M and Y188L Significantly Reduce HIV-1 Subtype C Phenotypic Susceptibility to Doravirine. </w:t>
      </w:r>
      <w:r w:rsidRPr="00CC484F">
        <w:rPr>
          <w:i/>
          <w:iCs/>
          <w:lang w:bidi="hi-IN"/>
        </w:rPr>
        <w:t>Viruses</w:t>
      </w:r>
      <w:r w:rsidRPr="00CC484F">
        <w:rPr>
          <w:lang w:bidi="hi-IN"/>
        </w:rPr>
        <w:t xml:space="preserve"> </w:t>
      </w:r>
      <w:r w:rsidRPr="00CC484F">
        <w:rPr>
          <w:b/>
          <w:bCs/>
          <w:lang w:bidi="hi-IN"/>
        </w:rPr>
        <w:t>2024</w:t>
      </w:r>
      <w:r w:rsidRPr="00CC484F">
        <w:rPr>
          <w:lang w:bidi="hi-IN"/>
        </w:rPr>
        <w:t xml:space="preserve">, </w:t>
      </w:r>
      <w:r w:rsidRPr="00CC484F">
        <w:rPr>
          <w:i/>
          <w:iCs/>
          <w:lang w:bidi="hi-IN"/>
        </w:rPr>
        <w:t>16</w:t>
      </w:r>
      <w:r w:rsidRPr="00CC484F">
        <w:rPr>
          <w:lang w:bidi="hi-IN"/>
        </w:rPr>
        <w:t xml:space="preserve"> (9), 1493. https://doi.org/10.3390/v16091493</w:t>
      </w:r>
    </w:p>
    <w:p w14:paraId="01963EBB" w14:textId="77777777" w:rsidR="00CC484F" w:rsidRPr="00CC484F" w:rsidRDefault="00CC484F" w:rsidP="00CC484F">
      <w:pPr>
        <w:pStyle w:val="Bibliography"/>
        <w:rPr>
          <w:lang w:bidi="hi-IN"/>
        </w:rPr>
      </w:pPr>
      <w:r w:rsidRPr="00CC484F">
        <w:rPr>
          <w:lang w:bidi="hi-IN"/>
        </w:rPr>
        <w:t>(79)</w:t>
      </w:r>
      <w:r w:rsidRPr="00CC484F">
        <w:rPr>
          <w:lang w:bidi="hi-IN"/>
        </w:rPr>
        <w:tab/>
        <w:t xml:space="preserve">Ghosh, M.; Jacques, P. S.; Rodgers, D. W.; Ottman, M.; </w:t>
      </w:r>
      <w:proofErr w:type="spellStart"/>
      <w:r w:rsidRPr="00CC484F">
        <w:rPr>
          <w:lang w:bidi="hi-IN"/>
        </w:rPr>
        <w:t>Darlix</w:t>
      </w:r>
      <w:proofErr w:type="spellEnd"/>
      <w:r w:rsidRPr="00CC484F">
        <w:rPr>
          <w:lang w:bidi="hi-IN"/>
        </w:rPr>
        <w:t xml:space="preserve">, J.-L.; Le Grice, S. F. J. Alterations to the Primer Grip of P66 HIV-1 Reverse Transcriptase and Their Consequences for Template-Primer Utilization. </w:t>
      </w:r>
      <w:r w:rsidRPr="00CC484F">
        <w:rPr>
          <w:i/>
          <w:iCs/>
          <w:lang w:bidi="hi-IN"/>
        </w:rPr>
        <w:t>Biochemistry</w:t>
      </w:r>
      <w:r w:rsidRPr="00CC484F">
        <w:rPr>
          <w:lang w:bidi="hi-IN"/>
        </w:rPr>
        <w:t xml:space="preserve"> </w:t>
      </w:r>
      <w:r w:rsidRPr="00CC484F">
        <w:rPr>
          <w:b/>
          <w:bCs/>
          <w:lang w:bidi="hi-IN"/>
        </w:rPr>
        <w:t>1996</w:t>
      </w:r>
      <w:r w:rsidRPr="00CC484F">
        <w:rPr>
          <w:lang w:bidi="hi-IN"/>
        </w:rPr>
        <w:t xml:space="preserve">, </w:t>
      </w:r>
      <w:r w:rsidRPr="00CC484F">
        <w:rPr>
          <w:i/>
          <w:iCs/>
          <w:lang w:bidi="hi-IN"/>
        </w:rPr>
        <w:t>35</w:t>
      </w:r>
      <w:r w:rsidRPr="00CC484F">
        <w:rPr>
          <w:lang w:bidi="hi-IN"/>
        </w:rPr>
        <w:t xml:space="preserve"> (26), 8553–8562. https://doi.org/10.1021/bi952773j</w:t>
      </w:r>
    </w:p>
    <w:p w14:paraId="7BF137FD" w14:textId="77777777" w:rsidR="00CC484F" w:rsidRPr="00CC484F" w:rsidRDefault="00CC484F" w:rsidP="00CC484F">
      <w:pPr>
        <w:pStyle w:val="Bibliography"/>
        <w:rPr>
          <w:lang w:bidi="hi-IN"/>
        </w:rPr>
      </w:pPr>
      <w:r w:rsidRPr="00CC484F">
        <w:rPr>
          <w:lang w:bidi="hi-IN"/>
        </w:rPr>
        <w:t>(80)</w:t>
      </w:r>
      <w:r w:rsidRPr="00CC484F">
        <w:rPr>
          <w:lang w:bidi="hi-IN"/>
        </w:rPr>
        <w:tab/>
        <w:t xml:space="preserve">Xu, H.-T.; Quan, Y.; Schader, S. M.; Oliveira, M.; Bar-Magen, T.; Wainberg, M. A. The M230L Nonnucleoside Reverse Transcriptase Inhibitor Resistance Mutation in HIV-1 Reverse Transcriptase Impairs Enzymatic Function and Viral Replicative Capacity. </w:t>
      </w:r>
      <w:r w:rsidRPr="00CC484F">
        <w:rPr>
          <w:i/>
          <w:iCs/>
          <w:lang w:bidi="hi-IN"/>
        </w:rPr>
        <w:t>Antimicrobial Agents and Chemotherapy</w:t>
      </w:r>
      <w:r w:rsidRPr="00CC484F">
        <w:rPr>
          <w:lang w:bidi="hi-IN"/>
        </w:rPr>
        <w:t xml:space="preserve"> </w:t>
      </w:r>
      <w:r w:rsidRPr="00CC484F">
        <w:rPr>
          <w:b/>
          <w:bCs/>
          <w:lang w:bidi="hi-IN"/>
        </w:rPr>
        <w:t>2010</w:t>
      </w:r>
      <w:r w:rsidRPr="00CC484F">
        <w:rPr>
          <w:lang w:bidi="hi-IN"/>
        </w:rPr>
        <w:t xml:space="preserve">, </w:t>
      </w:r>
      <w:r w:rsidRPr="00CC484F">
        <w:rPr>
          <w:i/>
          <w:iCs/>
          <w:lang w:bidi="hi-IN"/>
        </w:rPr>
        <w:t>54</w:t>
      </w:r>
      <w:r w:rsidRPr="00CC484F">
        <w:rPr>
          <w:lang w:bidi="hi-IN"/>
        </w:rPr>
        <w:t xml:space="preserve"> (6), 2401–2408. https://doi.org/10.1128/aac.01795-09</w:t>
      </w:r>
    </w:p>
    <w:p w14:paraId="6FFDDD9E" w14:textId="77777777" w:rsidR="00CC484F" w:rsidRPr="00CC484F" w:rsidRDefault="00CC484F" w:rsidP="00CC484F">
      <w:pPr>
        <w:pStyle w:val="Bibliography"/>
        <w:rPr>
          <w:lang w:bidi="hi-IN"/>
        </w:rPr>
      </w:pPr>
      <w:r w:rsidRPr="00CC484F">
        <w:rPr>
          <w:lang w:bidi="hi-IN"/>
        </w:rPr>
        <w:t>(81)</w:t>
      </w:r>
      <w:r w:rsidRPr="00CC484F">
        <w:rPr>
          <w:lang w:bidi="hi-IN"/>
        </w:rPr>
        <w:tab/>
        <w:t xml:space="preserve">van der Kamp, M. W.; Mulholland, A. J. Combined Quantum Mechanics/Molecular Mechanics (QM/MM) Methods in Computational Enzymology. </w:t>
      </w:r>
      <w:r w:rsidRPr="00CC484F">
        <w:rPr>
          <w:i/>
          <w:iCs/>
          <w:lang w:bidi="hi-IN"/>
        </w:rPr>
        <w:t>Biochemistry</w:t>
      </w:r>
      <w:r w:rsidRPr="00CC484F">
        <w:rPr>
          <w:lang w:bidi="hi-IN"/>
        </w:rPr>
        <w:t xml:space="preserve"> </w:t>
      </w:r>
      <w:r w:rsidRPr="00CC484F">
        <w:rPr>
          <w:b/>
          <w:bCs/>
          <w:lang w:bidi="hi-IN"/>
        </w:rPr>
        <w:t>2013</w:t>
      </w:r>
      <w:r w:rsidRPr="00CC484F">
        <w:rPr>
          <w:lang w:bidi="hi-IN"/>
        </w:rPr>
        <w:t xml:space="preserve">, </w:t>
      </w:r>
      <w:r w:rsidRPr="00CC484F">
        <w:rPr>
          <w:i/>
          <w:iCs/>
          <w:lang w:bidi="hi-IN"/>
        </w:rPr>
        <w:t>52</w:t>
      </w:r>
      <w:r w:rsidRPr="00CC484F">
        <w:rPr>
          <w:lang w:bidi="hi-IN"/>
        </w:rPr>
        <w:t xml:space="preserve"> (16), 2708–2728. https://doi.org/10.1021/bi400215w</w:t>
      </w:r>
    </w:p>
    <w:p w14:paraId="792BF39A" w14:textId="77777777" w:rsidR="00CC484F" w:rsidRPr="00CC484F" w:rsidRDefault="00CC484F" w:rsidP="00CC484F">
      <w:pPr>
        <w:pStyle w:val="Bibliography"/>
        <w:rPr>
          <w:lang w:bidi="hi-IN"/>
        </w:rPr>
      </w:pPr>
      <w:r w:rsidRPr="00CC484F">
        <w:rPr>
          <w:lang w:bidi="hi-IN"/>
        </w:rPr>
        <w:t>(82)</w:t>
      </w:r>
      <w:r w:rsidRPr="00CC484F">
        <w:rPr>
          <w:lang w:bidi="hi-IN"/>
        </w:rPr>
        <w:tab/>
        <w:t xml:space="preserve">Taguchi, M.; Oyama, R.; </w:t>
      </w:r>
      <w:proofErr w:type="spellStart"/>
      <w:r w:rsidRPr="00CC484F">
        <w:rPr>
          <w:lang w:bidi="hi-IN"/>
        </w:rPr>
        <w:t>Kaneso</w:t>
      </w:r>
      <w:proofErr w:type="spellEnd"/>
      <w:r w:rsidRPr="00CC484F">
        <w:rPr>
          <w:lang w:bidi="hi-IN"/>
        </w:rPr>
        <w:t xml:space="preserve">, M.; Hayashi, S. Hybrid QM/MM Free-Energy Evaluation of Drug-Resistant Mutational Effect on the Binding of an Inhibitor Indinavir to HIV‑1 Protease. </w:t>
      </w:r>
      <w:r w:rsidRPr="00CC484F">
        <w:rPr>
          <w:i/>
          <w:iCs/>
          <w:lang w:bidi="hi-IN"/>
        </w:rPr>
        <w:t>J. Chem. Inf. Model.</w:t>
      </w:r>
      <w:r w:rsidRPr="00CC484F">
        <w:rPr>
          <w:lang w:bidi="hi-IN"/>
        </w:rPr>
        <w:t xml:space="preserve"> </w:t>
      </w:r>
      <w:r w:rsidRPr="00CC484F">
        <w:rPr>
          <w:b/>
          <w:bCs/>
          <w:lang w:bidi="hi-IN"/>
        </w:rPr>
        <w:t>2022</w:t>
      </w:r>
      <w:r w:rsidRPr="00CC484F">
        <w:rPr>
          <w:lang w:bidi="hi-IN"/>
        </w:rPr>
        <w:t xml:space="preserve">, </w:t>
      </w:r>
      <w:r w:rsidRPr="00CC484F">
        <w:rPr>
          <w:i/>
          <w:iCs/>
          <w:lang w:bidi="hi-IN"/>
        </w:rPr>
        <w:t>62</w:t>
      </w:r>
      <w:r w:rsidRPr="00CC484F">
        <w:rPr>
          <w:lang w:bidi="hi-IN"/>
        </w:rPr>
        <w:t xml:space="preserve"> (5), 1328–1344. https://doi.org/10.1021/acs.jcim.1c01193</w:t>
      </w:r>
    </w:p>
    <w:p w14:paraId="262D48DE" w14:textId="77777777" w:rsidR="00CC484F" w:rsidRPr="00CC484F" w:rsidRDefault="00CC484F" w:rsidP="00CC484F">
      <w:pPr>
        <w:pStyle w:val="Bibliography"/>
        <w:rPr>
          <w:lang w:bidi="hi-IN"/>
        </w:rPr>
      </w:pPr>
      <w:r w:rsidRPr="00CC484F">
        <w:rPr>
          <w:lang w:bidi="hi-IN"/>
        </w:rPr>
        <w:t>(83)</w:t>
      </w:r>
      <w:r w:rsidRPr="00CC484F">
        <w:rPr>
          <w:lang w:bidi="hi-IN"/>
        </w:rPr>
        <w:tab/>
        <w:t xml:space="preserve">Plattner, N.; Noé, F. Protein Conformational Plasticity and Complex Ligand-Binding Kinetics Explored by Atomistic Simulations and Markov Models. </w:t>
      </w:r>
      <w:r w:rsidRPr="00CC484F">
        <w:rPr>
          <w:i/>
          <w:iCs/>
          <w:lang w:bidi="hi-IN"/>
        </w:rPr>
        <w:t>Nat Commun</w:t>
      </w:r>
      <w:r w:rsidRPr="00CC484F">
        <w:rPr>
          <w:lang w:bidi="hi-IN"/>
        </w:rPr>
        <w:t xml:space="preserve"> </w:t>
      </w:r>
      <w:r w:rsidRPr="00CC484F">
        <w:rPr>
          <w:b/>
          <w:bCs/>
          <w:lang w:bidi="hi-IN"/>
        </w:rPr>
        <w:t>2015</w:t>
      </w:r>
      <w:r w:rsidRPr="00CC484F">
        <w:rPr>
          <w:lang w:bidi="hi-IN"/>
        </w:rPr>
        <w:t xml:space="preserve">, </w:t>
      </w:r>
      <w:r w:rsidRPr="00CC484F">
        <w:rPr>
          <w:i/>
          <w:iCs/>
          <w:lang w:bidi="hi-IN"/>
        </w:rPr>
        <w:t>6</w:t>
      </w:r>
      <w:r w:rsidRPr="00CC484F">
        <w:rPr>
          <w:lang w:bidi="hi-IN"/>
        </w:rPr>
        <w:t xml:space="preserve"> (1), 7653. https://doi.org/10.1038/ncomms8653</w:t>
      </w:r>
    </w:p>
    <w:p w14:paraId="3251321C" w14:textId="77777777" w:rsidR="00CC484F" w:rsidRPr="00CC484F" w:rsidRDefault="00CC484F" w:rsidP="00CC484F">
      <w:pPr>
        <w:pStyle w:val="Bibliography"/>
        <w:rPr>
          <w:lang w:bidi="hi-IN"/>
        </w:rPr>
      </w:pPr>
      <w:r w:rsidRPr="00CC484F">
        <w:rPr>
          <w:lang w:bidi="hi-IN"/>
        </w:rPr>
        <w:t>(84)</w:t>
      </w:r>
      <w:r w:rsidRPr="00CC484F">
        <w:rPr>
          <w:lang w:bidi="hi-IN"/>
        </w:rPr>
        <w:tab/>
        <w:t xml:space="preserve">Tiwary, P.; Limongelli, V.; </w:t>
      </w:r>
      <w:proofErr w:type="spellStart"/>
      <w:r w:rsidRPr="00CC484F">
        <w:rPr>
          <w:lang w:bidi="hi-IN"/>
        </w:rPr>
        <w:t>Salvalaglio</w:t>
      </w:r>
      <w:proofErr w:type="spellEnd"/>
      <w:r w:rsidRPr="00CC484F">
        <w:rPr>
          <w:lang w:bidi="hi-IN"/>
        </w:rPr>
        <w:t xml:space="preserve">, M.; Parrinello, M. Kinetics of Protein–Ligand Unbinding: Predicting Pathways, Rates, and Rate-Limiting Steps. </w:t>
      </w:r>
      <w:r w:rsidRPr="00CC484F">
        <w:rPr>
          <w:i/>
          <w:iCs/>
          <w:lang w:bidi="hi-IN"/>
        </w:rPr>
        <w:t>Proceedings of the National Academy of Sciences</w:t>
      </w:r>
      <w:r w:rsidRPr="00CC484F">
        <w:rPr>
          <w:lang w:bidi="hi-IN"/>
        </w:rPr>
        <w:t xml:space="preserve"> </w:t>
      </w:r>
      <w:r w:rsidRPr="00CC484F">
        <w:rPr>
          <w:b/>
          <w:bCs/>
          <w:lang w:bidi="hi-IN"/>
        </w:rPr>
        <w:t>2015</w:t>
      </w:r>
      <w:r w:rsidRPr="00CC484F">
        <w:rPr>
          <w:lang w:bidi="hi-IN"/>
        </w:rPr>
        <w:t xml:space="preserve">, </w:t>
      </w:r>
      <w:r w:rsidRPr="00CC484F">
        <w:rPr>
          <w:i/>
          <w:iCs/>
          <w:lang w:bidi="hi-IN"/>
        </w:rPr>
        <w:t>112</w:t>
      </w:r>
      <w:r w:rsidRPr="00CC484F">
        <w:rPr>
          <w:lang w:bidi="hi-IN"/>
        </w:rPr>
        <w:t xml:space="preserve"> (5), E386–E391. https://doi.org/10.1073/pnas.1424461112</w:t>
      </w:r>
    </w:p>
    <w:p w14:paraId="6FFC1E42" w14:textId="77777777" w:rsidR="00CC484F" w:rsidRPr="00CC484F" w:rsidRDefault="00CC484F" w:rsidP="00CC484F">
      <w:pPr>
        <w:pStyle w:val="Bibliography"/>
        <w:rPr>
          <w:lang w:bidi="hi-IN"/>
        </w:rPr>
      </w:pPr>
      <w:r w:rsidRPr="00CC484F">
        <w:rPr>
          <w:lang w:bidi="hi-IN"/>
        </w:rPr>
        <w:t>(85)</w:t>
      </w:r>
      <w:r w:rsidRPr="00CC484F">
        <w:rPr>
          <w:lang w:bidi="hi-IN"/>
        </w:rPr>
        <w:tab/>
        <w:t xml:space="preserve">Jagger, B. R.; Ojha, A. A.; Amaro, R. E. Predicting Ligand Binding Kinetics Using a Markovian </w:t>
      </w:r>
      <w:proofErr w:type="spellStart"/>
      <w:r w:rsidRPr="00CC484F">
        <w:rPr>
          <w:lang w:bidi="hi-IN"/>
        </w:rPr>
        <w:t>Milestoning</w:t>
      </w:r>
      <w:proofErr w:type="spellEnd"/>
      <w:r w:rsidRPr="00CC484F">
        <w:rPr>
          <w:lang w:bidi="hi-IN"/>
        </w:rPr>
        <w:t xml:space="preserve"> with Voronoi Tessellations Multiscale Approach. </w:t>
      </w:r>
      <w:r w:rsidRPr="00CC484F">
        <w:rPr>
          <w:i/>
          <w:iCs/>
          <w:lang w:bidi="hi-IN"/>
        </w:rPr>
        <w:t xml:space="preserve">J. Chem. Theory </w:t>
      </w:r>
      <w:proofErr w:type="spellStart"/>
      <w:r w:rsidRPr="00CC484F">
        <w:rPr>
          <w:i/>
          <w:iCs/>
          <w:lang w:bidi="hi-IN"/>
        </w:rPr>
        <w:t>Comput</w:t>
      </w:r>
      <w:proofErr w:type="spellEnd"/>
      <w:r w:rsidRPr="00CC484F">
        <w:rPr>
          <w:i/>
          <w:iCs/>
          <w:lang w:bidi="hi-IN"/>
        </w:rPr>
        <w:t>.</w:t>
      </w:r>
      <w:r w:rsidRPr="00CC484F">
        <w:rPr>
          <w:lang w:bidi="hi-IN"/>
        </w:rPr>
        <w:t xml:space="preserve"> </w:t>
      </w:r>
      <w:r w:rsidRPr="00CC484F">
        <w:rPr>
          <w:b/>
          <w:bCs/>
          <w:lang w:bidi="hi-IN"/>
        </w:rPr>
        <w:t>2020</w:t>
      </w:r>
      <w:r w:rsidRPr="00CC484F">
        <w:rPr>
          <w:lang w:bidi="hi-IN"/>
        </w:rPr>
        <w:t xml:space="preserve">, </w:t>
      </w:r>
      <w:r w:rsidRPr="00CC484F">
        <w:rPr>
          <w:i/>
          <w:iCs/>
          <w:lang w:bidi="hi-IN"/>
        </w:rPr>
        <w:t>16</w:t>
      </w:r>
      <w:r w:rsidRPr="00CC484F">
        <w:rPr>
          <w:lang w:bidi="hi-IN"/>
        </w:rPr>
        <w:t xml:space="preserve"> (8), 5348–5357. https://doi.org/10.1021/acs.jctc.0c00495</w:t>
      </w:r>
    </w:p>
    <w:p w14:paraId="3621ABC2" w14:textId="77777777" w:rsidR="00CC484F" w:rsidRPr="00CC484F" w:rsidRDefault="00CC484F" w:rsidP="00CC484F">
      <w:pPr>
        <w:pStyle w:val="Bibliography"/>
        <w:rPr>
          <w:lang w:bidi="hi-IN"/>
        </w:rPr>
      </w:pPr>
      <w:r w:rsidRPr="00CC484F">
        <w:rPr>
          <w:lang w:bidi="hi-IN"/>
        </w:rPr>
        <w:t>(86)</w:t>
      </w:r>
      <w:r w:rsidRPr="00CC484F">
        <w:rPr>
          <w:lang w:bidi="hi-IN"/>
        </w:rPr>
        <w:tab/>
        <w:t xml:space="preserve">Corso, G.; </w:t>
      </w:r>
      <w:proofErr w:type="spellStart"/>
      <w:r w:rsidRPr="00CC484F">
        <w:rPr>
          <w:lang w:bidi="hi-IN"/>
        </w:rPr>
        <w:t>Stärk</w:t>
      </w:r>
      <w:proofErr w:type="spellEnd"/>
      <w:r w:rsidRPr="00CC484F">
        <w:rPr>
          <w:lang w:bidi="hi-IN"/>
        </w:rPr>
        <w:t xml:space="preserve">, H.; Jing, B.; Barzilay, R.; Jaakkola, T. </w:t>
      </w:r>
      <w:proofErr w:type="spellStart"/>
      <w:r w:rsidRPr="00CC484F">
        <w:rPr>
          <w:lang w:bidi="hi-IN"/>
        </w:rPr>
        <w:t>DiffDock</w:t>
      </w:r>
      <w:proofErr w:type="spellEnd"/>
      <w:r w:rsidRPr="00CC484F">
        <w:rPr>
          <w:lang w:bidi="hi-IN"/>
        </w:rPr>
        <w:t>: Diffusion Steps, Twists, and Turns for Molecular Docking. arXiv February 11, 2023. https://doi.org/10.48550/arXiv.2210.01776</w:t>
      </w:r>
    </w:p>
    <w:p w14:paraId="44C70CF7" w14:textId="77777777" w:rsidR="00CC484F" w:rsidRPr="00CC484F" w:rsidRDefault="00CC484F" w:rsidP="00CC484F">
      <w:pPr>
        <w:pStyle w:val="Bibliography"/>
        <w:rPr>
          <w:lang w:bidi="hi-IN"/>
        </w:rPr>
      </w:pPr>
      <w:r w:rsidRPr="00CC484F">
        <w:rPr>
          <w:lang w:bidi="hi-IN"/>
        </w:rPr>
        <w:lastRenderedPageBreak/>
        <w:t>(87)</w:t>
      </w:r>
      <w:r w:rsidRPr="00CC484F">
        <w:rPr>
          <w:lang w:bidi="hi-IN"/>
        </w:rPr>
        <w:tab/>
        <w:t xml:space="preserve">Wohlwend, J.; Corso, G.; Passaro, S.; Getz, N.; Reveiz, M.; Leidal, K.; Swiderski, W.; Atkinson, L.; </w:t>
      </w:r>
      <w:proofErr w:type="spellStart"/>
      <w:r w:rsidRPr="00CC484F">
        <w:rPr>
          <w:lang w:bidi="hi-IN"/>
        </w:rPr>
        <w:t>Portnoi</w:t>
      </w:r>
      <w:proofErr w:type="spellEnd"/>
      <w:r w:rsidRPr="00CC484F">
        <w:rPr>
          <w:lang w:bidi="hi-IN"/>
        </w:rPr>
        <w:t xml:space="preserve">, T.; Chinn, I.; </w:t>
      </w:r>
      <w:proofErr w:type="spellStart"/>
      <w:r w:rsidRPr="00CC484F">
        <w:rPr>
          <w:lang w:bidi="hi-IN"/>
        </w:rPr>
        <w:t>Silterra</w:t>
      </w:r>
      <w:proofErr w:type="spellEnd"/>
      <w:r w:rsidRPr="00CC484F">
        <w:rPr>
          <w:lang w:bidi="hi-IN"/>
        </w:rPr>
        <w:t>, J.; Jaakkola, T.; Barzilay, R. Boltz-1 Democratizing Biomolecular Interaction Modeling. bioRxiv May 6, 2025, p 2024.11.19.624167. https://doi.org/10.1101/2024.11.19.624167</w:t>
      </w:r>
    </w:p>
    <w:p w14:paraId="23493141" w14:textId="77777777" w:rsidR="00CC484F" w:rsidRPr="00CC484F" w:rsidRDefault="00CC484F" w:rsidP="00CC484F">
      <w:pPr>
        <w:pStyle w:val="Bibliography"/>
        <w:rPr>
          <w:lang w:bidi="hi-IN"/>
        </w:rPr>
      </w:pPr>
      <w:r w:rsidRPr="00CC484F">
        <w:rPr>
          <w:lang w:bidi="hi-IN"/>
        </w:rPr>
        <w:t>(88)</w:t>
      </w:r>
      <w:r w:rsidRPr="00CC484F">
        <w:rPr>
          <w:lang w:bidi="hi-IN"/>
        </w:rPr>
        <w:tab/>
        <w:t xml:space="preserve">Passaro, S.; Corso, G.; Wohlwend, J.; Reveiz, M.; Thaler, S.; Somnath, V. R.; Getz, N.; </w:t>
      </w:r>
      <w:proofErr w:type="spellStart"/>
      <w:r w:rsidRPr="00CC484F">
        <w:rPr>
          <w:lang w:bidi="hi-IN"/>
        </w:rPr>
        <w:t>Portnoi</w:t>
      </w:r>
      <w:proofErr w:type="spellEnd"/>
      <w:r w:rsidRPr="00CC484F">
        <w:rPr>
          <w:lang w:bidi="hi-IN"/>
        </w:rPr>
        <w:t xml:space="preserve">, T.; Roy, J.; Stark, H.; </w:t>
      </w:r>
      <w:proofErr w:type="spellStart"/>
      <w:r w:rsidRPr="00CC484F">
        <w:rPr>
          <w:lang w:bidi="hi-IN"/>
        </w:rPr>
        <w:t>Kwabi</w:t>
      </w:r>
      <w:proofErr w:type="spellEnd"/>
      <w:r w:rsidRPr="00CC484F">
        <w:rPr>
          <w:lang w:bidi="hi-IN"/>
        </w:rPr>
        <w:t xml:space="preserve">-Addo, D.; </w:t>
      </w:r>
      <w:proofErr w:type="spellStart"/>
      <w:r w:rsidRPr="00CC484F">
        <w:rPr>
          <w:lang w:bidi="hi-IN"/>
        </w:rPr>
        <w:t>Beaini</w:t>
      </w:r>
      <w:proofErr w:type="spellEnd"/>
      <w:r w:rsidRPr="00CC484F">
        <w:rPr>
          <w:lang w:bidi="hi-IN"/>
        </w:rPr>
        <w:t>, D.; Jaakkola, T.; Barzilay, R. Boltz-2: Towards Accurate and Efficient Binding Affinity Prediction. bioRxiv June 18, 2025, p 2025.06.14.659707. https://doi.org/10.1101/2025.06.14.659707</w:t>
      </w:r>
    </w:p>
    <w:p w14:paraId="2CB82654" w14:textId="49F35611" w:rsidR="00574C6E" w:rsidRPr="00E536AD" w:rsidRDefault="00574C6E" w:rsidP="00CC484F">
      <w:pPr>
        <w:pStyle w:val="Bibliography"/>
        <w:rPr>
          <w:rFonts w:ascii="Times New Roman" w:hAnsi="Times New Roman"/>
        </w:rPr>
      </w:pPr>
      <w:r>
        <w:rPr>
          <w:rFonts w:ascii="Times New Roman" w:hAnsi="Times New Roman"/>
        </w:rPr>
        <w:fldChar w:fldCharType="end"/>
      </w:r>
    </w:p>
    <w:p>
      <w:r>
        <w:br w:type="page"/>
      </w:r>
    </w:p>
    <w:p>
      <w:pPr>
        <w:spacing w:after="240"/>
      </w:pPr>
      <w:r>
        <w:rPr>
          <w:b/>
        </w:rPr>
        <w:t>TOC Graphic</w:t>
      </w:r>
    </w:p>
    <w:p>
      <w:r>
        <w:drawing>
          <wp:inline distT="0" distB="0" distL="0" distR="0">
            <wp:extent cx="2877318" cy="1150622"/>
            <wp:docPr id="1001" name="TOC Graphic"/>
            <a:graphic xmlns:a="http://schemas.openxmlformats.org/drawingml/2006/main">
              <a:graphicData uri="http://schemas.openxmlformats.org/drawingml/2006/picture">
                <pic:pic xmlns:pic="http://schemas.openxmlformats.org/drawingml/2006/picture">
                  <pic:nvPicPr>
                    <pic:cNvPr id="1001" name="TOC Graphic"/>
                    <pic:cNvPicPr/>
                  </pic:nvPicPr>
                  <pic:blipFill>
                    <a:blip r:embed="rId21"/>
                    <a:stretch>
                      <a:fillRect/>
                    </a:stretch>
                  </pic:blipFill>
                  <pic:spPr>
                    <a:xfrm>
                      <a:off x="0" y="0"/>
                      <a:ext cx="2877318" cy="1150622"/>
                    </a:xfrm>
                    <a:prstGeom prst="rect">
                      <a:avLst/>
                    </a:prstGeom>
                  </pic:spPr>
                </pic:pic>
              </a:graphicData>
            </a:graphic>
          </wp:inline>
        </w:drawing>
      </w:r>
    </w:p>
    <w:sectPr w:rsidR="00574C6E" w:rsidRPr="00E536AD" w:rsidSect="00453EE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2A3D1A" w14:textId="77777777" w:rsidR="00873958" w:rsidRDefault="00873958">
      <w:pPr>
        <w:spacing w:after="0"/>
      </w:pPr>
      <w:r>
        <w:separator/>
      </w:r>
    </w:p>
  </w:endnote>
  <w:endnote w:type="continuationSeparator" w:id="0">
    <w:p w14:paraId="57AE2893" w14:textId="77777777" w:rsidR="00873958" w:rsidRDefault="0087395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ew York">
    <w:altName w:val="Times New Roman"/>
    <w:panose1 w:val="020B0604020202020204"/>
    <w:charset w:val="00"/>
    <w:family w:val="roman"/>
    <w:pitch w:val="variable"/>
    <w:sig w:usb0="00000003" w:usb1="00000000" w:usb2="00000000" w:usb3="00000000" w:csb0="00000001" w:csb1="00000000"/>
  </w:font>
  <w:font w:name="Times">
    <w:altName w:val="Times New Roman"/>
    <w:panose1 w:val="00000500000000020000"/>
    <w:charset w:val="00"/>
    <w:family w:val="roman"/>
    <w:pitch w:val="default"/>
  </w:font>
  <w:font w:name="Aptos Display">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90B99F" w14:textId="77777777" w:rsidR="00B06285" w:rsidRDefault="00000000">
    <w:pPr>
      <w:framePr w:wrap="around" w:vAnchor="text" w:hAnchor="margin" w:xAlign="right" w:y="1"/>
    </w:pPr>
    <w:r>
      <w:fldChar w:fldCharType="begin"/>
    </w:r>
    <w:r>
      <w:instrText xml:space="preserve">PAGE  </w:instrText>
    </w:r>
    <w:r>
      <w:fldChar w:fldCharType="separate"/>
    </w:r>
    <w:r>
      <w:rPr>
        <w:noProof/>
      </w:rPr>
      <w:t>1</w:t>
    </w:r>
    <w:r>
      <w:fldChar w:fldCharType="end"/>
    </w:r>
  </w:p>
  <w:p w14:paraId="1B2DBDAA" w14:textId="77777777" w:rsidR="00B06285" w:rsidRDefault="00B06285">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733DB1" w14:textId="77777777" w:rsidR="00B06285" w:rsidRDefault="00000000">
    <w:pPr>
      <w:framePr w:wrap="around" w:vAnchor="text" w:hAnchor="margin" w:xAlign="right" w:y="1"/>
    </w:pPr>
    <w:r>
      <w:fldChar w:fldCharType="begin"/>
    </w:r>
    <w:r>
      <w:instrText xml:space="preserve">PAGE  </w:instrText>
    </w:r>
    <w:r>
      <w:fldChar w:fldCharType="separate"/>
    </w:r>
    <w:r>
      <w:rPr>
        <w:noProof/>
      </w:rPr>
      <w:t>1</w:t>
    </w:r>
    <w:r>
      <w:fldChar w:fldCharType="end"/>
    </w:r>
  </w:p>
  <w:p w14:paraId="5A1284A5" w14:textId="77777777" w:rsidR="00B06285" w:rsidRDefault="00B06285">
    <w:pP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29FEDE3" w14:textId="77777777" w:rsidR="00873958" w:rsidRDefault="00873958">
      <w:pPr>
        <w:spacing w:after="0"/>
      </w:pPr>
      <w:r>
        <w:separator/>
      </w:r>
    </w:p>
  </w:footnote>
  <w:footnote w:type="continuationSeparator" w:id="0">
    <w:p w14:paraId="01CBBD79" w14:textId="77777777" w:rsidR="00873958" w:rsidRDefault="0087395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C30582"/>
    <w:multiLevelType w:val="hybridMultilevel"/>
    <w:tmpl w:val="95B252F6"/>
    <w:lvl w:ilvl="0" w:tplc="76062C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610964"/>
    <w:multiLevelType w:val="hybridMultilevel"/>
    <w:tmpl w:val="98D6EA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2539C9"/>
    <w:multiLevelType w:val="hybridMultilevel"/>
    <w:tmpl w:val="779E4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2651900">
    <w:abstractNumId w:val="1"/>
  </w:num>
  <w:num w:numId="2" w16cid:durableId="667831632">
    <w:abstractNumId w:val="0"/>
  </w:num>
  <w:num w:numId="3" w16cid:durableId="88980417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042"/>
    <w:rsid w:val="00000A01"/>
    <w:rsid w:val="00001918"/>
    <w:rsid w:val="00004586"/>
    <w:rsid w:val="000062F9"/>
    <w:rsid w:val="000073C6"/>
    <w:rsid w:val="00007567"/>
    <w:rsid w:val="00013F0D"/>
    <w:rsid w:val="00015156"/>
    <w:rsid w:val="00016F5A"/>
    <w:rsid w:val="0003214C"/>
    <w:rsid w:val="00033DE3"/>
    <w:rsid w:val="00033E1F"/>
    <w:rsid w:val="00036BAB"/>
    <w:rsid w:val="000412F0"/>
    <w:rsid w:val="0004553D"/>
    <w:rsid w:val="00064EB6"/>
    <w:rsid w:val="00066AAD"/>
    <w:rsid w:val="0006771E"/>
    <w:rsid w:val="00070208"/>
    <w:rsid w:val="00070A30"/>
    <w:rsid w:val="000745F0"/>
    <w:rsid w:val="00076E99"/>
    <w:rsid w:val="00081E6C"/>
    <w:rsid w:val="0009591A"/>
    <w:rsid w:val="000A736E"/>
    <w:rsid w:val="000B5278"/>
    <w:rsid w:val="000C3A23"/>
    <w:rsid w:val="000C66C6"/>
    <w:rsid w:val="000D3DDA"/>
    <w:rsid w:val="000E15E2"/>
    <w:rsid w:val="000E2996"/>
    <w:rsid w:val="000E355B"/>
    <w:rsid w:val="000F1055"/>
    <w:rsid w:val="00100DCA"/>
    <w:rsid w:val="00106118"/>
    <w:rsid w:val="001147D0"/>
    <w:rsid w:val="00117E5F"/>
    <w:rsid w:val="001237D6"/>
    <w:rsid w:val="00123F70"/>
    <w:rsid w:val="001300E2"/>
    <w:rsid w:val="001343BB"/>
    <w:rsid w:val="00135F77"/>
    <w:rsid w:val="00140041"/>
    <w:rsid w:val="00144303"/>
    <w:rsid w:val="0014765A"/>
    <w:rsid w:val="001521FB"/>
    <w:rsid w:val="001546CB"/>
    <w:rsid w:val="00157C46"/>
    <w:rsid w:val="00163FDF"/>
    <w:rsid w:val="0016761B"/>
    <w:rsid w:val="001719C5"/>
    <w:rsid w:val="001860BC"/>
    <w:rsid w:val="00187A6C"/>
    <w:rsid w:val="0019129D"/>
    <w:rsid w:val="00193DFF"/>
    <w:rsid w:val="00194F83"/>
    <w:rsid w:val="00196B4F"/>
    <w:rsid w:val="00197B8C"/>
    <w:rsid w:val="001B09BA"/>
    <w:rsid w:val="001B24E1"/>
    <w:rsid w:val="001B25CB"/>
    <w:rsid w:val="001B77F2"/>
    <w:rsid w:val="001C4CE6"/>
    <w:rsid w:val="001D10DB"/>
    <w:rsid w:val="001D3A01"/>
    <w:rsid w:val="001D654C"/>
    <w:rsid w:val="001E2E93"/>
    <w:rsid w:val="001E53AD"/>
    <w:rsid w:val="001E680D"/>
    <w:rsid w:val="001F299F"/>
    <w:rsid w:val="001F36D1"/>
    <w:rsid w:val="001F4E5E"/>
    <w:rsid w:val="001F7244"/>
    <w:rsid w:val="001F77A7"/>
    <w:rsid w:val="00200876"/>
    <w:rsid w:val="00215CAD"/>
    <w:rsid w:val="0021675E"/>
    <w:rsid w:val="00217583"/>
    <w:rsid w:val="00225940"/>
    <w:rsid w:val="00225B6E"/>
    <w:rsid w:val="0022668E"/>
    <w:rsid w:val="00230627"/>
    <w:rsid w:val="00237C5E"/>
    <w:rsid w:val="00246DD1"/>
    <w:rsid w:val="00247D42"/>
    <w:rsid w:val="0025147D"/>
    <w:rsid w:val="002518F0"/>
    <w:rsid w:val="00265389"/>
    <w:rsid w:val="002812FE"/>
    <w:rsid w:val="00287B27"/>
    <w:rsid w:val="002975D3"/>
    <w:rsid w:val="002A0791"/>
    <w:rsid w:val="002A78E2"/>
    <w:rsid w:val="002C6515"/>
    <w:rsid w:val="002D750A"/>
    <w:rsid w:val="002E0084"/>
    <w:rsid w:val="002E15AE"/>
    <w:rsid w:val="002E2238"/>
    <w:rsid w:val="002E236A"/>
    <w:rsid w:val="002E37A4"/>
    <w:rsid w:val="002E7671"/>
    <w:rsid w:val="002F31FC"/>
    <w:rsid w:val="00301759"/>
    <w:rsid w:val="003020DF"/>
    <w:rsid w:val="00302907"/>
    <w:rsid w:val="00302D84"/>
    <w:rsid w:val="00304D03"/>
    <w:rsid w:val="00313780"/>
    <w:rsid w:val="00314165"/>
    <w:rsid w:val="00321CFE"/>
    <w:rsid w:val="00324C10"/>
    <w:rsid w:val="00326005"/>
    <w:rsid w:val="00327F04"/>
    <w:rsid w:val="00330C66"/>
    <w:rsid w:val="00331CE2"/>
    <w:rsid w:val="00334722"/>
    <w:rsid w:val="0033648A"/>
    <w:rsid w:val="00344178"/>
    <w:rsid w:val="00344758"/>
    <w:rsid w:val="003454C4"/>
    <w:rsid w:val="0035145B"/>
    <w:rsid w:val="00352872"/>
    <w:rsid w:val="0035326E"/>
    <w:rsid w:val="00362D9C"/>
    <w:rsid w:val="00366CE4"/>
    <w:rsid w:val="003705E0"/>
    <w:rsid w:val="00373312"/>
    <w:rsid w:val="00376843"/>
    <w:rsid w:val="003874B7"/>
    <w:rsid w:val="003960AE"/>
    <w:rsid w:val="003968DD"/>
    <w:rsid w:val="00397A6E"/>
    <w:rsid w:val="003A7743"/>
    <w:rsid w:val="003B38B0"/>
    <w:rsid w:val="003B6650"/>
    <w:rsid w:val="003B7680"/>
    <w:rsid w:val="003C0BB4"/>
    <w:rsid w:val="003C0FA8"/>
    <w:rsid w:val="003C2D4A"/>
    <w:rsid w:val="003C49AE"/>
    <w:rsid w:val="003C727B"/>
    <w:rsid w:val="003D2ABF"/>
    <w:rsid w:val="003D726F"/>
    <w:rsid w:val="003D77E2"/>
    <w:rsid w:val="003D7E51"/>
    <w:rsid w:val="003E5220"/>
    <w:rsid w:val="003E763A"/>
    <w:rsid w:val="003F5FB4"/>
    <w:rsid w:val="00405FCA"/>
    <w:rsid w:val="004100CF"/>
    <w:rsid w:val="004117E6"/>
    <w:rsid w:val="004215A8"/>
    <w:rsid w:val="0042160E"/>
    <w:rsid w:val="00421AC5"/>
    <w:rsid w:val="00423928"/>
    <w:rsid w:val="004240A7"/>
    <w:rsid w:val="00425F3D"/>
    <w:rsid w:val="004260F0"/>
    <w:rsid w:val="00426549"/>
    <w:rsid w:val="00426E05"/>
    <w:rsid w:val="00432031"/>
    <w:rsid w:val="00442D80"/>
    <w:rsid w:val="0045260D"/>
    <w:rsid w:val="00453EE8"/>
    <w:rsid w:val="004548EF"/>
    <w:rsid w:val="00456969"/>
    <w:rsid w:val="00462DD2"/>
    <w:rsid w:val="00463443"/>
    <w:rsid w:val="00464EAE"/>
    <w:rsid w:val="00465878"/>
    <w:rsid w:val="0047062D"/>
    <w:rsid w:val="00471006"/>
    <w:rsid w:val="00473C3A"/>
    <w:rsid w:val="004770A2"/>
    <w:rsid w:val="0048662B"/>
    <w:rsid w:val="004917E3"/>
    <w:rsid w:val="00492042"/>
    <w:rsid w:val="004947E0"/>
    <w:rsid w:val="004A1DC1"/>
    <w:rsid w:val="004A7E09"/>
    <w:rsid w:val="004B2222"/>
    <w:rsid w:val="004B4FAC"/>
    <w:rsid w:val="004C016C"/>
    <w:rsid w:val="004C6E01"/>
    <w:rsid w:val="004D143B"/>
    <w:rsid w:val="004D5C96"/>
    <w:rsid w:val="004D5DC7"/>
    <w:rsid w:val="004E7ED2"/>
    <w:rsid w:val="004F45F3"/>
    <w:rsid w:val="004F7526"/>
    <w:rsid w:val="005125AB"/>
    <w:rsid w:val="00514FFD"/>
    <w:rsid w:val="0052231D"/>
    <w:rsid w:val="00523326"/>
    <w:rsid w:val="005235FE"/>
    <w:rsid w:val="005301C6"/>
    <w:rsid w:val="00533D08"/>
    <w:rsid w:val="00541AF9"/>
    <w:rsid w:val="00543E8E"/>
    <w:rsid w:val="005573B2"/>
    <w:rsid w:val="00563353"/>
    <w:rsid w:val="00567977"/>
    <w:rsid w:val="0057006E"/>
    <w:rsid w:val="00571BFF"/>
    <w:rsid w:val="0057426D"/>
    <w:rsid w:val="00574C6E"/>
    <w:rsid w:val="00575673"/>
    <w:rsid w:val="00576335"/>
    <w:rsid w:val="00580E0E"/>
    <w:rsid w:val="005A7398"/>
    <w:rsid w:val="005B48AA"/>
    <w:rsid w:val="005C0473"/>
    <w:rsid w:val="005C601F"/>
    <w:rsid w:val="005E6E95"/>
    <w:rsid w:val="005F091D"/>
    <w:rsid w:val="005F2C5F"/>
    <w:rsid w:val="005F306B"/>
    <w:rsid w:val="005F4A15"/>
    <w:rsid w:val="005F6393"/>
    <w:rsid w:val="00620C60"/>
    <w:rsid w:val="00626B21"/>
    <w:rsid w:val="00627654"/>
    <w:rsid w:val="00653DBA"/>
    <w:rsid w:val="00672978"/>
    <w:rsid w:val="006746C7"/>
    <w:rsid w:val="00674E9E"/>
    <w:rsid w:val="0068456F"/>
    <w:rsid w:val="00685791"/>
    <w:rsid w:val="00692C1C"/>
    <w:rsid w:val="006979E2"/>
    <w:rsid w:val="006A3456"/>
    <w:rsid w:val="006A6D58"/>
    <w:rsid w:val="006C08B3"/>
    <w:rsid w:val="006D47C9"/>
    <w:rsid w:val="006E0AC1"/>
    <w:rsid w:val="006F0935"/>
    <w:rsid w:val="006F1E06"/>
    <w:rsid w:val="006F3E1E"/>
    <w:rsid w:val="006F4034"/>
    <w:rsid w:val="006F69F6"/>
    <w:rsid w:val="00702631"/>
    <w:rsid w:val="00703302"/>
    <w:rsid w:val="00707843"/>
    <w:rsid w:val="0071256A"/>
    <w:rsid w:val="00714A16"/>
    <w:rsid w:val="00714E97"/>
    <w:rsid w:val="0071570E"/>
    <w:rsid w:val="00715926"/>
    <w:rsid w:val="00717134"/>
    <w:rsid w:val="0072324A"/>
    <w:rsid w:val="00723994"/>
    <w:rsid w:val="00724519"/>
    <w:rsid w:val="00725DDC"/>
    <w:rsid w:val="007537B2"/>
    <w:rsid w:val="00762123"/>
    <w:rsid w:val="00763A32"/>
    <w:rsid w:val="00766EBA"/>
    <w:rsid w:val="007704C8"/>
    <w:rsid w:val="00771A40"/>
    <w:rsid w:val="00774011"/>
    <w:rsid w:val="00776188"/>
    <w:rsid w:val="0078186E"/>
    <w:rsid w:val="007842CF"/>
    <w:rsid w:val="00785447"/>
    <w:rsid w:val="007862BB"/>
    <w:rsid w:val="00793866"/>
    <w:rsid w:val="007A3377"/>
    <w:rsid w:val="007B5479"/>
    <w:rsid w:val="007C2168"/>
    <w:rsid w:val="007C27D8"/>
    <w:rsid w:val="007D7A4D"/>
    <w:rsid w:val="007E05DC"/>
    <w:rsid w:val="007E675C"/>
    <w:rsid w:val="00813297"/>
    <w:rsid w:val="00814616"/>
    <w:rsid w:val="00826D51"/>
    <w:rsid w:val="00831C83"/>
    <w:rsid w:val="008437F2"/>
    <w:rsid w:val="00850660"/>
    <w:rsid w:val="00851C44"/>
    <w:rsid w:val="00853313"/>
    <w:rsid w:val="00861E61"/>
    <w:rsid w:val="00864E5F"/>
    <w:rsid w:val="00873958"/>
    <w:rsid w:val="0087658B"/>
    <w:rsid w:val="00880E04"/>
    <w:rsid w:val="00883619"/>
    <w:rsid w:val="00891099"/>
    <w:rsid w:val="00892116"/>
    <w:rsid w:val="00896543"/>
    <w:rsid w:val="008A2546"/>
    <w:rsid w:val="008C65B1"/>
    <w:rsid w:val="008D0E12"/>
    <w:rsid w:val="008E233C"/>
    <w:rsid w:val="008F1E59"/>
    <w:rsid w:val="00904E1B"/>
    <w:rsid w:val="00905856"/>
    <w:rsid w:val="00926A6D"/>
    <w:rsid w:val="009300FA"/>
    <w:rsid w:val="009348F7"/>
    <w:rsid w:val="00942BD3"/>
    <w:rsid w:val="00943376"/>
    <w:rsid w:val="00947590"/>
    <w:rsid w:val="009520E1"/>
    <w:rsid w:val="0095348C"/>
    <w:rsid w:val="009566E9"/>
    <w:rsid w:val="00961AF3"/>
    <w:rsid w:val="0096563E"/>
    <w:rsid w:val="0096631D"/>
    <w:rsid w:val="00967450"/>
    <w:rsid w:val="0097465C"/>
    <w:rsid w:val="009839D6"/>
    <w:rsid w:val="0098564F"/>
    <w:rsid w:val="009866B9"/>
    <w:rsid w:val="00991496"/>
    <w:rsid w:val="009A5222"/>
    <w:rsid w:val="009B0D93"/>
    <w:rsid w:val="009B3683"/>
    <w:rsid w:val="009B3BD8"/>
    <w:rsid w:val="009B49B5"/>
    <w:rsid w:val="009B7FA4"/>
    <w:rsid w:val="009C0320"/>
    <w:rsid w:val="009C06DA"/>
    <w:rsid w:val="009C49C9"/>
    <w:rsid w:val="009C6103"/>
    <w:rsid w:val="009D217E"/>
    <w:rsid w:val="009D30A5"/>
    <w:rsid w:val="009D3750"/>
    <w:rsid w:val="009E0510"/>
    <w:rsid w:val="009E0886"/>
    <w:rsid w:val="009F023E"/>
    <w:rsid w:val="009F24E2"/>
    <w:rsid w:val="009F56D2"/>
    <w:rsid w:val="00A0129C"/>
    <w:rsid w:val="00A04CCA"/>
    <w:rsid w:val="00A06870"/>
    <w:rsid w:val="00A069E7"/>
    <w:rsid w:val="00A1713D"/>
    <w:rsid w:val="00A2074C"/>
    <w:rsid w:val="00A32E46"/>
    <w:rsid w:val="00A3640F"/>
    <w:rsid w:val="00A46C93"/>
    <w:rsid w:val="00A46EE4"/>
    <w:rsid w:val="00A50AC5"/>
    <w:rsid w:val="00A53223"/>
    <w:rsid w:val="00A563CB"/>
    <w:rsid w:val="00A56C40"/>
    <w:rsid w:val="00A57576"/>
    <w:rsid w:val="00A637D0"/>
    <w:rsid w:val="00A6598C"/>
    <w:rsid w:val="00A664AB"/>
    <w:rsid w:val="00A846A7"/>
    <w:rsid w:val="00A912FA"/>
    <w:rsid w:val="00A93803"/>
    <w:rsid w:val="00A9487C"/>
    <w:rsid w:val="00A94EC4"/>
    <w:rsid w:val="00AA012C"/>
    <w:rsid w:val="00AA4FF1"/>
    <w:rsid w:val="00AA714F"/>
    <w:rsid w:val="00AB074A"/>
    <w:rsid w:val="00AB26F7"/>
    <w:rsid w:val="00AB5EC2"/>
    <w:rsid w:val="00AB7FA8"/>
    <w:rsid w:val="00AC54E3"/>
    <w:rsid w:val="00AC6E17"/>
    <w:rsid w:val="00AD1C7A"/>
    <w:rsid w:val="00AD2272"/>
    <w:rsid w:val="00AD240E"/>
    <w:rsid w:val="00AD6259"/>
    <w:rsid w:val="00AE27CA"/>
    <w:rsid w:val="00AE6B31"/>
    <w:rsid w:val="00AE6D60"/>
    <w:rsid w:val="00AF24CC"/>
    <w:rsid w:val="00AF6CCF"/>
    <w:rsid w:val="00B013C1"/>
    <w:rsid w:val="00B014D1"/>
    <w:rsid w:val="00B06285"/>
    <w:rsid w:val="00B063D0"/>
    <w:rsid w:val="00B06E69"/>
    <w:rsid w:val="00B12D18"/>
    <w:rsid w:val="00B23065"/>
    <w:rsid w:val="00B24E1A"/>
    <w:rsid w:val="00B3052A"/>
    <w:rsid w:val="00B30677"/>
    <w:rsid w:val="00B41CD6"/>
    <w:rsid w:val="00B44150"/>
    <w:rsid w:val="00B463AA"/>
    <w:rsid w:val="00B474B5"/>
    <w:rsid w:val="00B50A90"/>
    <w:rsid w:val="00B62678"/>
    <w:rsid w:val="00B655DD"/>
    <w:rsid w:val="00B6721E"/>
    <w:rsid w:val="00B7597D"/>
    <w:rsid w:val="00B813C0"/>
    <w:rsid w:val="00B908AE"/>
    <w:rsid w:val="00B96F1D"/>
    <w:rsid w:val="00B97C82"/>
    <w:rsid w:val="00BA0839"/>
    <w:rsid w:val="00BB5622"/>
    <w:rsid w:val="00BC5209"/>
    <w:rsid w:val="00BD2F60"/>
    <w:rsid w:val="00BD698B"/>
    <w:rsid w:val="00BD7001"/>
    <w:rsid w:val="00BE1E8F"/>
    <w:rsid w:val="00BE71AB"/>
    <w:rsid w:val="00BF75E7"/>
    <w:rsid w:val="00C06CDC"/>
    <w:rsid w:val="00C102EB"/>
    <w:rsid w:val="00C12462"/>
    <w:rsid w:val="00C13FA8"/>
    <w:rsid w:val="00C22299"/>
    <w:rsid w:val="00C22477"/>
    <w:rsid w:val="00C24BD2"/>
    <w:rsid w:val="00C269F1"/>
    <w:rsid w:val="00C32B34"/>
    <w:rsid w:val="00C4237C"/>
    <w:rsid w:val="00C43B45"/>
    <w:rsid w:val="00C50969"/>
    <w:rsid w:val="00C55606"/>
    <w:rsid w:val="00C61111"/>
    <w:rsid w:val="00C62476"/>
    <w:rsid w:val="00C634FF"/>
    <w:rsid w:val="00C67814"/>
    <w:rsid w:val="00C707F9"/>
    <w:rsid w:val="00C85905"/>
    <w:rsid w:val="00C90EBA"/>
    <w:rsid w:val="00C96A03"/>
    <w:rsid w:val="00CA031B"/>
    <w:rsid w:val="00CB2F11"/>
    <w:rsid w:val="00CB56D2"/>
    <w:rsid w:val="00CC1B6D"/>
    <w:rsid w:val="00CC257C"/>
    <w:rsid w:val="00CC484F"/>
    <w:rsid w:val="00CC7B14"/>
    <w:rsid w:val="00CD7535"/>
    <w:rsid w:val="00CE58C7"/>
    <w:rsid w:val="00CF5C61"/>
    <w:rsid w:val="00CF6138"/>
    <w:rsid w:val="00D02691"/>
    <w:rsid w:val="00D05342"/>
    <w:rsid w:val="00D06532"/>
    <w:rsid w:val="00D10CD4"/>
    <w:rsid w:val="00D11E55"/>
    <w:rsid w:val="00D2294F"/>
    <w:rsid w:val="00D24828"/>
    <w:rsid w:val="00D318B6"/>
    <w:rsid w:val="00D36BA7"/>
    <w:rsid w:val="00D41EB9"/>
    <w:rsid w:val="00D42BB1"/>
    <w:rsid w:val="00D46490"/>
    <w:rsid w:val="00D51091"/>
    <w:rsid w:val="00D51C7F"/>
    <w:rsid w:val="00D53F77"/>
    <w:rsid w:val="00D56EF6"/>
    <w:rsid w:val="00D57381"/>
    <w:rsid w:val="00D606B2"/>
    <w:rsid w:val="00D620D9"/>
    <w:rsid w:val="00D8109B"/>
    <w:rsid w:val="00D81FD2"/>
    <w:rsid w:val="00D87AB8"/>
    <w:rsid w:val="00DA2A0D"/>
    <w:rsid w:val="00DA37A1"/>
    <w:rsid w:val="00DB01C0"/>
    <w:rsid w:val="00DB0CDA"/>
    <w:rsid w:val="00DB3B26"/>
    <w:rsid w:val="00DB78AA"/>
    <w:rsid w:val="00DD2D9A"/>
    <w:rsid w:val="00DD322A"/>
    <w:rsid w:val="00DD32C0"/>
    <w:rsid w:val="00DD46A7"/>
    <w:rsid w:val="00DD4749"/>
    <w:rsid w:val="00DD61CC"/>
    <w:rsid w:val="00DE017E"/>
    <w:rsid w:val="00DE20DB"/>
    <w:rsid w:val="00DE40F6"/>
    <w:rsid w:val="00DE712C"/>
    <w:rsid w:val="00DF48F2"/>
    <w:rsid w:val="00E00FF0"/>
    <w:rsid w:val="00E032F1"/>
    <w:rsid w:val="00E1003A"/>
    <w:rsid w:val="00E10159"/>
    <w:rsid w:val="00E13BDF"/>
    <w:rsid w:val="00E15296"/>
    <w:rsid w:val="00E23674"/>
    <w:rsid w:val="00E366D3"/>
    <w:rsid w:val="00E43222"/>
    <w:rsid w:val="00E43C85"/>
    <w:rsid w:val="00E4529D"/>
    <w:rsid w:val="00E457A6"/>
    <w:rsid w:val="00E4582F"/>
    <w:rsid w:val="00E4780F"/>
    <w:rsid w:val="00E47C8F"/>
    <w:rsid w:val="00E50017"/>
    <w:rsid w:val="00E52188"/>
    <w:rsid w:val="00E53425"/>
    <w:rsid w:val="00E536AD"/>
    <w:rsid w:val="00E53FAE"/>
    <w:rsid w:val="00E604E3"/>
    <w:rsid w:val="00E62ECA"/>
    <w:rsid w:val="00E67D42"/>
    <w:rsid w:val="00E75C39"/>
    <w:rsid w:val="00E810AA"/>
    <w:rsid w:val="00E91D48"/>
    <w:rsid w:val="00E9450E"/>
    <w:rsid w:val="00EA289C"/>
    <w:rsid w:val="00EA4858"/>
    <w:rsid w:val="00EB0FE1"/>
    <w:rsid w:val="00EC2F68"/>
    <w:rsid w:val="00ED0F0A"/>
    <w:rsid w:val="00ED1E0E"/>
    <w:rsid w:val="00ED437F"/>
    <w:rsid w:val="00ED7148"/>
    <w:rsid w:val="00ED76C0"/>
    <w:rsid w:val="00EF096D"/>
    <w:rsid w:val="00EF12BD"/>
    <w:rsid w:val="00EF2779"/>
    <w:rsid w:val="00F00BDC"/>
    <w:rsid w:val="00F06FDE"/>
    <w:rsid w:val="00F13844"/>
    <w:rsid w:val="00F16D60"/>
    <w:rsid w:val="00F21F97"/>
    <w:rsid w:val="00F26EC0"/>
    <w:rsid w:val="00F36389"/>
    <w:rsid w:val="00F37D65"/>
    <w:rsid w:val="00F431E8"/>
    <w:rsid w:val="00F500A5"/>
    <w:rsid w:val="00F5115F"/>
    <w:rsid w:val="00F53008"/>
    <w:rsid w:val="00F5707E"/>
    <w:rsid w:val="00F6395D"/>
    <w:rsid w:val="00F64ACD"/>
    <w:rsid w:val="00F72A28"/>
    <w:rsid w:val="00F76100"/>
    <w:rsid w:val="00F775DD"/>
    <w:rsid w:val="00F77785"/>
    <w:rsid w:val="00F828F1"/>
    <w:rsid w:val="00F84272"/>
    <w:rsid w:val="00F84BC2"/>
    <w:rsid w:val="00F908FC"/>
    <w:rsid w:val="00FA0CDB"/>
    <w:rsid w:val="00FA14CD"/>
    <w:rsid w:val="00FA647B"/>
    <w:rsid w:val="00FB2741"/>
    <w:rsid w:val="00FC4F0C"/>
    <w:rsid w:val="00FD0FFB"/>
    <w:rsid w:val="00FD3FD8"/>
    <w:rsid w:val="00FE2C49"/>
    <w:rsid w:val="00FE75D4"/>
    <w:rsid w:val="00FF6CF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6A37F"/>
  <w15:chartTrackingRefBased/>
  <w15:docId w15:val="{2575B2F0-105E-2945-830D-1CDDA070B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New York" w:eastAsia="Times New Roman" w:hAnsi="New York"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jc w:val="both"/>
    </w:pPr>
    <w:rPr>
      <w:rFonts w:ascii="Times" w:hAnsi="Times"/>
      <w:sz w:val="24"/>
    </w:rPr>
  </w:style>
  <w:style w:type="paragraph" w:styleId="Heading1">
    <w:name w:val="heading 1"/>
    <w:basedOn w:val="Normal"/>
    <w:next w:val="Normal"/>
    <w:link w:val="Heading1Char"/>
    <w:uiPriority w:val="9"/>
    <w:qFormat/>
    <w:rsid w:val="00492042"/>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492042"/>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492042"/>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4920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0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0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0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0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0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042"/>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492042"/>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492042"/>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4920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0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0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0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0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042"/>
    <w:rPr>
      <w:rFonts w:eastAsiaTheme="majorEastAsia" w:cstheme="majorBidi"/>
      <w:color w:val="272727" w:themeColor="text1" w:themeTint="D8"/>
    </w:rPr>
  </w:style>
  <w:style w:type="paragraph" w:styleId="Title">
    <w:name w:val="Title"/>
    <w:basedOn w:val="Normal"/>
    <w:next w:val="Normal"/>
    <w:link w:val="TitleChar"/>
    <w:uiPriority w:val="10"/>
    <w:qFormat/>
    <w:rsid w:val="00492042"/>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9204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92042"/>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9204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9204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92042"/>
    <w:rPr>
      <w:i/>
      <w:iCs/>
      <w:color w:val="404040" w:themeColor="text1" w:themeTint="BF"/>
    </w:rPr>
  </w:style>
  <w:style w:type="paragraph" w:styleId="ListParagraph">
    <w:name w:val="List Paragraph"/>
    <w:basedOn w:val="Normal"/>
    <w:uiPriority w:val="34"/>
    <w:qFormat/>
    <w:rsid w:val="00492042"/>
    <w:pPr>
      <w:ind w:left="720"/>
      <w:contextualSpacing/>
    </w:pPr>
  </w:style>
  <w:style w:type="character" w:styleId="IntenseEmphasis">
    <w:name w:val="Intense Emphasis"/>
    <w:basedOn w:val="DefaultParagraphFont"/>
    <w:uiPriority w:val="21"/>
    <w:qFormat/>
    <w:rsid w:val="00492042"/>
    <w:rPr>
      <w:i/>
      <w:iCs/>
      <w:color w:val="0F4761" w:themeColor="accent1" w:themeShade="BF"/>
    </w:rPr>
  </w:style>
  <w:style w:type="paragraph" w:styleId="IntenseQuote">
    <w:name w:val="Intense Quote"/>
    <w:basedOn w:val="Normal"/>
    <w:next w:val="Normal"/>
    <w:link w:val="IntenseQuoteChar"/>
    <w:uiPriority w:val="30"/>
    <w:qFormat/>
    <w:rsid w:val="004920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042"/>
    <w:rPr>
      <w:i/>
      <w:iCs/>
      <w:color w:val="0F4761" w:themeColor="accent1" w:themeShade="BF"/>
    </w:rPr>
  </w:style>
  <w:style w:type="character" w:styleId="IntenseReference">
    <w:name w:val="Intense Reference"/>
    <w:basedOn w:val="DefaultParagraphFont"/>
    <w:uiPriority w:val="32"/>
    <w:qFormat/>
    <w:rsid w:val="00492042"/>
    <w:rPr>
      <w:b/>
      <w:bCs/>
      <w:smallCaps/>
      <w:color w:val="0F4761" w:themeColor="accent1" w:themeShade="BF"/>
      <w:spacing w:val="5"/>
    </w:rPr>
  </w:style>
  <w:style w:type="table" w:styleId="TableGrid">
    <w:name w:val="Table Grid"/>
    <w:basedOn w:val="TableNormal"/>
    <w:uiPriority w:val="39"/>
    <w:rsid w:val="00BA0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0839"/>
    <w:rPr>
      <w:color w:val="467886" w:themeColor="hyperlink"/>
      <w:u w:val="single"/>
    </w:rPr>
  </w:style>
  <w:style w:type="paragraph" w:styleId="NormalWeb">
    <w:name w:val="Normal (Web)"/>
    <w:basedOn w:val="Normal"/>
    <w:uiPriority w:val="99"/>
    <w:unhideWhenUsed/>
    <w:rsid w:val="00E50017"/>
    <w:pPr>
      <w:spacing w:before="100" w:beforeAutospacing="1" w:after="100" w:afterAutospacing="1"/>
    </w:pPr>
    <w:rPr>
      <w:rFonts w:ascii="Times New Roman" w:hAnsi="Times New Roman"/>
      <w:szCs w:val="24"/>
    </w:rPr>
  </w:style>
  <w:style w:type="table" w:styleId="GridTable2">
    <w:name w:val="Grid Table 2"/>
    <w:basedOn w:val="TableNormal"/>
    <w:uiPriority w:val="47"/>
    <w:rsid w:val="00674E9E"/>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ibliography">
    <w:name w:val="Bibliography"/>
    <w:basedOn w:val="Normal"/>
    <w:next w:val="Normal"/>
    <w:uiPriority w:val="37"/>
    <w:unhideWhenUsed/>
    <w:rsid w:val="00717134"/>
    <w:pPr>
      <w:tabs>
        <w:tab w:val="left" w:pos="500"/>
      </w:tabs>
      <w:ind w:left="504" w:hanging="504"/>
    </w:pPr>
  </w:style>
  <w:style w:type="character" w:styleId="UnresolvedMention">
    <w:name w:val="Unresolved Mention"/>
    <w:basedOn w:val="DefaultParagraphFont"/>
    <w:uiPriority w:val="99"/>
    <w:semiHidden/>
    <w:unhideWhenUsed/>
    <w:rsid w:val="004548EF"/>
    <w:rPr>
      <w:color w:val="605E5C"/>
      <w:shd w:val="clear" w:color="auto" w:fill="E1DFDD"/>
    </w:rPr>
  </w:style>
  <w:style w:type="character" w:styleId="PlaceholderText">
    <w:name w:val="Placeholder Text"/>
    <w:basedOn w:val="DefaultParagraphFont"/>
    <w:uiPriority w:val="99"/>
    <w:semiHidden/>
    <w:rsid w:val="0014765A"/>
    <w:rPr>
      <w:color w:val="666666"/>
    </w:rPr>
  </w:style>
  <w:style w:type="paragraph" w:customStyle="1" w:styleId="TFReferencesSection">
    <w:name w:val="TF_References_Section"/>
    <w:basedOn w:val="Normal"/>
    <w:pPr>
      <w:spacing w:line="480" w:lineRule="auto"/>
      <w:ind w:firstLine="187"/>
    </w:pPr>
  </w:style>
  <w:style w:type="paragraph" w:customStyle="1" w:styleId="TAMainText">
    <w:name w:val="TA_Main_Text"/>
    <w:basedOn w:val="Normal"/>
    <w:pPr>
      <w:spacing w:after="0" w:line="480" w:lineRule="auto"/>
      <w:ind w:firstLine="202"/>
    </w:pPr>
  </w:style>
  <w:style w:type="paragraph" w:customStyle="1" w:styleId="BATitle">
    <w:name w:val="BA_Title"/>
    <w:basedOn w:val="Normal"/>
    <w:next w:val="BBAuthorName"/>
    <w:pPr>
      <w:spacing w:before="720" w:after="360" w:line="480" w:lineRule="auto"/>
      <w:jc w:val="center"/>
    </w:pPr>
    <w:rPr>
      <w:rFonts w:ascii="Times New Roman" w:hAnsi="Times New Roman"/>
      <w:sz w:val="44"/>
    </w:rPr>
  </w:style>
  <w:style w:type="paragraph" w:customStyle="1" w:styleId="BBAuthorName">
    <w:name w:val="BB_Author_Name"/>
    <w:basedOn w:val="Normal"/>
    <w:next w:val="BCAuthorAddress"/>
    <w:pPr>
      <w:spacing w:after="240" w:line="480" w:lineRule="auto"/>
      <w:jc w:val="center"/>
    </w:pPr>
    <w:rPr>
      <w:i/>
    </w:rPr>
  </w:style>
  <w:style w:type="paragraph" w:customStyle="1" w:styleId="BCAuthorAddress">
    <w:name w:val="BC_Author_Address"/>
    <w:basedOn w:val="Normal"/>
    <w:next w:val="BIEmailAddress"/>
    <w:pPr>
      <w:spacing w:after="240" w:line="480" w:lineRule="auto"/>
      <w:jc w:val="center"/>
    </w:pPr>
  </w:style>
  <w:style w:type="paragraph" w:customStyle="1" w:styleId="BIEmailAddress">
    <w:name w:val="BI_Email_Address"/>
    <w:basedOn w:val="Normal"/>
    <w:pPr>
      <w:spacing w:line="480" w:lineRule="auto"/>
    </w:pPr>
  </w:style>
  <w:style w:type="paragraph" w:customStyle="1" w:styleId="BDAbstract">
    <w:name w:val="BD_Abstract"/>
    <w:basedOn w:val="Normal"/>
    <w:next w:val="TAMainText"/>
    <w:pPr>
      <w:spacing w:before="360" w:after="360" w:line="480" w:lineRule="auto"/>
    </w:pPr>
  </w:style>
  <w:style w:type="paragraph" w:customStyle="1" w:styleId="VDTableTitle">
    <w:name w:val="VD_Table_Title"/>
    <w:basedOn w:val="Normal"/>
    <w:next w:val="Normal"/>
    <w:pPr>
      <w:spacing w:line="480" w:lineRule="auto"/>
    </w:pPr>
  </w:style>
  <w:style w:type="paragraph" w:customStyle="1" w:styleId="VAFigureCaption">
    <w:name w:val="VA_Figure_Caption"/>
    <w:basedOn w:val="Normal"/>
    <w:next w:val="Normal"/>
    <w:pPr>
      <w:spacing w:line="480" w:lineRule="auto"/>
    </w:pPr>
  </w:style>
  <w:style w:type="paragraph" w:customStyle="1" w:styleId="TCTableBody">
    <w:name w:val="TC_Table_Body"/>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satija@stanford.edu" TargetMode="External"/><Relationship Id="rId13" Type="http://schemas.openxmlformats.org/officeDocument/2006/relationships/image" Target="media/image3.svg"/><Relationship Id="rId18" Type="http://schemas.openxmlformats.org/officeDocument/2006/relationships/image" Target="media/image5.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ubchem.ncbi.nlm.nih.gov/compound/Doravirine" TargetMode="External"/><Relationship Id="rId5" Type="http://schemas.openxmlformats.org/officeDocument/2006/relationships/webSettings" Target="webSettings.xml"/><Relationship Id="rId15" Type="http://schemas.openxmlformats.org/officeDocument/2006/relationships/image" Target="media/image4.emf"/><Relationship Id="rId10" Type="http://schemas.openxmlformats.org/officeDocument/2006/relationships/hyperlink" Target="https://www.rcsb.org/structure/4NCG"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hyperlink" Target="https://hivdb.stanford.edu/" TargetMode="External"/><Relationship Id="rId21" Type="http://schemas.openxmlformats.org/officeDocument/2006/relationships/image" Target="media/toc_graphic.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FA4A06-4FE9-7642-9B2F-75F8255F4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850</TotalTime>
  <Pages>44</Pages>
  <Words>59907</Words>
  <Characters>341476</Characters>
  <Application>Microsoft Office Word</Application>
  <DocSecurity>0</DocSecurity>
  <Lines>2845</Lines>
  <Paragraphs>801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Satija</dc:creator>
  <cp:keywords/>
  <dc:description/>
  <cp:lastModifiedBy>Rohit Satija</cp:lastModifiedBy>
  <cp:revision>312</cp:revision>
  <dcterms:created xsi:type="dcterms:W3CDTF">2026-08-29T02:32:00Z</dcterms:created>
  <dcterms:modified xsi:type="dcterms:W3CDTF">2026-10-21T00:19:00Z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zotero-version="10.0.3"&gt;&lt;session id="MIorSneO"/&gt;&lt;style id="http://www.zotero.org/styles/american-chemical-society" hasBibliography="1" bibliographyStyleHasBeenSet="1"/&gt;&lt;prefs&gt;&lt;pref name="fieldType" value="Field"/&gt;&lt;/prefs&gt;&lt;/data&gt;</vt:lpwstr>
  </property>
</Properties>
</file>