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rPr>
          <w:color w:val="FF0000"/>
        </w:rP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w:t>
      </w:r>
      <w:r>
        <w:rPr>
          <w:color w:val="FF0000"/>
        </w:rPr>
        <w:t xml:space="preserve"> Across the panel the DOR heavy-atom RMSD from the crystallographic pose settles between 0.64 and 0.93 Å, wild type at 0.66 Å, so the complexes are stable but the ensembles do not visit alternative poses.</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2877318" cy="1150622"/>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2877318" cy="1150622"/>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