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59918D7D" w14:textId="0E6FCC53"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317256C9"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(WT)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2902D1">
        <w:rPr>
          <w:rFonts w:ascii="Times New Roman" w:hAnsi="Times New Roman" w:cs="Times New Roman"/>
          <w:szCs w:val="24"/>
        </w:rPr>
        <w:t xml:space="preserve">generally </w:t>
      </w:r>
      <w:r w:rsidR="0069357F">
        <w:rPr>
          <w:rFonts w:ascii="Times New Roman" w:hAnsi="Times New Roman" w:cs="Times New Roman"/>
          <w:szCs w:val="24"/>
        </w:rPr>
        <w:t xml:space="preserve">do not correlate </w:t>
      </w:r>
      <w:r w:rsidRPr="00936881">
        <w:rPr>
          <w:rFonts w:ascii="Times New Roman" w:hAnsi="Times New Roman" w:cs="Times New Roman"/>
          <w:szCs w:val="24"/>
        </w:rPr>
        <w:t xml:space="preserve">with the available phenotypic DOR susceptibility changes </w:t>
      </w:r>
      <w:r w:rsidRPr="00936881">
        <w:rPr>
          <w:rFonts w:ascii="Times New Roman" w:hAnsi="Times New Roman" w:cs="Times New Roman"/>
          <w:i/>
          <w:iCs/>
          <w:szCs w:val="24"/>
        </w:rPr>
        <w:t>in vitro</w:t>
      </w:r>
      <w:r w:rsidRPr="00936881">
        <w:rPr>
          <w:rFonts w:ascii="Times New Roman" w:hAnsi="Times New Roman" w:cs="Times New Roman"/>
          <w:szCs w:val="24"/>
        </w:rPr>
        <w:t xml:space="preserve">. </w:t>
      </w:r>
      <w:r w:rsidR="0069357F">
        <w:rPr>
          <w:rFonts w:ascii="Times New Roman" w:hAnsi="Times New Roman" w:cs="Times New Roman"/>
          <w:szCs w:val="24"/>
        </w:rPr>
        <w:t>However</w:t>
      </w:r>
      <w:r w:rsidRPr="00936881">
        <w:rPr>
          <w:rFonts w:ascii="Times New Roman" w:hAnsi="Times New Roman" w:cs="Times New Roman"/>
          <w:szCs w:val="24"/>
        </w:rPr>
        <w:t xml:space="preserve">, local trajectory-level analyses identified mutation-specific structural </w:t>
      </w:r>
      <w:r w:rsidR="002902D1">
        <w:rPr>
          <w:rFonts w:ascii="Times New Roman" w:hAnsi="Times New Roman" w:cs="Times New Roman"/>
          <w:szCs w:val="24"/>
        </w:rPr>
        <w:t xml:space="preserve">changes </w:t>
      </w:r>
      <w:r w:rsidR="007E41BA">
        <w:rPr>
          <w:rFonts w:ascii="Times New Roman" w:hAnsi="Times New Roman" w:cs="Times New Roman"/>
          <w:szCs w:val="24"/>
        </w:rPr>
        <w:t>associated with</w:t>
      </w:r>
      <w:r w:rsidR="002902D1">
        <w:rPr>
          <w:rFonts w:ascii="Times New Roman" w:hAnsi="Times New Roman" w:cs="Times New Roman"/>
          <w:szCs w:val="24"/>
        </w:rPr>
        <w:t xml:space="preserve"> DOR resistance</w:t>
      </w:r>
      <w:r w:rsidR="00C427E7">
        <w:rPr>
          <w:rFonts w:ascii="Times New Roman" w:hAnsi="Times New Roman" w:cs="Times New Roman"/>
          <w:szCs w:val="24"/>
        </w:rPr>
        <w:t>. For example,</w:t>
      </w:r>
      <w:r w:rsidRPr="00936881">
        <w:rPr>
          <w:rFonts w:ascii="Times New Roman" w:hAnsi="Times New Roman" w:cs="Times New Roman"/>
          <w:szCs w:val="24"/>
        </w:rPr>
        <w:t xml:space="preserve"> </w:t>
      </w:r>
      <w:r w:rsidR="00277ED3">
        <w:rPr>
          <w:rFonts w:ascii="Times New Roman" w:hAnsi="Times New Roman" w:cs="Times New Roman"/>
          <w:szCs w:val="24"/>
        </w:rPr>
        <w:t xml:space="preserve">simulations with </w:t>
      </w:r>
      <w:r w:rsidRPr="00936881">
        <w:rPr>
          <w:rFonts w:ascii="Times New Roman" w:hAnsi="Times New Roman" w:cs="Times New Roman"/>
          <w:szCs w:val="24"/>
        </w:rPr>
        <w:t>V106A-containing genotypes</w:t>
      </w:r>
      <w:r w:rsidR="00277ED3">
        <w:rPr>
          <w:rFonts w:ascii="Times New Roman" w:hAnsi="Times New Roman" w:cs="Times New Roman"/>
          <w:szCs w:val="24"/>
        </w:rPr>
        <w:t xml:space="preserve"> consistently</w:t>
      </w:r>
      <w:r w:rsidRPr="00936881">
        <w:rPr>
          <w:rFonts w:ascii="Times New Roman" w:hAnsi="Times New Roman" w:cs="Times New Roman"/>
          <w:szCs w:val="24"/>
        </w:rPr>
        <w:t xml:space="preserve"> shift DOR toward the </w:t>
      </w:r>
      <w:r w:rsidR="00C76E0F">
        <w:rPr>
          <w:rFonts w:ascii="Times New Roman" w:hAnsi="Times New Roman" w:cs="Times New Roman"/>
          <w:szCs w:val="24"/>
        </w:rPr>
        <w:t>103-108 loop</w:t>
      </w:r>
      <w:r w:rsidRPr="00936881">
        <w:rPr>
          <w:rFonts w:ascii="Times New Roman" w:hAnsi="Times New Roman" w:cs="Times New Roman"/>
          <w:szCs w:val="24"/>
        </w:rPr>
        <w:t xml:space="preserve">, leading to compensatory interactions with Lys104 and Ser105; V106I+F227C </w:t>
      </w:r>
      <w:r w:rsidR="00277ED3">
        <w:rPr>
          <w:rFonts w:ascii="Times New Roman" w:hAnsi="Times New Roman" w:cs="Times New Roman"/>
          <w:szCs w:val="24"/>
        </w:rPr>
        <w:t xml:space="preserve">simulations </w:t>
      </w:r>
      <w:r w:rsidRPr="00936881">
        <w:rPr>
          <w:rFonts w:ascii="Times New Roman" w:hAnsi="Times New Roman" w:cs="Times New Roman"/>
          <w:szCs w:val="24"/>
        </w:rPr>
        <w:t xml:space="preserve">sample distinct DOR poses from V106A+F227L despite </w:t>
      </w:r>
      <w:r w:rsidR="003F74A7">
        <w:rPr>
          <w:rFonts w:ascii="Times New Roman" w:hAnsi="Times New Roman" w:cs="Times New Roman"/>
          <w:szCs w:val="24"/>
        </w:rPr>
        <w:t>mutations at the same positions and similar</w:t>
      </w:r>
      <w:r w:rsidRPr="00936881">
        <w:rPr>
          <w:rFonts w:ascii="Times New Roman" w:hAnsi="Times New Roman" w:cs="Times New Roman"/>
          <w:szCs w:val="24"/>
        </w:rPr>
        <w:t xml:space="preserve"> phenotypic resistance; and G190E perturbs the </w:t>
      </w:r>
      <w:r w:rsidR="00C76E0F">
        <w:rPr>
          <w:rFonts w:ascii="Times New Roman" w:hAnsi="Times New Roman" w:cs="Times New Roman"/>
          <w:szCs w:val="24"/>
        </w:rPr>
        <w:t>pocket entrance</w:t>
      </w:r>
      <w:r w:rsidRPr="00936881">
        <w:rPr>
          <w:rFonts w:ascii="Times New Roman" w:hAnsi="Times New Roman" w:cs="Times New Roman"/>
          <w:szCs w:val="24"/>
        </w:rPr>
        <w:t xml:space="preserve">, </w:t>
      </w:r>
      <w:r w:rsidR="00EE65AE">
        <w:rPr>
          <w:rFonts w:ascii="Times New Roman" w:hAnsi="Times New Roman" w:cs="Times New Roman"/>
          <w:szCs w:val="24"/>
        </w:rPr>
        <w:t>disrupting</w:t>
      </w:r>
      <w:r w:rsidRPr="00936881">
        <w:rPr>
          <w:rFonts w:ascii="Times New Roman" w:hAnsi="Times New Roman" w:cs="Times New Roman"/>
          <w:szCs w:val="24"/>
        </w:rPr>
        <w:t xml:space="preserve"> </w:t>
      </w:r>
      <w:r w:rsidR="00EE65AE">
        <w:rPr>
          <w:rFonts w:ascii="Times New Roman" w:hAnsi="Times New Roman" w:cs="Times New Roman"/>
          <w:szCs w:val="24"/>
        </w:rPr>
        <w:t xml:space="preserve">DOR </w:t>
      </w:r>
      <w:r w:rsidRPr="00936881">
        <w:rPr>
          <w:rFonts w:ascii="Times New Roman" w:hAnsi="Times New Roman" w:cs="Times New Roman"/>
          <w:szCs w:val="24"/>
        </w:rPr>
        <w:t xml:space="preserve">contact with Val179. A custom logistic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is able to segregate low- and high-resistance genotypes, producing probabilities that correlate well with </w:t>
      </w:r>
      <w:r w:rsidR="00230A01">
        <w:rPr>
          <w:rFonts w:ascii="Times New Roman" w:hAnsi="Times New Roman" w:cs="Times New Roman"/>
          <w:szCs w:val="24"/>
        </w:rPr>
        <w:t xml:space="preserve">the </w:t>
      </w:r>
      <w:r w:rsidRPr="00936881">
        <w:rPr>
          <w:rFonts w:ascii="Times New Roman" w:hAnsi="Times New Roman" w:cs="Times New Roman"/>
          <w:szCs w:val="24"/>
        </w:rPr>
        <w:t xml:space="preserve">available </w:t>
      </w:r>
      <w:r w:rsidRPr="00230A01">
        <w:rPr>
          <w:rFonts w:ascii="Times New Roman" w:hAnsi="Times New Roman" w:cs="Times New Roman"/>
          <w:i/>
          <w:iCs/>
          <w:szCs w:val="24"/>
        </w:rPr>
        <w:t>in vitro</w:t>
      </w:r>
      <w:r w:rsidRPr="00936881">
        <w:rPr>
          <w:rFonts w:ascii="Times New Roman" w:hAnsi="Times New Roman" w:cs="Times New Roman"/>
          <w:szCs w:val="24"/>
        </w:rPr>
        <w:t xml:space="preserve"> DOR susceptibility data. Together, these results support a structurally grounded framework for interpreting DOR resistance, </w:t>
      </w:r>
      <w:r w:rsidR="00230A01" w:rsidRPr="00230A01">
        <w:rPr>
          <w:rFonts w:ascii="Times New Roman" w:hAnsi="Times New Roman" w:cs="Times New Roman"/>
          <w:szCs w:val="24"/>
        </w:rPr>
        <w:t xml:space="preserve">estimating the risk of DOR use in people living with HIV who carry pre-existing NNRTI mutations, 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03DB355B" w14:textId="047CBC43" w:rsidR="00230A01" w:rsidRDefault="000366F8">
      <w:pPr>
        <w:rPr>
          <w:rFonts w:ascii="Times New Roman" w:hAnsi="Times New Roman" w:cs="Times New Roman"/>
          <w:b/>
          <w:bCs/>
          <w:sz w:val="28"/>
          <w:szCs w:val="28"/>
        </w:rPr>
      </w:pPr>
      <w:r>
        <w:rPr>
          <w:rFonts w:ascii="Times New Roman" w:hAnsi="Times New Roman" w:cs="Times New Roman"/>
          <w:b/>
          <w:bCs/>
          <w:sz w:val="28"/>
          <w:szCs w:val="28"/>
        </w:rPr>
        <w:t>Introduction</w:t>
      </w:r>
    </w:p>
    <w:p w14:paraId="306F88AC" w14:textId="3BF333A0" w:rsidR="000366F8" w:rsidRPr="002B5128" w:rsidRDefault="002B5128">
      <w:pPr>
        <w:rPr>
          <w:rFonts w:ascii="Times New Roman" w:hAnsi="Times New Roman" w:cs="Times New Roman"/>
          <w:i/>
          <w:iCs/>
          <w:sz w:val="28"/>
          <w:szCs w:val="28"/>
        </w:rPr>
      </w:pPr>
      <w:r w:rsidRPr="002B5128">
        <w:rPr>
          <w:rFonts w:ascii="Times New Roman" w:hAnsi="Times New Roman" w:cs="Times New Roman"/>
          <w:i/>
          <w:iCs/>
          <w:sz w:val="28"/>
          <w:szCs w:val="28"/>
        </w:rPr>
        <w:t>Work in Progress</w:t>
      </w:r>
    </w:p>
    <w:p w14:paraId="4992AB1A" w14:textId="77777777" w:rsidR="002B5128" w:rsidRDefault="002B5128">
      <w:pPr>
        <w:rPr>
          <w:rFonts w:ascii="Times New Roman" w:hAnsi="Times New Roman" w:cs="Times New Roman"/>
          <w:b/>
          <w:bCs/>
          <w:sz w:val="28"/>
          <w:szCs w:val="28"/>
        </w:rPr>
      </w:pPr>
    </w:p>
    <w:p w14:paraId="08B90266" w14:textId="01923F86" w:rsidR="000366F8" w:rsidRDefault="000366F8">
      <w:pPr>
        <w:rPr>
          <w:rFonts w:ascii="Times New Roman" w:hAnsi="Times New Roman" w:cs="Times New Roman"/>
          <w:b/>
          <w:bCs/>
          <w:sz w:val="28"/>
          <w:szCs w:val="28"/>
        </w:rPr>
      </w:pPr>
      <w:r>
        <w:rPr>
          <w:rFonts w:ascii="Times New Roman" w:hAnsi="Times New Roman" w:cs="Times New Roman"/>
          <w:b/>
          <w:bCs/>
          <w:sz w:val="28"/>
          <w:szCs w:val="28"/>
        </w:rPr>
        <w:t>Results</w:t>
      </w:r>
    </w:p>
    <w:p w14:paraId="08682620" w14:textId="77777777" w:rsidR="000366F8" w:rsidRDefault="000366F8">
      <w:pPr>
        <w:rPr>
          <w:rFonts w:ascii="Times New Roman" w:hAnsi="Times New Roman" w:cs="Times New Roman"/>
          <w:szCs w:val="24"/>
        </w:rPr>
      </w:pPr>
    </w:p>
    <w:p w14:paraId="0B0FAE87" w14:textId="60780523" w:rsidR="00C965EE" w:rsidRDefault="00C965EE">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3F74EA6C" w14:textId="77777777" w:rsidR="0061294B" w:rsidRPr="00747450" w:rsidRDefault="0061294B" w:rsidP="0061294B">
      <w:pPr>
        <w:rPr>
          <w:rFonts w:ascii="Arial" w:hAnsi="Arial" w:cs="Arial"/>
          <w:b/>
          <w:bCs/>
          <w:szCs w:val="24"/>
        </w:rPr>
      </w:pPr>
      <w:r>
        <w:rPr>
          <w:rFonts w:ascii="Times New Roman" w:hAnsi="Times New Roman" w:cs="Times New Roman"/>
          <w:noProof/>
          <w:szCs w:val="24"/>
        </w:rPr>
        <w:drawing>
          <wp:inline distT="0" distB="0" distL="0" distR="0" wp14:anchorId="7F31B60B" wp14:editId="3121BB49">
            <wp:extent cx="5943600" cy="2485390"/>
            <wp:effectExtent l="0" t="0" r="0" b="3810"/>
            <wp:docPr id="15778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0575" name="Picture 15778805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inline>
        </w:drawing>
      </w:r>
    </w:p>
    <w:p w14:paraId="03521664" w14:textId="77777777" w:rsidR="0061294B" w:rsidRDefault="0061294B" w:rsidP="0061294B">
      <w:pPr>
        <w:rPr>
          <w:rFonts w:ascii="Times New Roman" w:hAnsi="Times New Roman" w:cs="Times New Roman"/>
          <w:sz w:val="20"/>
          <w:szCs w:val="20"/>
        </w:rPr>
      </w:pPr>
      <w:r w:rsidRPr="00AF30BF">
        <w:rPr>
          <w:rFonts w:ascii="Times New Roman" w:hAnsi="Times New Roman" w:cs="Times New Roman"/>
          <w:b/>
          <w:bCs/>
          <w:sz w:val="20"/>
          <w:szCs w:val="20"/>
        </w:rPr>
        <w:lastRenderedPageBreak/>
        <w:t>Figure 1: Fold-change in DOR susceptibility associated with selected genotypes.</w:t>
      </w:r>
      <w:r w:rsidRPr="00AF30BF">
        <w:rPr>
          <w:rFonts w:ascii="Times New Roman" w:hAnsi="Times New Roman" w:cs="Times New Roman"/>
          <w:sz w:val="20"/>
          <w:szCs w:val="20"/>
        </w:rPr>
        <w:t xml:space="preserve"> Values represent median fold reductions in susceptibility relative to wild-type control viruses.</w:t>
      </w:r>
    </w:p>
    <w:p w14:paraId="522B79D4" w14:textId="77777777" w:rsidR="002F6EA2" w:rsidRPr="00AF30BF" w:rsidRDefault="002F6EA2" w:rsidP="0061294B">
      <w:pPr>
        <w:rPr>
          <w:rFonts w:ascii="Times New Roman" w:hAnsi="Times New Roman" w:cs="Times New Roman"/>
          <w:sz w:val="20"/>
          <w:szCs w:val="20"/>
        </w:rPr>
      </w:pPr>
    </w:p>
    <w:p w14:paraId="166AC4BA" w14:textId="77777777" w:rsidR="00471553" w:rsidRDefault="00C965EE" w:rsidP="00C965EE">
      <w:pPr>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1D8F051E" w:rsidR="00471553" w:rsidRPr="00471553" w:rsidRDefault="00FD5AE8" w:rsidP="00471553">
      <w:pPr>
        <w:pStyle w:val="ListParagraph"/>
        <w:numPr>
          <w:ilvl w:val="0"/>
          <w:numId w:val="1"/>
        </w:numPr>
        <w:rPr>
          <w:rFonts w:ascii="Times New Roman" w:hAnsi="Times New Roman" w:cs="Times New Roman"/>
          <w:szCs w:val="24"/>
        </w:rPr>
      </w:pPr>
      <w:r w:rsidRPr="00471553">
        <w:rPr>
          <w:rFonts w:ascii="Times New Roman" w:hAnsi="Times New Roman" w:cs="Times New Roman"/>
          <w:i/>
          <w:iCs/>
          <w:szCs w:val="24"/>
        </w:rPr>
        <w:t>Negative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77777777" w:rsidR="00471553" w:rsidRDefault="00FD5AE8" w:rsidP="00471553">
      <w:pPr>
        <w:pStyle w:val="ListParagraph"/>
        <w:numPr>
          <w:ilvl w:val="0"/>
          <w:numId w:val="1"/>
        </w:numPr>
        <w:rPr>
          <w:rFonts w:ascii="Times New Roman" w:hAnsi="Times New Roman" w:cs="Times New Roman"/>
          <w:szCs w:val="24"/>
        </w:rPr>
      </w:pPr>
      <w:r w:rsidRPr="00471553">
        <w:rPr>
          <w:rFonts w:ascii="Times New Roman" w:hAnsi="Times New Roman" w:cs="Times New Roman"/>
          <w:i/>
          <w:iCs/>
          <w:szCs w:val="24"/>
        </w:rPr>
        <w:t>Positive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471553" w:rsidRPr="00C965EE">
        <w:rPr>
          <w:rFonts w:ascii="Times New Roman" w:hAnsi="Times New Roman" w:cs="Times New Roman"/>
          <w:szCs w:val="24"/>
        </w:rPr>
        <w:t>V106A, Y188L, Y318F, A98G+F227C, V106A+F227L, V106A+L234I, V106A+P225H, and V106I+F227C</w:t>
      </w:r>
      <w:r w:rsidR="00471553">
        <w:rPr>
          <w:rFonts w:ascii="Times New Roman" w:hAnsi="Times New Roman" w:cs="Times New Roman"/>
          <w:szCs w:val="24"/>
        </w:rPr>
        <w:t>.</w:t>
      </w:r>
    </w:p>
    <w:p w14:paraId="490FEF2C" w14:textId="77777777" w:rsidR="00471553" w:rsidRDefault="00BF3DF7" w:rsidP="00471553">
      <w:pPr>
        <w:pStyle w:val="ListParagraph"/>
        <w:numPr>
          <w:ilvl w:val="0"/>
          <w:numId w:val="1"/>
        </w:numPr>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K103N+M230L, V106I,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58174DC4" w14:textId="77777777" w:rsidR="00471553" w:rsidRPr="00471553" w:rsidRDefault="00471553" w:rsidP="00471553">
      <w:pPr>
        <w:rPr>
          <w:rFonts w:ascii="Times New Roman" w:hAnsi="Times New Roman" w:cs="Times New Roman"/>
          <w:szCs w:val="24"/>
        </w:rPr>
      </w:pPr>
    </w:p>
    <w:p w14:paraId="5ED72A6E" w14:textId="754CBA1F" w:rsidR="00AF30BF" w:rsidRDefault="00C965EE" w:rsidP="00C965EE">
      <w:pPr>
        <w:rPr>
          <w:rFonts w:ascii="Times New Roman" w:hAnsi="Times New Roman" w:cs="Times New Roman"/>
          <w:szCs w:val="24"/>
        </w:rPr>
      </w:pPr>
      <w:r w:rsidRPr="00471553">
        <w:rPr>
          <w:rFonts w:ascii="Times New Roman" w:hAnsi="Times New Roman" w:cs="Times New Roman"/>
          <w:szCs w:val="24"/>
        </w:rPr>
        <w:t xml:space="preserve">Figure 1 summarizes the median fold-change in DOR susceptibility used to define the panel, and Supplementary Table 1 traces each </w:t>
      </w:r>
      <w:r w:rsidR="00BF3DF7" w:rsidRPr="00471553">
        <w:rPr>
          <w:rFonts w:ascii="Times New Roman" w:hAnsi="Times New Roman" w:cs="Times New Roman"/>
          <w:szCs w:val="24"/>
        </w:rPr>
        <w:t>data point</w:t>
      </w:r>
      <w:r w:rsidRPr="00471553">
        <w:rPr>
          <w:rFonts w:ascii="Times New Roman" w:hAnsi="Times New Roman" w:cs="Times New Roman"/>
          <w:szCs w:val="24"/>
        </w:rPr>
        <w:t xml:space="preserve"> to its original published source</w:t>
      </w:r>
      <w:r w:rsidR="00BF3DF7" w:rsidRPr="00471553">
        <w:rPr>
          <w:rFonts w:ascii="Times New Roman" w:hAnsi="Times New Roman" w:cs="Times New Roman"/>
          <w:szCs w:val="24"/>
        </w:rPr>
        <w:t>s</w:t>
      </w:r>
      <w:r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 susceptibility data were derived from assays performed using the</w:t>
      </w:r>
      <w:r w:rsidRPr="00C965EE">
        <w:rPr>
          <w:rFonts w:ascii="Times New Roman" w:hAnsi="Times New Roman" w:cs="Times New Roman"/>
          <w:szCs w:val="24"/>
        </w:rPr>
        <w:t xml:space="preserve"> Monogram </w:t>
      </w:r>
      <w:proofErr w:type="spellStart"/>
      <w:r w:rsidRPr="00C965EE">
        <w:rPr>
          <w:rFonts w:ascii="Times New Roman" w:hAnsi="Times New Roman" w:cs="Times New Roman"/>
          <w:szCs w:val="24"/>
        </w:rPr>
        <w:t>PhenoSense</w:t>
      </w:r>
      <w:proofErr w:type="spellEnd"/>
      <w:r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p>
    <w:p w14:paraId="79FE1BA1" w14:textId="77777777" w:rsidR="00AF30BF" w:rsidRDefault="00AF30BF" w:rsidP="00C965EE">
      <w:pPr>
        <w:rPr>
          <w:rFonts w:ascii="Times New Roman" w:hAnsi="Times New Roman" w:cs="Times New Roman"/>
          <w:szCs w:val="24"/>
        </w:rPr>
      </w:pPr>
    </w:p>
    <w:p w14:paraId="50A91F5B" w14:textId="088F6B5D" w:rsidR="00D55273" w:rsidRPr="00D55273" w:rsidRDefault="00D55273" w:rsidP="00D5527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Global RT-DOR energetic analysis </w:t>
      </w:r>
      <w:r w:rsidR="008869E6">
        <w:rPr>
          <w:rFonts w:ascii="Times New Roman" w:hAnsi="Times New Roman" w:cs="Times New Roman"/>
          <w:b/>
          <w:bCs/>
          <w:szCs w:val="24"/>
          <w:u w:val="single"/>
        </w:rPr>
        <w:t xml:space="preserve">fails to </w:t>
      </w:r>
      <w:r w:rsidRPr="00D55273">
        <w:rPr>
          <w:rFonts w:ascii="Times New Roman" w:hAnsi="Times New Roman" w:cs="Times New Roman"/>
          <w:b/>
          <w:bCs/>
          <w:szCs w:val="24"/>
          <w:u w:val="single"/>
        </w:rPr>
        <w:t>capture the DOR phenotypic susceptibility landscape</w:t>
      </w:r>
    </w:p>
    <w:p w14:paraId="4F91A035" w14:textId="77777777" w:rsidR="0061294B" w:rsidRDefault="0061294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63CF4E0B" wp14:editId="22F1F6A8">
            <wp:extent cx="5943600" cy="3860165"/>
            <wp:effectExtent l="0" t="0" r="0" b="635"/>
            <wp:docPr id="10984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49889" name="Picture 10984498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20BBE866" w14:textId="77777777" w:rsidR="0061294B" w:rsidRPr="005478F3" w:rsidRDefault="0061294B" w:rsidP="0061294B">
      <w:pPr>
        <w:rPr>
          <w:rFonts w:ascii="Times New Roman" w:hAnsi="Times New Roman" w:cs="Times New Roman"/>
          <w:sz w:val="20"/>
          <w:szCs w:val="20"/>
        </w:rPr>
      </w:pPr>
      <w:r w:rsidRPr="005478F3">
        <w:rPr>
          <w:rFonts w:ascii="Times New Roman" w:hAnsi="Times New Roman" w:cs="Times New Roman"/>
          <w:b/>
          <w:bCs/>
          <w:sz w:val="20"/>
          <w:szCs w:val="20"/>
        </w:rPr>
        <w:lastRenderedPageBreak/>
        <w:t>Figure 2: Changes in electrostatic component of the RT-DOR binding energy vs WT weakly correlates with phenotypic DOR susceptibility data</w:t>
      </w:r>
      <w:r>
        <w:rPr>
          <w:rFonts w:ascii="Times New Roman" w:hAnsi="Times New Roman" w:cs="Times New Roman"/>
          <w:b/>
          <w:bCs/>
          <w:sz w:val="20"/>
          <w:szCs w:val="20"/>
        </w:rPr>
        <w:t xml:space="preserve"> of the control mutations</w:t>
      </w:r>
      <w:r w:rsidRPr="005478F3">
        <w:rPr>
          <w:rFonts w:ascii="Times New Roman" w:hAnsi="Times New Roman" w:cs="Times New Roman"/>
          <w:sz w:val="20"/>
          <w:szCs w:val="20"/>
        </w:rPr>
        <w:t xml:space="preserve">. Data </w:t>
      </w:r>
      <w:r>
        <w:rPr>
          <w:rFonts w:ascii="Times New Roman" w:hAnsi="Times New Roman" w:cs="Times New Roman"/>
          <w:sz w:val="20"/>
          <w:szCs w:val="20"/>
        </w:rPr>
        <w:t>correspond to</w:t>
      </w:r>
      <w:r w:rsidRPr="005478F3">
        <w:rPr>
          <w:rFonts w:ascii="Times New Roman" w:hAnsi="Times New Roman" w:cs="Times New Roman"/>
          <w:sz w:val="20"/>
          <w:szCs w:val="20"/>
        </w:rPr>
        <w:t xml:space="preserve"> the average MM/GBSA electrostatic </w:t>
      </w:r>
      <w:r>
        <w:rPr>
          <w:rFonts w:ascii="Times New Roman" w:hAnsi="Times New Roman" w:cs="Times New Roman"/>
          <w:sz w:val="20"/>
          <w:szCs w:val="20"/>
        </w:rPr>
        <w:t>components</w:t>
      </w:r>
      <w:r w:rsidRPr="005478F3">
        <w:rPr>
          <w:rFonts w:ascii="Times New Roman" w:hAnsi="Times New Roman" w:cs="Times New Roman"/>
          <w:sz w:val="20"/>
          <w:szCs w:val="20"/>
        </w:rPr>
        <w:t xml:space="preserve"> over </w:t>
      </w:r>
      <w:r>
        <w:rPr>
          <w:rFonts w:ascii="Times New Roman" w:hAnsi="Times New Roman" w:cs="Times New Roman"/>
          <w:sz w:val="20"/>
          <w:szCs w:val="20"/>
        </w:rPr>
        <w:t>the last 20</w:t>
      </w:r>
      <w:r w:rsidRPr="005478F3">
        <w:rPr>
          <w:rFonts w:ascii="Times New Roman" w:hAnsi="Times New Roman" w:cs="Times New Roman"/>
          <w:sz w:val="20"/>
          <w:szCs w:val="20"/>
        </w:rPr>
        <w:t xml:space="preserve"> frames</w:t>
      </w:r>
      <w:r>
        <w:rPr>
          <w:rFonts w:ascii="Times New Roman" w:hAnsi="Times New Roman" w:cs="Times New Roman"/>
          <w:sz w:val="20"/>
          <w:szCs w:val="20"/>
        </w:rPr>
        <w:t xml:space="preserve"> (~10ns)</w:t>
      </w:r>
      <w:r w:rsidRPr="005478F3">
        <w:rPr>
          <w:rFonts w:ascii="Times New Roman" w:hAnsi="Times New Roman" w:cs="Times New Roman"/>
          <w:sz w:val="20"/>
          <w:szCs w:val="20"/>
        </w:rPr>
        <w:t xml:space="preserve"> sampled from 100ns all-atom MD simulations of each system. Error bars represent the standard error of the mean over </w:t>
      </w:r>
      <w:r w:rsidRPr="005478F3">
        <w:rPr>
          <w:rFonts w:ascii="Times New Roman" w:hAnsi="Times New Roman" w:cs="Times New Roman"/>
          <w:i/>
          <w:iCs/>
          <w:sz w:val="20"/>
          <w:szCs w:val="20"/>
        </w:rPr>
        <w:t>N</w:t>
      </w:r>
      <w:r w:rsidRPr="005478F3">
        <w:rPr>
          <w:rFonts w:ascii="Times New Roman" w:hAnsi="Times New Roman" w:cs="Times New Roman"/>
          <w:sz w:val="20"/>
          <w:szCs w:val="20"/>
        </w:rPr>
        <w:t xml:space="preserve"> = 3 replicates. Dashed trend line shows an ordinary least-squares linear regression between electrostatic </w:t>
      </w:r>
      <w:r>
        <w:rPr>
          <w:rFonts w:ascii="Times New Roman" w:hAnsi="Times New Roman" w:cs="Times New Roman"/>
          <w:sz w:val="20"/>
          <w:szCs w:val="20"/>
        </w:rPr>
        <w:t>energy shift</w:t>
      </w:r>
      <w:r w:rsidRPr="005478F3">
        <w:rPr>
          <w:rFonts w:ascii="Times New Roman" w:hAnsi="Times New Roman" w:cs="Times New Roman"/>
          <w:sz w:val="20"/>
          <w:szCs w:val="20"/>
        </w:rPr>
        <w:t xml:space="preserve"> and resistance fold-change on a log scale. R</w:t>
      </w:r>
      <w:r>
        <w:rPr>
          <w:rFonts w:ascii="Times New Roman" w:hAnsi="Times New Roman" w:cs="Times New Roman"/>
          <w:sz w:val="20"/>
          <w:szCs w:val="20"/>
          <w:vertAlign w:val="superscript"/>
        </w:rPr>
        <w:t>2</w:t>
      </w:r>
      <w:r w:rsidRPr="005478F3">
        <w:rPr>
          <w:rFonts w:ascii="Times New Roman" w:hAnsi="Times New Roman" w:cs="Times New Roman"/>
          <w:sz w:val="20"/>
          <w:szCs w:val="20"/>
        </w:rPr>
        <w:t xml:space="preserve"> is the coefficient of determination for this fit and the p-value tests whether the regression slope differs from zero using the standard two-tailed t-test.</w:t>
      </w:r>
    </w:p>
    <w:p w14:paraId="3BE4B21C" w14:textId="77777777" w:rsidR="0061294B" w:rsidRDefault="0061294B" w:rsidP="00C965EE">
      <w:pPr>
        <w:rPr>
          <w:rFonts w:ascii="Times New Roman" w:hAnsi="Times New Roman" w:cs="Times New Roman"/>
          <w:szCs w:val="24"/>
        </w:rPr>
      </w:pPr>
    </w:p>
    <w:p w14:paraId="0F71078B" w14:textId="2F8C705C" w:rsidR="00085D4C" w:rsidRDefault="00985CF1" w:rsidP="00C965EE">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energy-like calculations. Starting from the published X-ray crystal structure of WT RT bound to DOR, we introduced each resistance-associated genotype in silico and applied restrained followed by unrestrained energy minimization to generate 18 mutant RT-DOR complex structures corresponding to the curated genotype panel described above. The RT variant sequences simulated in this study are provided in Supplementary Table 2. For each system, we ran three independent 100 ns all-atom, explicit-solvent production simulations and calculated the average MM/GBSA energy over the final 20 frames of each trajectory, corresponding to approximately the final 10 ns. For each mutant genotype, we then computed WT-referenced energetic changes, ΔΔG, for the total MM/GBSA energy and for four individual energy components: van der Waals, electrostatic, generalized Born polar solvation, and nonpolar surface area contributions.</w:t>
      </w:r>
    </w:p>
    <w:p w14:paraId="112F20B4" w14:textId="77777777" w:rsidR="00985CF1" w:rsidRDefault="00985CF1" w:rsidP="00C965EE">
      <w:pPr>
        <w:rPr>
          <w:rFonts w:ascii="Times New Roman" w:hAnsi="Times New Roman" w:cs="Times New Roman"/>
          <w:szCs w:val="24"/>
        </w:rPr>
      </w:pPr>
    </w:p>
    <w:p w14:paraId="1ADBFD58" w14:textId="4E8E3701" w:rsidR="00985CF1" w:rsidRPr="00985CF1" w:rsidRDefault="00985CF1" w:rsidP="0061294B">
      <w:pPr>
        <w:rPr>
          <w:rFonts w:ascii="Times New Roman" w:hAnsi="Times New Roman" w:cs="Times New Roman"/>
          <w:szCs w:val="24"/>
        </w:rPr>
      </w:pPr>
      <w:r w:rsidRPr="00985CF1">
        <w:rPr>
          <w:rFonts w:ascii="Times New Roman" w:hAnsi="Times New Roman" w:cs="Times New Roman"/>
          <w:szCs w:val="24"/>
        </w:rPr>
        <w:t>Overall, neither the total WT-referenced energetic shifts nor most individual energy components correlated with the available phenotypic fold-change data (Supplementary Table 3). The main exception was the electrostatic component, which showed a weak but statistically significant correlation with fold-change values among the negative and positive control mutations (Figure 2). From the perspective of WT-referenced electrostatic shifts, all negative control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-7.9 kJ/mol). </w:t>
      </w:r>
      <w:r w:rsidRPr="00985CF1">
        <w:rPr>
          <w:rFonts w:ascii="Times New Roman" w:hAnsi="Times New Roman" w:cs="Times New Roman"/>
          <w:szCs w:val="24"/>
        </w:rPr>
        <w:t>In contrast, four of the eight positive control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values within error, consistent with reduced electrostatic stability relative to WT. Among the six mutations with uncertain phenotype, G190S and G190E were also electrostatically less stable than WT, whereas K103N+L100I and K103N+M230L were more stable than WT.</w:t>
      </w:r>
    </w:p>
    <w:p w14:paraId="129116DC" w14:textId="77777777" w:rsidR="00985CF1" w:rsidRDefault="00985CF1" w:rsidP="0061294B">
      <w:pPr>
        <w:rPr>
          <w:rFonts w:ascii="Times New Roman" w:hAnsi="Times New Roman" w:cs="Times New Roman"/>
          <w:szCs w:val="24"/>
        </w:rPr>
      </w:pPr>
    </w:p>
    <w:p w14:paraId="7695B548" w14:textId="1DF9FFEE" w:rsidR="0061294B" w:rsidRDefault="00985CF1" w:rsidP="0061294B">
      <w:pPr>
        <w:rPr>
          <w:rFonts w:ascii="Times New Roman" w:hAnsi="Times New Roman" w:cs="Times New Roman"/>
          <w:szCs w:val="24"/>
        </w:rPr>
      </w:pPr>
      <w:r>
        <w:rPr>
          <w:rFonts w:ascii="Times New Roman" w:hAnsi="Times New Roman" w:cs="Times New Roman"/>
          <w:szCs w:val="24"/>
        </w:rPr>
        <w:t xml:space="preserve"> </w:t>
      </w:r>
      <w:r w:rsidR="0061294B">
        <w:rPr>
          <w:rFonts w:ascii="Times New Roman" w:hAnsi="Times New Roman" w:cs="Times New Roman"/>
          <w:noProof/>
          <w:szCs w:val="24"/>
        </w:rPr>
        <w:drawing>
          <wp:inline distT="0" distB="0" distL="0" distR="0" wp14:anchorId="245DA2D5" wp14:editId="373C988D">
            <wp:extent cx="2968730" cy="2334410"/>
            <wp:effectExtent l="0" t="0" r="0" b="0"/>
            <wp:docPr id="1341028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8908" name="Picture 1341028908"/>
                    <pic:cNvPicPr/>
                  </pic:nvPicPr>
                  <pic:blipFill rotWithShape="1">
                    <a:blip r:embed="rId7" cstate="print">
                      <a:extLst>
                        <a:ext uri="{28A0092B-C50C-407E-A947-70E740481C1C}">
                          <a14:useLocalDpi xmlns:a14="http://schemas.microsoft.com/office/drawing/2010/main" val="0"/>
                        </a:ext>
                      </a:extLst>
                    </a:blip>
                    <a:srcRect l="14480" t="5797" r="18184"/>
                    <a:stretch>
                      <a:fillRect/>
                    </a:stretch>
                  </pic:blipFill>
                  <pic:spPr bwMode="auto">
                    <a:xfrm>
                      <a:off x="0" y="0"/>
                      <a:ext cx="2978620" cy="2342186"/>
                    </a:xfrm>
                    <a:prstGeom prst="rect">
                      <a:avLst/>
                    </a:prstGeom>
                    <a:ln>
                      <a:noFill/>
                    </a:ln>
                    <a:extLst>
                      <a:ext uri="{53640926-AAD7-44D8-BBD7-CCE9431645EC}">
                        <a14:shadowObscured xmlns:a14="http://schemas.microsoft.com/office/drawing/2010/main"/>
                      </a:ext>
                    </a:extLst>
                  </pic:spPr>
                </pic:pic>
              </a:graphicData>
            </a:graphic>
          </wp:inline>
        </w:drawing>
      </w:r>
      <w:r w:rsidR="0061294B">
        <w:rPr>
          <w:rFonts w:ascii="Times New Roman" w:hAnsi="Times New Roman" w:cs="Times New Roman"/>
          <w:noProof/>
          <w:szCs w:val="24"/>
        </w:rPr>
        <w:drawing>
          <wp:inline distT="0" distB="0" distL="0" distR="0" wp14:anchorId="2AB52487" wp14:editId="02471794">
            <wp:extent cx="2759242" cy="2306013"/>
            <wp:effectExtent l="0" t="0" r="0" b="5715"/>
            <wp:docPr id="1708111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1438" name="Picture 1708111438"/>
                    <pic:cNvPicPr/>
                  </pic:nvPicPr>
                  <pic:blipFill rotWithShape="1">
                    <a:blip r:embed="rId8" cstate="print">
                      <a:extLst>
                        <a:ext uri="{28A0092B-C50C-407E-A947-70E740481C1C}">
                          <a14:useLocalDpi xmlns:a14="http://schemas.microsoft.com/office/drawing/2010/main" val="0"/>
                        </a:ext>
                      </a:extLst>
                    </a:blip>
                    <a:srcRect l="10268" t="3121" r="12452"/>
                    <a:stretch>
                      <a:fillRect/>
                    </a:stretch>
                  </pic:blipFill>
                  <pic:spPr bwMode="auto">
                    <a:xfrm>
                      <a:off x="0" y="0"/>
                      <a:ext cx="2783109" cy="2325960"/>
                    </a:xfrm>
                    <a:prstGeom prst="rect">
                      <a:avLst/>
                    </a:prstGeom>
                    <a:ln>
                      <a:noFill/>
                    </a:ln>
                    <a:extLst>
                      <a:ext uri="{53640926-AAD7-44D8-BBD7-CCE9431645EC}">
                        <a14:shadowObscured xmlns:a14="http://schemas.microsoft.com/office/drawing/2010/main"/>
                      </a:ext>
                    </a:extLst>
                  </pic:spPr>
                </pic:pic>
              </a:graphicData>
            </a:graphic>
          </wp:inline>
        </w:drawing>
      </w:r>
    </w:p>
    <w:p w14:paraId="685873C1" w14:textId="77777777" w:rsidR="0061294B" w:rsidRPr="005478F3" w:rsidRDefault="0061294B" w:rsidP="0061294B">
      <w:pPr>
        <w:rPr>
          <w:rFonts w:ascii="Times New Roman" w:hAnsi="Times New Roman" w:cs="Times New Roman"/>
          <w:sz w:val="20"/>
          <w:szCs w:val="20"/>
        </w:rPr>
      </w:pPr>
      <w:r w:rsidRPr="005478F3">
        <w:rPr>
          <w:rFonts w:ascii="Times New Roman" w:hAnsi="Times New Roman" w:cs="Times New Roman"/>
          <w:b/>
          <w:bCs/>
          <w:sz w:val="20"/>
          <w:szCs w:val="20"/>
        </w:rPr>
        <w:t>Figure 3: Crystal structure of DOR bound to WT RT (PDB ID: 4NCG).</w:t>
      </w:r>
      <w:r w:rsidRPr="005478F3">
        <w:rPr>
          <w:rFonts w:ascii="Times New Roman" w:hAnsi="Times New Roman" w:cs="Times New Roman"/>
          <w:sz w:val="20"/>
          <w:szCs w:val="20"/>
        </w:rPr>
        <w:t xml:space="preserve"> </w:t>
      </w:r>
      <w:r w:rsidRPr="005478F3">
        <w:rPr>
          <w:rFonts w:ascii="Times New Roman" w:hAnsi="Times New Roman" w:cs="Times New Roman"/>
          <w:i/>
          <w:iCs/>
          <w:sz w:val="20"/>
          <w:szCs w:val="20"/>
        </w:rPr>
        <w:t xml:space="preserve">Left panel: </w:t>
      </w:r>
      <w:r w:rsidRPr="005478F3">
        <w:rPr>
          <w:rFonts w:ascii="Times New Roman" w:hAnsi="Times New Roman" w:cs="Times New Roman"/>
          <w:sz w:val="20"/>
          <w:szCs w:val="20"/>
        </w:rPr>
        <w:t xml:space="preserve">Minimum heavy atom distances </w:t>
      </w:r>
      <w:r>
        <w:rPr>
          <w:rFonts w:ascii="Times New Roman" w:hAnsi="Times New Roman" w:cs="Times New Roman"/>
          <w:sz w:val="20"/>
          <w:szCs w:val="20"/>
        </w:rPr>
        <w:t>between</w:t>
      </w:r>
      <w:r w:rsidRPr="005478F3">
        <w:rPr>
          <w:rFonts w:ascii="Times New Roman" w:hAnsi="Times New Roman" w:cs="Times New Roman"/>
          <w:sz w:val="20"/>
          <w:szCs w:val="20"/>
        </w:rPr>
        <w:t xml:space="preserve"> DOR (yellow) </w:t>
      </w:r>
      <w:r>
        <w:rPr>
          <w:rFonts w:ascii="Times New Roman" w:hAnsi="Times New Roman" w:cs="Times New Roman"/>
          <w:sz w:val="20"/>
          <w:szCs w:val="20"/>
        </w:rPr>
        <w:t>and</w:t>
      </w:r>
      <w:r w:rsidRPr="005478F3">
        <w:rPr>
          <w:rFonts w:ascii="Times New Roman" w:hAnsi="Times New Roman" w:cs="Times New Roman"/>
          <w:sz w:val="20"/>
          <w:szCs w:val="20"/>
        </w:rPr>
        <w:t xml:space="preserve"> eight key NNIBP residues (pink). </w:t>
      </w:r>
      <w:r w:rsidRPr="00AE6586">
        <w:rPr>
          <w:rFonts w:ascii="Times New Roman" w:hAnsi="Times New Roman" w:cs="Times New Roman"/>
          <w:i/>
          <w:iCs/>
          <w:sz w:val="20"/>
          <w:szCs w:val="20"/>
        </w:rPr>
        <w:t>Right panel</w:t>
      </w:r>
      <w:r w:rsidRPr="005478F3">
        <w:rPr>
          <w:rFonts w:ascii="Times New Roman" w:hAnsi="Times New Roman" w:cs="Times New Roman"/>
          <w:sz w:val="20"/>
          <w:szCs w:val="20"/>
        </w:rPr>
        <w:t xml:space="preserve">: </w:t>
      </w:r>
      <w:r>
        <w:rPr>
          <w:rFonts w:ascii="Times New Roman" w:hAnsi="Times New Roman" w:cs="Times New Roman"/>
          <w:sz w:val="20"/>
          <w:szCs w:val="20"/>
        </w:rPr>
        <w:t xml:space="preserve">Visualization of DOR within </w:t>
      </w:r>
      <w:r>
        <w:rPr>
          <w:rFonts w:ascii="Times New Roman" w:hAnsi="Times New Roman" w:cs="Times New Roman"/>
          <w:sz w:val="20"/>
          <w:szCs w:val="20"/>
        </w:rPr>
        <w:lastRenderedPageBreak/>
        <w:t xml:space="preserve">the NNIBP, segmented into seven regions: </w:t>
      </w:r>
      <w:r w:rsidRPr="00AE6586">
        <w:rPr>
          <w:rFonts w:ascii="Times New Roman" w:hAnsi="Times New Roman" w:cs="Times New Roman"/>
          <w:sz w:val="20"/>
          <w:szCs w:val="20"/>
        </w:rPr>
        <w:t>β</w:t>
      </w:r>
      <w:r>
        <w:rPr>
          <w:rFonts w:ascii="Times New Roman" w:hAnsi="Times New Roman" w:cs="Times New Roman"/>
          <w:sz w:val="20"/>
          <w:szCs w:val="20"/>
        </w:rPr>
        <w:t xml:space="preserve">6 strand (blue), Pocket entrance (orange), 103-108 loop (yellow), Hydrophobic tunnel (green), </w:t>
      </w:r>
      <w:r w:rsidRPr="00AE6586">
        <w:rPr>
          <w:rFonts w:ascii="Times New Roman" w:hAnsi="Times New Roman" w:cs="Times New Roman"/>
          <w:sz w:val="20"/>
          <w:szCs w:val="20"/>
        </w:rPr>
        <w:t>β</w:t>
      </w:r>
      <w:r>
        <w:rPr>
          <w:rFonts w:ascii="Times New Roman" w:hAnsi="Times New Roman" w:cs="Times New Roman"/>
          <w:sz w:val="20"/>
          <w:szCs w:val="20"/>
        </w:rPr>
        <w:t>9-</w:t>
      </w:r>
      <w:r w:rsidRPr="00AE6586">
        <w:rPr>
          <w:rFonts w:ascii="Times New Roman" w:hAnsi="Times New Roman" w:cs="Times New Roman"/>
          <w:sz w:val="20"/>
          <w:szCs w:val="20"/>
        </w:rPr>
        <w:t>β</w:t>
      </w:r>
      <w:r>
        <w:rPr>
          <w:rFonts w:ascii="Times New Roman" w:hAnsi="Times New Roman" w:cs="Times New Roman"/>
          <w:sz w:val="20"/>
          <w:szCs w:val="20"/>
        </w:rPr>
        <w:t xml:space="preserve">10 hairpin (red), </w:t>
      </w:r>
      <w:r w:rsidRPr="00AE6586">
        <w:rPr>
          <w:rFonts w:ascii="Times New Roman" w:hAnsi="Times New Roman" w:cs="Times New Roman"/>
          <w:sz w:val="20"/>
          <w:szCs w:val="20"/>
        </w:rPr>
        <w:t>β</w:t>
      </w:r>
      <w:r>
        <w:rPr>
          <w:rFonts w:ascii="Times New Roman" w:hAnsi="Times New Roman" w:cs="Times New Roman"/>
          <w:sz w:val="20"/>
          <w:szCs w:val="20"/>
        </w:rPr>
        <w:t>12-</w:t>
      </w:r>
      <w:r w:rsidRPr="00AE6586">
        <w:rPr>
          <w:rFonts w:ascii="Times New Roman" w:hAnsi="Times New Roman" w:cs="Times New Roman"/>
          <w:sz w:val="20"/>
          <w:szCs w:val="20"/>
        </w:rPr>
        <w:t>β</w:t>
      </w:r>
      <w:r>
        <w:rPr>
          <w:rFonts w:ascii="Times New Roman" w:hAnsi="Times New Roman" w:cs="Times New Roman"/>
          <w:sz w:val="20"/>
          <w:szCs w:val="20"/>
        </w:rPr>
        <w:t xml:space="preserve">13 primer grip (purple), Distal pocket wall (teal). </w:t>
      </w:r>
    </w:p>
    <w:p w14:paraId="32CF710F" w14:textId="77777777" w:rsidR="00985CF1" w:rsidRDefault="00985CF1" w:rsidP="00985CF1">
      <w:pPr>
        <w:pStyle w:val="NormalWeb"/>
      </w:pPr>
      <w:r w:rsidRPr="00985CF1">
        <w:t>Although these global energetic metrics did not fully explain the DOR susceptibility landscape, several mutation-specific patterns suggested possible links to local structural mechanisms of resistance. For example, Y188L showed large trajectory-to-trajectory variation in the van der Waals component, with a</w:t>
      </w:r>
      <w:r>
        <w:t xml:space="preserve"> (∆∆</w:t>
      </w:r>
      <w:proofErr w:type="spellStart"/>
      <w:r>
        <w:t>G</w:t>
      </w:r>
      <w:r>
        <w:rPr>
          <w:vertAlign w:val="subscript"/>
        </w:rPr>
        <w:t>vdW</w:t>
      </w:r>
      <w:proofErr w:type="spellEnd"/>
      <w:r>
        <w:t xml:space="preserve"> </w:t>
      </w:r>
      <w:r w:rsidRPr="00985CF1">
        <w:t>standard deviation of approximately 231 kJ/mol. Visual inspection indicated that this variation arose from alternate conformations of Leu188, which produced distinct DOR packing arrangements across simulations, some resembling WT and others deviating substantially from it. Similarly, V106A+F227L and V106I+F227C showed qualitatively different van der Waals shifts relative to WT, with</w:t>
      </w:r>
      <w:r>
        <w:t xml:space="preserve"> ∆∆</w:t>
      </w:r>
      <w:proofErr w:type="spellStart"/>
      <w:r>
        <w:t>G</w:t>
      </w:r>
      <w:r>
        <w:rPr>
          <w:vertAlign w:val="subscript"/>
        </w:rPr>
        <w:t>vdW</w:t>
      </w:r>
      <w:proofErr w:type="spellEnd"/>
      <w:r>
        <w:t xml:space="preserve"> values of −75.7 kJ/mol and +154.5 kJ/mol, respectively. Thus, mutations affecting the same positions and producing similar phenotypic resistance profiles may nevertheless perturb the RT-DOR complex through distinct local structural mechanisms.</w:t>
      </w:r>
    </w:p>
    <w:p w14:paraId="43BCC399" w14:textId="47D2B042" w:rsidR="00B11FD5" w:rsidRPr="00985CF1" w:rsidRDefault="00985CF1" w:rsidP="00985CF1">
      <w:pPr>
        <w:pStyle w:val="NormalWeb"/>
      </w:pPr>
      <w:r>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is better captured by localized structural rearrangements than by aggregate binding energy shifts alone.</w:t>
      </w:r>
    </w:p>
    <w:p w14:paraId="4EC9C74B" w14:textId="7EF468F4"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62C2F962" w14:textId="77777777" w:rsidR="0061294B" w:rsidRDefault="0061294B" w:rsidP="0061294B">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380AB9F" wp14:editId="0A44C8B5">
            <wp:extent cx="5943600" cy="3837305"/>
            <wp:effectExtent l="0" t="0" r="0" b="0"/>
            <wp:docPr id="26767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3711" name="Picture 267673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6CE620AE" w14:textId="77777777" w:rsidR="0061294B" w:rsidRPr="005478F3" w:rsidRDefault="0061294B" w:rsidP="0061294B">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4</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Local trajectory-level contact analysis between DOR and NNIBP residues in WT RT-DOR simulations</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i/>
          <w:iCs/>
          <w:sz w:val="20"/>
          <w:szCs w:val="20"/>
        </w:rPr>
        <w:t>Top</w:t>
      </w:r>
      <w:r w:rsidRPr="005478F3">
        <w:rPr>
          <w:rFonts w:ascii="Times New Roman" w:hAnsi="Times New Roman" w:cs="Times New Roman"/>
          <w:i/>
          <w:iCs/>
          <w:sz w:val="20"/>
          <w:szCs w:val="20"/>
        </w:rPr>
        <w:t xml:space="preserve"> panel: </w:t>
      </w:r>
      <w:r>
        <w:rPr>
          <w:rFonts w:ascii="Times New Roman" w:hAnsi="Times New Roman" w:cs="Times New Roman"/>
          <w:sz w:val="20"/>
          <w:szCs w:val="20"/>
        </w:rPr>
        <w:t xml:space="preserve">Trajectories of minimum heavy atom distances between DOR and two exemplary NNIBP </w:t>
      </w:r>
      <w:r>
        <w:rPr>
          <w:rFonts w:ascii="Times New Roman" w:hAnsi="Times New Roman" w:cs="Times New Roman"/>
          <w:sz w:val="20"/>
          <w:szCs w:val="20"/>
        </w:rPr>
        <w:lastRenderedPageBreak/>
        <w:t>residues, Pro95 and Tyr318, observed in 100ns MD simulations of the WT DOR-RT complex performed in triplicates.</w:t>
      </w:r>
      <w:r w:rsidRPr="002B5128">
        <w:t xml:space="preserve"> </w:t>
      </w:r>
      <w:r w:rsidRPr="002B5128">
        <w:rPr>
          <w:rFonts w:ascii="Times New Roman" w:hAnsi="Times New Roman" w:cs="Times New Roman"/>
          <w:sz w:val="20"/>
          <w:szCs w:val="20"/>
        </w:rPr>
        <w:t xml:space="preserve">Solid lines indicate the mean trajectory and lighter color bands show the standard error of the mean across </w:t>
      </w:r>
      <w:r w:rsidRPr="002B5128">
        <w:rPr>
          <w:rFonts w:ascii="Times New Roman" w:hAnsi="Times New Roman" w:cs="Times New Roman"/>
          <w:i/>
          <w:iCs/>
          <w:sz w:val="20"/>
          <w:szCs w:val="20"/>
        </w:rPr>
        <w:t>N</w:t>
      </w:r>
      <w:r w:rsidRPr="002B5128">
        <w:rPr>
          <w:rFonts w:ascii="Times New Roman" w:hAnsi="Times New Roman" w:cs="Times New Roman"/>
          <w:sz w:val="20"/>
          <w:szCs w:val="20"/>
        </w:rPr>
        <w:t xml:space="preserve"> = 3 replicates in this as well as other trajectory visualizations in this </w:t>
      </w:r>
      <w:r>
        <w:rPr>
          <w:rFonts w:ascii="Times New Roman" w:hAnsi="Times New Roman" w:cs="Times New Roman"/>
          <w:sz w:val="20"/>
          <w:szCs w:val="20"/>
        </w:rPr>
        <w:t>study</w:t>
      </w:r>
      <w:r w:rsidRPr="002B5128">
        <w:rPr>
          <w:rFonts w:ascii="Times New Roman" w:hAnsi="Times New Roman" w:cs="Times New Roman"/>
          <w:sz w:val="20"/>
          <w:szCs w:val="20"/>
        </w:rPr>
        <w:t xml:space="preserve">. The dotted line represents the 4.0 Å cutoff used to define each contact. </w:t>
      </w:r>
      <w:r>
        <w:rPr>
          <w:rFonts w:ascii="Times New Roman" w:hAnsi="Times New Roman" w:cs="Times New Roman"/>
          <w:i/>
          <w:iCs/>
          <w:sz w:val="20"/>
          <w:szCs w:val="20"/>
        </w:rPr>
        <w:t xml:space="preserve">Bottom panel: </w:t>
      </w:r>
      <w:r>
        <w:rPr>
          <w:rFonts w:ascii="Times New Roman" w:hAnsi="Times New Roman" w:cs="Times New Roman"/>
          <w:sz w:val="20"/>
          <w:szCs w:val="20"/>
        </w:rPr>
        <w:t xml:space="preserve">Mean occupancy computed for all RT residues that came in contact with DOR at any point during the simulations, segregated by NNIBP regions (cf. Figure 3).   </w:t>
      </w:r>
    </w:p>
    <w:p w14:paraId="737F6178" w14:textId="77777777" w:rsidR="0061294B" w:rsidRDefault="0061294B" w:rsidP="009E48E6">
      <w:pPr>
        <w:rPr>
          <w:rFonts w:ascii="Times New Roman" w:hAnsi="Times New Roman" w:cs="Times New Roman"/>
          <w:szCs w:val="24"/>
        </w:rPr>
      </w:pPr>
    </w:p>
    <w:p w14:paraId="7ABF0B23" w14:textId="6D7AB3EB" w:rsidR="00985CF1" w:rsidRDefault="00985CF1" w:rsidP="002B5128">
      <w:pPr>
        <w:rPr>
          <w:rFonts w:ascii="Times New Roman" w:hAnsi="Times New Roman" w:cs="Times New Roman"/>
          <w:szCs w:val="24"/>
        </w:rPr>
      </w:pPr>
      <w:r w:rsidRPr="00985CF1">
        <w:rPr>
          <w:rFonts w:ascii="Times New Roman" w:hAnsi="Times New Roman" w:cs="Times New Roman"/>
          <w:szCs w:val="24"/>
        </w:rPr>
        <w:t>We next asked whether DOR resistance might instead be reflected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BC7757">
        <w:rPr>
          <w:rFonts w:ascii="Times New Roman" w:hAnsi="Times New Roman" w:cs="Times New Roman"/>
          <w:szCs w:val="24"/>
        </w:rPr>
        <w:instrText xml:space="preserve"> ADDIN ZOTERO_ITEM CSL_CITATION {"citationID":"cdbL7NMl","properties":{"unsorted":false,"formattedCitation":"\\super 1\\uc0\\u8211{}3\\nosupersub{}","plainCitation":"1–3","noteIndex":0},"citationItems":[{"id":92,"uris":["http://zotero.org/users/19404620/items/W528QLF7"],"itemData":{"id":92,"type":"article-journal","abstract":"Inhibitors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resistance1","title-short":"The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BC7757" w:rsidRPr="00BC7757">
        <w:rPr>
          <w:rFonts w:ascii="Times New Roman" w:hAnsi="Times New Roman" w:cs="Times New Roman"/>
          <w:szCs w:val="24"/>
          <w:vertAlign w:val="superscript"/>
        </w:rPr>
        <w:t>1–3</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our </w:t>
      </w:r>
      <w:r w:rsidRPr="00985CF1">
        <w:rPr>
          <w:rFonts w:ascii="Times New Roman" w:hAnsi="Times New Roman" w:cs="Times New Roman"/>
          <w:szCs w:val="24"/>
        </w:rPr>
        <w:t>analysis from aggregate energetic metrics to systematic residue-level characterization of DOR contacts within the NNIBP.</w:t>
      </w:r>
    </w:p>
    <w:p w14:paraId="2DD7964A" w14:textId="77777777" w:rsidR="00985CF1" w:rsidRDefault="00985CF1" w:rsidP="00985CF1">
      <w:pPr>
        <w:pStyle w:val="NormalWeb"/>
      </w:pPr>
      <w:r>
        <w:t>To define the WT local interaction landscape, we quantified residue-level DOR contacts across WT RT-DOR simulations. A residue was classified as contacting DOR in a given frame if the minimum heavy-atom distance between that residue and DOR was less than 4.0 Å (Figure 3). For each residue, we then calculated mean contact occupancy, hereafter referred to as mean occupancy, as the fraction of analyzed simulation frames in which this contact criterion was satisfied. This analysis was performed for all residues that contacted DOR at any point in any WT RT-DOR trajectory, yielding a residue-level mean occupancy profile for the WT complex (Figure 4).</w:t>
      </w:r>
    </w:p>
    <w:p w14:paraId="320C0803" w14:textId="7B725D85" w:rsidR="007D1187" w:rsidRDefault="00985CF1" w:rsidP="00985CF1">
      <w:pPr>
        <w:pStyle w:val="NormalWeb"/>
      </w:pPr>
      <w:r>
        <w:t>The WT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and 180 versus 181. Together, these results establish a WT reference map of stable and heterogeneous DOR-pocket interactions against which mutation-associated local rearrangements can be evaluated.</w:t>
      </w:r>
    </w:p>
    <w:p w14:paraId="4452ABA2" w14:textId="31EA77BA"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77777777" w:rsidR="002C427F" w:rsidRDefault="002C427F" w:rsidP="002C427F">
      <w:pPr>
        <w:rPr>
          <w:rFonts w:ascii="Times New Roman" w:hAnsi="Times New Roman" w:cs="Times New Roman"/>
          <w:szCs w:val="24"/>
        </w:rPr>
      </w:pPr>
      <w:r w:rsidRPr="002C427F">
        <w:rPr>
          <w:rFonts w:ascii="Times New Roman" w:hAnsi="Times New Roman" w:cs="Times New Roman"/>
          <w:szCs w:val="24"/>
        </w:rPr>
        <w:t>We then extended the contact analysis across all trajectories in the genotype panel to identify residues whose DOR-contact behavior changed preferentially in specific mutation backgrounds (Figure 5). For each mutant genotype, we compared residue-level mean occupancy against the WT reference profile, thereby generating a mutation-associated occupancy shift map across the NNIBP.</w:t>
      </w:r>
    </w:p>
    <w:p w14:paraId="15196DA4" w14:textId="77777777" w:rsidR="002C427F" w:rsidRPr="002C427F" w:rsidRDefault="002C427F" w:rsidP="002C427F">
      <w:pPr>
        <w:rPr>
          <w:rFonts w:ascii="Times New Roman" w:hAnsi="Times New Roman" w:cs="Times New Roman"/>
          <w:szCs w:val="24"/>
        </w:rPr>
      </w:pPr>
    </w:p>
    <w:p w14:paraId="5B84166B" w14:textId="77777777" w:rsidR="007D445F" w:rsidRDefault="007D445F" w:rsidP="001D0F7D">
      <w:pPr>
        <w:rPr>
          <w:rFonts w:ascii="Times New Roman" w:hAnsi="Times New Roman" w:cs="Times New Roman"/>
          <w:b/>
          <w:bCs/>
          <w:sz w:val="20"/>
          <w:szCs w:val="20"/>
        </w:rPr>
      </w:pPr>
    </w:p>
    <w:p w14:paraId="08A6A677" w14:textId="77777777" w:rsidR="007D445F" w:rsidRDefault="007D445F" w:rsidP="001D0F7D">
      <w:pPr>
        <w:rPr>
          <w:rFonts w:ascii="Times New Roman" w:hAnsi="Times New Roman" w:cs="Times New Roman"/>
          <w:b/>
          <w:bCs/>
          <w:sz w:val="20"/>
          <w:szCs w:val="20"/>
        </w:rPr>
      </w:pPr>
    </w:p>
    <w:p w14:paraId="287FCA54" w14:textId="77777777" w:rsidR="007D445F" w:rsidRDefault="007D445F" w:rsidP="001D0F7D">
      <w:pPr>
        <w:rPr>
          <w:rFonts w:ascii="Times New Roman" w:hAnsi="Times New Roman" w:cs="Times New Roman"/>
          <w:b/>
          <w:bCs/>
          <w:sz w:val="20"/>
          <w:szCs w:val="20"/>
        </w:rPr>
      </w:pPr>
    </w:p>
    <w:p w14:paraId="1098AAF7" w14:textId="77777777" w:rsidR="007D445F" w:rsidRDefault="007D445F" w:rsidP="001D0F7D">
      <w:pPr>
        <w:rPr>
          <w:rFonts w:ascii="Times New Roman" w:hAnsi="Times New Roman" w:cs="Times New Roman"/>
          <w:b/>
          <w:bCs/>
          <w:sz w:val="20"/>
          <w:szCs w:val="20"/>
        </w:rPr>
      </w:pPr>
    </w:p>
    <w:p w14:paraId="6F1B4A07" w14:textId="77777777" w:rsidR="007D445F" w:rsidRDefault="007D445F" w:rsidP="001D0F7D">
      <w:pPr>
        <w:rPr>
          <w:rFonts w:ascii="Times New Roman" w:hAnsi="Times New Roman" w:cs="Times New Roman"/>
          <w:b/>
          <w:bCs/>
          <w:sz w:val="20"/>
          <w:szCs w:val="20"/>
        </w:rPr>
      </w:pPr>
    </w:p>
    <w:p w14:paraId="53BA3DC7" w14:textId="77777777" w:rsidR="0061294B" w:rsidRDefault="0061294B" w:rsidP="001D0F7D">
      <w:pPr>
        <w:rPr>
          <w:rFonts w:ascii="Times New Roman" w:hAnsi="Times New Roman" w:cs="Times New Roman"/>
          <w:b/>
          <w:bCs/>
          <w:sz w:val="20"/>
          <w:szCs w:val="20"/>
        </w:rPr>
        <w:sectPr w:rsidR="0061294B">
          <w:pgSz w:w="12240" w:h="15840"/>
          <w:pgMar w:top="1440" w:right="1440" w:bottom="1440" w:left="1440" w:header="720" w:footer="720" w:gutter="0"/>
          <w:cols w:space="720"/>
          <w:docGrid w:linePitch="360"/>
        </w:sectPr>
      </w:pPr>
    </w:p>
    <w:p w14:paraId="22C0407B" w14:textId="3803C044" w:rsidR="007D445F" w:rsidRDefault="004327D7"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2F3B425" wp14:editId="78CB4010">
            <wp:extent cx="9228907" cy="3822700"/>
            <wp:effectExtent l="0" t="0" r="4445" b="0"/>
            <wp:docPr id="282509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9083" name="Picture 2825090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39282" cy="3868419"/>
                    </a:xfrm>
                    <a:prstGeom prst="rect">
                      <a:avLst/>
                    </a:prstGeom>
                  </pic:spPr>
                </pic:pic>
              </a:graphicData>
            </a:graphic>
          </wp:inline>
        </w:drawing>
      </w:r>
    </w:p>
    <w:p w14:paraId="26A5D1C5" w14:textId="77777777" w:rsidR="007D445F" w:rsidRDefault="007D445F" w:rsidP="001D0F7D">
      <w:pPr>
        <w:rPr>
          <w:rFonts w:ascii="Times New Roman" w:hAnsi="Times New Roman" w:cs="Times New Roman"/>
          <w:b/>
          <w:bCs/>
          <w:sz w:val="20"/>
          <w:szCs w:val="20"/>
        </w:rPr>
      </w:pPr>
    </w:p>
    <w:p w14:paraId="11E037EE" w14:textId="2FC1534F" w:rsidR="00BE6784" w:rsidRPr="003919B1" w:rsidRDefault="003919B1" w:rsidP="001D0F7D">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Mutation-associated changes in mean occupancy</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sz w:val="20"/>
          <w:szCs w:val="20"/>
        </w:rPr>
        <w:t xml:space="preserve">X-axis lists all the 27 residues that were ever in contact with DOR in WT RT-DOR simulations. Y-axis lists the 18 DOR-associated genotypes including negative controls, positive controls, and the </w:t>
      </w:r>
      <w:r w:rsidR="00862498">
        <w:rPr>
          <w:rFonts w:ascii="Times New Roman" w:hAnsi="Times New Roman" w:cs="Times New Roman"/>
          <w:sz w:val="20"/>
          <w:szCs w:val="20"/>
        </w:rPr>
        <w:t>uncertain phenotype</w:t>
      </w:r>
      <w:r w:rsidR="003E13C8">
        <w:rPr>
          <w:rFonts w:ascii="Times New Roman" w:hAnsi="Times New Roman" w:cs="Times New Roman"/>
          <w:sz w:val="20"/>
          <w:szCs w:val="20"/>
        </w:rPr>
        <w:t xml:space="preserve"> </w:t>
      </w:r>
      <w:r>
        <w:rPr>
          <w:rFonts w:ascii="Times New Roman" w:hAnsi="Times New Roman" w:cs="Times New Roman"/>
          <w:sz w:val="20"/>
          <w:szCs w:val="20"/>
        </w:rPr>
        <w:t>set. Values inside each cell in the heatmap represent the change in mean occupancy vs WT for each residue as observed in MD simulations for each genotype.</w:t>
      </w:r>
    </w:p>
    <w:p w14:paraId="2AE0E804" w14:textId="77777777" w:rsidR="0061294B" w:rsidRDefault="0061294B" w:rsidP="001D0F7D">
      <w:pPr>
        <w:rPr>
          <w:rFonts w:ascii="Times New Roman" w:hAnsi="Times New Roman" w:cs="Times New Roman"/>
          <w:szCs w:val="24"/>
        </w:rPr>
        <w:sectPr w:rsidR="0061294B" w:rsidSect="0061294B">
          <w:pgSz w:w="15840" w:h="12226" w:orient="landscape"/>
          <w:pgMar w:top="720" w:right="720" w:bottom="720" w:left="720" w:header="720" w:footer="720" w:gutter="0"/>
          <w:cols w:space="720"/>
          <w:docGrid w:linePitch="360"/>
        </w:sectPr>
      </w:pPr>
    </w:p>
    <w:p w14:paraId="210CCEFE" w14:textId="77777777" w:rsidR="002C427F" w:rsidRPr="002C427F" w:rsidRDefault="002C427F" w:rsidP="002C427F">
      <w:pPr>
        <w:rPr>
          <w:rFonts w:ascii="Times New Roman" w:hAnsi="Times New Roman" w:cs="Times New Roman"/>
          <w:szCs w:val="24"/>
        </w:rPr>
      </w:pPr>
      <w:r w:rsidRPr="002C427F">
        <w:rPr>
          <w:rFonts w:ascii="Times New Roman" w:hAnsi="Times New Roman" w:cs="Times New Roman"/>
          <w:szCs w:val="24"/>
        </w:rPr>
        <w:lastRenderedPageBreak/>
        <w:t>This systematic screen revealed two broad patterns. First, residues at the mutated positions themselves generally showed only modest changes in DOR contact occupancy relative to WT, with few shifts exceeding 10 percentage points. The main exceptions were V106I+F227C, which reduced occupancy at the mutated position Phe227 by 0.28 relative to WT, and K103N+P225H, which reduced occupancy at the mutated position Pro225 by 0.12.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026CE22A" w14:textId="77777777" w:rsidR="004327D7" w:rsidRDefault="004327D7" w:rsidP="001D0F7D">
      <w:pPr>
        <w:rPr>
          <w:rFonts w:ascii="Times New Roman" w:hAnsi="Times New Roman" w:cs="Times New Roman"/>
          <w:szCs w:val="24"/>
        </w:rPr>
      </w:pPr>
    </w:p>
    <w:p w14:paraId="2330D890" w14:textId="25D5A348" w:rsidR="002C427F" w:rsidRDefault="002C427F" w:rsidP="001D0F7D">
      <w:pPr>
        <w:rPr>
          <w:rFonts w:ascii="Times New Roman" w:hAnsi="Times New Roman" w:cs="Times New Roman"/>
          <w:szCs w:val="24"/>
        </w:rPr>
      </w:pPr>
      <w:r w:rsidRPr="002C427F">
        <w:rPr>
          <w:rFonts w:ascii="Times New Roman" w:hAnsi="Times New Roman" w:cs="Times New Roman"/>
          <w:szCs w:val="24"/>
        </w:rPr>
        <w:t xml:space="preserve">Comparing occupancy-shift patterns between positive and negative control mutations further suggested that specific residue-level contacts may function as reporter coordinates for resistance-associated structural rearrangements. </w:t>
      </w:r>
      <w:r>
        <w:rPr>
          <w:rFonts w:ascii="Times New Roman" w:hAnsi="Times New Roman" w:cs="Times New Roman"/>
          <w:szCs w:val="24"/>
        </w:rPr>
        <w:t>Such</w:t>
      </w:r>
      <w:r w:rsidRPr="002C427F">
        <w:rPr>
          <w:rFonts w:ascii="Times New Roman" w:hAnsi="Times New Roman" w:cs="Times New Roman"/>
          <w:szCs w:val="24"/>
        </w:rPr>
        <w:t xml:space="preserve"> reporter residues or reporter groups as local readouts of protein conformational dynamics</w:t>
      </w:r>
      <w:r>
        <w:rPr>
          <w:rFonts w:ascii="Times New Roman" w:hAnsi="Times New Roman" w:cs="Times New Roman"/>
          <w:szCs w:val="24"/>
        </w:rPr>
        <w:t xml:space="preserve"> are commonly used to</w:t>
      </w:r>
      <w:r w:rsidRPr="002C427F">
        <w:rPr>
          <w:rFonts w:ascii="Times New Roman" w:hAnsi="Times New Roman" w:cs="Times New Roman"/>
          <w:szCs w:val="24"/>
        </w:rPr>
        <w:t xml:space="preserve"> describ</w:t>
      </w:r>
      <w:r>
        <w:rPr>
          <w:rFonts w:ascii="Times New Roman" w:hAnsi="Times New Roman" w:cs="Times New Roman"/>
          <w:szCs w:val="24"/>
        </w:rPr>
        <w:t>e</w:t>
      </w:r>
      <w:r w:rsidRPr="002C427F">
        <w:rPr>
          <w:rFonts w:ascii="Times New Roman" w:hAnsi="Times New Roman" w:cs="Times New Roman"/>
          <w:szCs w:val="24"/>
        </w:rPr>
        <w:t xml:space="preserve"> complex conformational changes through reduced structural descriptors</w:t>
      </w:r>
      <w:r>
        <w:rPr>
          <w:rFonts w:ascii="Times New Roman" w:hAnsi="Times New Roman" w:cs="Times New Roman"/>
          <w:szCs w:val="24"/>
        </w:rPr>
        <w:t>, otherwise called</w:t>
      </w:r>
      <w:r w:rsidRPr="002C427F">
        <w:rPr>
          <w:rFonts w:ascii="Times New Roman" w:hAnsi="Times New Roman" w:cs="Times New Roman"/>
          <w:szCs w:val="24"/>
        </w:rPr>
        <w:t xml:space="preserve"> order parameters, collective variables, or </w:t>
      </w:r>
      <w:r>
        <w:rPr>
          <w:rFonts w:ascii="Times New Roman" w:hAnsi="Times New Roman" w:cs="Times New Roman"/>
          <w:szCs w:val="24"/>
        </w:rPr>
        <w:t>reaction coordinates</w:t>
      </w:r>
      <w:r w:rsidRPr="002C427F">
        <w:rPr>
          <w:rFonts w:ascii="Times New Roman" w:hAnsi="Times New Roman" w:cs="Times New Roman"/>
          <w:szCs w:val="24"/>
        </w:rPr>
        <w:t>. In this context, reporter coordinates are residue-level DOR-contact features whose occupancy changes reflect mutation-</w:t>
      </w:r>
      <w:r w:rsidR="00456A13">
        <w:rPr>
          <w:rFonts w:ascii="Times New Roman" w:hAnsi="Times New Roman" w:cs="Times New Roman"/>
          <w:szCs w:val="24"/>
        </w:rPr>
        <w:t>associated</w:t>
      </w:r>
      <w:r w:rsidRPr="002C427F">
        <w:rPr>
          <w:rFonts w:ascii="Times New Roman" w:hAnsi="Times New Roman" w:cs="Times New Roman"/>
          <w:szCs w:val="24"/>
        </w:rPr>
        <w:t xml:space="preserve"> remodeling elsewhere in the NNIBP.</w:t>
      </w:r>
    </w:p>
    <w:p w14:paraId="5E834BFC" w14:textId="77777777" w:rsidR="000D17F2" w:rsidRDefault="000D17F2" w:rsidP="001D0F7D">
      <w:pPr>
        <w:rPr>
          <w:rFonts w:ascii="Times New Roman" w:hAnsi="Times New Roman" w:cs="Times New Roman"/>
          <w:szCs w:val="24"/>
        </w:rPr>
      </w:pPr>
    </w:p>
    <w:p w14:paraId="189AAFA1" w14:textId="54F12CC7" w:rsidR="000D17F2" w:rsidRDefault="000D17F2" w:rsidP="001D0F7D">
      <w:pPr>
        <w:rPr>
          <w:rFonts w:ascii="Times New Roman" w:hAnsi="Times New Roman" w:cs="Times New Roman"/>
          <w:szCs w:val="24"/>
        </w:rPr>
      </w:pPr>
      <w:r w:rsidRPr="000D17F2">
        <w:rPr>
          <w:rFonts w:ascii="Times New Roman" w:hAnsi="Times New Roman" w:cs="Times New Roman"/>
          <w:szCs w:val="24"/>
        </w:rPr>
        <w:t>For example, Y188L, a canonical DOR resistance-associated mutation, increased DOR contact occupancy at Lys102 by 0.23 and decreased occupancy at Pro225 by 0.16 relative to WT. In contrast, Y181C, a negative control mutation in this analysis,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 residues themselves are not necessarily the primary sites of mutational perturbation.</w:t>
      </w:r>
    </w:p>
    <w:p w14:paraId="599D69A7" w14:textId="77777777" w:rsidR="001823FD" w:rsidRDefault="001823FD" w:rsidP="001D0F7D">
      <w:pPr>
        <w:rPr>
          <w:rFonts w:ascii="Times New Roman" w:hAnsi="Times New Roman" w:cs="Times New Roman"/>
          <w:szCs w:val="24"/>
        </w:rPr>
      </w:pPr>
    </w:p>
    <w:p w14:paraId="01CED770" w14:textId="00BDF1F5" w:rsidR="001823FD" w:rsidRDefault="001823FD" w:rsidP="001D0F7D">
      <w:pPr>
        <w:rPr>
          <w:rFonts w:ascii="Times New Roman" w:hAnsi="Times New Roman" w:cs="Times New Roman"/>
          <w:szCs w:val="24"/>
        </w:rPr>
      </w:pPr>
      <w:r w:rsidRPr="001823FD">
        <w:rPr>
          <w:rFonts w:ascii="Times New Roman" w:hAnsi="Times New Roman" w:cs="Times New Roman"/>
          <w:szCs w:val="24"/>
        </w:rPr>
        <w:t>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prioritized residues that satisfied several criteria: reproducible occupancy shifts across independent trajectories, large WT-referenced effect sizes, consistency within structurally interpretable NNIBP regions, and differential behavior between positive and negative control mutations. Thus, reporter coordinates were not selected solely because they showed an extreme value in a high-dimensional screen, but because they captured recurrent, mutation-associated changes in DOR-pocket organization that were also interpretable in the structural context of the RT-DOR complex.</w:t>
      </w:r>
    </w:p>
    <w:p w14:paraId="1A0A1721" w14:textId="77777777" w:rsidR="001823FD" w:rsidRDefault="001823FD" w:rsidP="001D0F7D">
      <w:pPr>
        <w:rPr>
          <w:rFonts w:ascii="Times New Roman" w:hAnsi="Times New Roman" w:cs="Times New Roman"/>
          <w:szCs w:val="24"/>
        </w:rPr>
      </w:pPr>
    </w:p>
    <w:p w14:paraId="1F598AF8" w14:textId="2074A767" w:rsidR="001823FD" w:rsidRDefault="001823FD" w:rsidP="001D0F7D">
      <w:pPr>
        <w:rPr>
          <w:rFonts w:ascii="Times New Roman" w:hAnsi="Times New Roman" w:cs="Times New Roman"/>
          <w:szCs w:val="24"/>
        </w:rPr>
      </w:pPr>
      <w:r w:rsidRPr="001823FD">
        <w:rPr>
          <w:rFonts w:ascii="Times New Roman" w:hAnsi="Times New Roman" w:cs="Times New Roman"/>
          <w:szCs w:val="24"/>
        </w:rPr>
        <w:t xml:space="preserve">We further addressed this concern by comparing observed occupancy shifts against an empirical null distribution generated by trajectory-level resampling. Specifically, mutation labels were permuted across replicate trajectories, and the largest absolute occupancy shift observed across </w:t>
      </w:r>
      <w:r w:rsidR="000C068E">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000C068E" w:rsidRPr="000C068E">
        <w:rPr>
          <w:rFonts w:ascii="Times New Roman" w:hAnsi="Times New Roman" w:cs="Times New Roman"/>
          <w:szCs w:val="24"/>
        </w:rPr>
        <w:t xml:space="preserve">This global maximum statistic estimates the magnitude of occupancy shift expected by chance when applying the same residue-screening procedure to the same trajectory set. </w:t>
      </w:r>
      <w:r w:rsidR="003431AA">
        <w:rPr>
          <w:rFonts w:ascii="Times New Roman" w:hAnsi="Times New Roman" w:cs="Times New Roman"/>
          <w:szCs w:val="24"/>
        </w:rPr>
        <w:t>Only two</w:t>
      </w:r>
      <w:r w:rsidR="000C068E" w:rsidRPr="000C068E">
        <w:rPr>
          <w:rFonts w:ascii="Times New Roman" w:hAnsi="Times New Roman" w:cs="Times New Roman"/>
          <w:szCs w:val="24"/>
        </w:rPr>
        <w:t xml:space="preserve"> reporter coordinates were observed </w:t>
      </w:r>
      <w:r w:rsidR="003431AA">
        <w:rPr>
          <w:rFonts w:ascii="Times New Roman" w:hAnsi="Times New Roman" w:cs="Times New Roman"/>
          <w:szCs w:val="24"/>
        </w:rPr>
        <w:t xml:space="preserve">to have </w:t>
      </w:r>
      <w:r w:rsidR="000C068E" w:rsidRPr="000C068E">
        <w:rPr>
          <w:rFonts w:ascii="Times New Roman" w:hAnsi="Times New Roman" w:cs="Times New Roman"/>
          <w:szCs w:val="24"/>
        </w:rPr>
        <w:t>absolute WT-referenced occupancy shifts exceed</w:t>
      </w:r>
      <w:r w:rsidR="003431AA">
        <w:rPr>
          <w:rFonts w:ascii="Times New Roman" w:hAnsi="Times New Roman" w:cs="Times New Roman"/>
          <w:szCs w:val="24"/>
        </w:rPr>
        <w:t>ing</w:t>
      </w:r>
      <w:r w:rsidR="000C068E" w:rsidRPr="000C068E">
        <w:rPr>
          <w:rFonts w:ascii="Times New Roman" w:hAnsi="Times New Roman" w:cs="Times New Roman"/>
          <w:szCs w:val="24"/>
        </w:rPr>
        <w:t xml:space="preserve"> the 90th percentile of this null </w:t>
      </w:r>
      <w:r w:rsidR="000C068E" w:rsidRPr="000C068E">
        <w:rPr>
          <w:rFonts w:ascii="Times New Roman" w:hAnsi="Times New Roman" w:cs="Times New Roman"/>
          <w:szCs w:val="24"/>
        </w:rPr>
        <w:lastRenderedPageBreak/>
        <w:t>distribution (Supplementary Figure 1)</w:t>
      </w:r>
      <w:r w:rsidR="003431AA">
        <w:rPr>
          <w:rFonts w:ascii="Times New Roman" w:hAnsi="Times New Roman" w:cs="Times New Roman"/>
          <w:szCs w:val="24"/>
        </w:rPr>
        <w:t xml:space="preserve"> – Val179 for G190E and Ser105 for V106A containing genotypes (V106A, V106A+P225H, V106A+F227L, V106A+L234I).</w:t>
      </w:r>
    </w:p>
    <w:p w14:paraId="5F5AF814" w14:textId="77777777" w:rsidR="00CB3AC6" w:rsidRPr="00737ECD" w:rsidRDefault="00CB3AC6" w:rsidP="001D0F7D">
      <w:pPr>
        <w:rPr>
          <w:rFonts w:ascii="Cambria Math" w:hAnsi="Cambria Math" w:cs="Times New Roman"/>
          <w:szCs w:val="24"/>
        </w:rPr>
      </w:pPr>
    </w:p>
    <w:p w14:paraId="28FDD53E" w14:textId="34D88707" w:rsidR="00406A32" w:rsidRPr="00406A32" w:rsidRDefault="005C2299" w:rsidP="00406A32">
      <w:pPr>
        <w:rPr>
          <w:rFonts w:ascii="Times New Roman" w:hAnsi="Times New Roman" w:cs="Times New Roman"/>
          <w:b/>
          <w:bCs/>
          <w:szCs w:val="24"/>
        </w:rPr>
      </w:pPr>
      <w:r w:rsidRPr="005C2299">
        <w:rPr>
          <w:rFonts w:ascii="Times New Roman" w:hAnsi="Times New Roman" w:cs="Times New Roman"/>
          <w:i/>
          <w:iCs/>
          <w:szCs w:val="24"/>
          <w:u w:val="single"/>
        </w:rPr>
        <w:t xml:space="preserve">V106A-containing genotypes shift DOR toward the </w:t>
      </w:r>
      <w:r>
        <w:rPr>
          <w:rFonts w:ascii="Times New Roman" w:hAnsi="Times New Roman" w:cs="Times New Roman"/>
          <w:i/>
          <w:iCs/>
          <w:szCs w:val="24"/>
          <w:u w:val="single"/>
        </w:rPr>
        <w:t>103-108 loop</w:t>
      </w:r>
      <w:r w:rsidR="00406A32">
        <w:rPr>
          <w:rFonts w:ascii="Times New Roman" w:hAnsi="Times New Roman" w:cs="Times New Roman"/>
          <w:noProof/>
          <w:szCs w:val="24"/>
        </w:rPr>
        <w:drawing>
          <wp:inline distT="0" distB="0" distL="0" distR="0" wp14:anchorId="6B9637FF" wp14:editId="523D3904">
            <wp:extent cx="5943600" cy="2429510"/>
            <wp:effectExtent l="0" t="0" r="0" b="0"/>
            <wp:docPr id="1475186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6070" name="Picture 1475186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r w:rsidR="00406A32" w:rsidRPr="00406A32">
        <w:rPr>
          <w:rFonts w:ascii="Arial" w:hAnsi="Arial" w:cs="Arial"/>
          <w:b/>
          <w:bCs/>
          <w:szCs w:val="24"/>
        </w:rPr>
        <w:t xml:space="preserve"> </w:t>
      </w:r>
      <w:r w:rsidR="00406A32" w:rsidRPr="00406A32">
        <w:rPr>
          <w:rFonts w:ascii="Times New Roman" w:hAnsi="Times New Roman" w:cs="Times New Roman"/>
          <w:b/>
          <w:bCs/>
          <w:szCs w:val="24"/>
        </w:rPr>
        <w:t>WT</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V106I</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V106A</w:t>
      </w:r>
    </w:p>
    <w:p w14:paraId="2CEA7A5A" w14:textId="77777777" w:rsidR="00406A32" w:rsidRPr="009055AB" w:rsidRDefault="00406A32" w:rsidP="00406A32">
      <w:pPr>
        <w:rPr>
          <w:rFonts w:ascii="Arial" w:hAnsi="Arial" w:cs="Arial"/>
          <w:szCs w:val="24"/>
        </w:rPr>
      </w:pPr>
      <w:r>
        <w:rPr>
          <w:rFonts w:ascii="Arial" w:hAnsi="Arial" w:cs="Arial"/>
          <w:noProof/>
          <w:szCs w:val="24"/>
        </w:rPr>
        <w:drawing>
          <wp:inline distT="0" distB="0" distL="0" distR="0" wp14:anchorId="40D39643" wp14:editId="2838050D">
            <wp:extent cx="1859028" cy="1820283"/>
            <wp:effectExtent l="0" t="0" r="0" b="0"/>
            <wp:docPr id="179500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529" name="Picture 1795003529"/>
                    <pic:cNvPicPr/>
                  </pic:nvPicPr>
                  <pic:blipFill rotWithShape="1">
                    <a:blip r:embed="rId12" cstate="print">
                      <a:extLst>
                        <a:ext uri="{28A0092B-C50C-407E-A947-70E740481C1C}">
                          <a14:useLocalDpi xmlns:a14="http://schemas.microsoft.com/office/drawing/2010/main" val="0"/>
                        </a:ext>
                      </a:extLst>
                    </a:blip>
                    <a:srcRect l="32927" r="14308"/>
                    <a:stretch>
                      <a:fillRect/>
                    </a:stretch>
                  </pic:blipFill>
                  <pic:spPr bwMode="auto">
                    <a:xfrm>
                      <a:off x="0" y="0"/>
                      <a:ext cx="1868045" cy="182911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FBC1DA1" wp14:editId="4EC99323">
            <wp:extent cx="1829731" cy="1798572"/>
            <wp:effectExtent l="0" t="0" r="0" b="5080"/>
            <wp:docPr id="1320511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178" name="Picture 132051178"/>
                    <pic:cNvPicPr/>
                  </pic:nvPicPr>
                  <pic:blipFill rotWithShape="1">
                    <a:blip r:embed="rId13" cstate="print">
                      <a:extLst>
                        <a:ext uri="{28A0092B-C50C-407E-A947-70E740481C1C}">
                          <a14:useLocalDpi xmlns:a14="http://schemas.microsoft.com/office/drawing/2010/main" val="0"/>
                        </a:ext>
                      </a:extLst>
                    </a:blip>
                    <a:srcRect l="29356" r="18082"/>
                    <a:stretch>
                      <a:fillRect/>
                    </a:stretch>
                  </pic:blipFill>
                  <pic:spPr bwMode="auto">
                    <a:xfrm>
                      <a:off x="0" y="0"/>
                      <a:ext cx="1849493" cy="18179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61E83E7" wp14:editId="7BB6F4C1">
            <wp:extent cx="1629472" cy="1798572"/>
            <wp:effectExtent l="0" t="0" r="0" b="5080"/>
            <wp:docPr id="1209402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2231" name="Picture 1209402231"/>
                    <pic:cNvPicPr/>
                  </pic:nvPicPr>
                  <pic:blipFill rotWithShape="1">
                    <a:blip r:embed="rId14" cstate="print">
                      <a:extLst>
                        <a:ext uri="{28A0092B-C50C-407E-A947-70E740481C1C}">
                          <a14:useLocalDpi xmlns:a14="http://schemas.microsoft.com/office/drawing/2010/main" val="0"/>
                        </a:ext>
                      </a:extLst>
                    </a:blip>
                    <a:srcRect l="32927" r="20264"/>
                    <a:stretch>
                      <a:fillRect/>
                    </a:stretch>
                  </pic:blipFill>
                  <pic:spPr bwMode="auto">
                    <a:xfrm>
                      <a:off x="0" y="0"/>
                      <a:ext cx="1643402" cy="1813947"/>
                    </a:xfrm>
                    <a:prstGeom prst="rect">
                      <a:avLst/>
                    </a:prstGeom>
                    <a:ln>
                      <a:noFill/>
                    </a:ln>
                    <a:extLst>
                      <a:ext uri="{53640926-AAD7-44D8-BBD7-CCE9431645EC}">
                        <a14:shadowObscured xmlns:a14="http://schemas.microsoft.com/office/drawing/2010/main"/>
                      </a:ext>
                    </a:extLst>
                  </pic:spPr>
                </pic:pic>
              </a:graphicData>
            </a:graphic>
          </wp:inline>
        </w:drawing>
      </w:r>
    </w:p>
    <w:p w14:paraId="7F36B645" w14:textId="274E1BF0" w:rsidR="00406A32" w:rsidRDefault="00406A32" w:rsidP="00406A32">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7</w:t>
      </w:r>
      <w:r w:rsidRPr="005478F3">
        <w:rPr>
          <w:rFonts w:ascii="Times New Roman" w:hAnsi="Times New Roman" w:cs="Times New Roman"/>
          <w:b/>
          <w:bCs/>
          <w:sz w:val="20"/>
          <w:szCs w:val="20"/>
        </w:rPr>
        <w:t xml:space="preserve">: </w:t>
      </w:r>
      <w:r w:rsidRPr="00406A32">
        <w:rPr>
          <w:rFonts w:ascii="Times New Roman" w:hAnsi="Times New Roman" w:cs="Times New Roman"/>
          <w:b/>
          <w:bCs/>
          <w:sz w:val="20"/>
          <w:szCs w:val="20"/>
        </w:rPr>
        <w:t xml:space="preserve">V106A preferentially alters DOR pose, causing Ser105 to shift closer to DOR. </w:t>
      </w:r>
      <w:r w:rsidRPr="00406A32">
        <w:rPr>
          <w:rFonts w:ascii="Times New Roman" w:hAnsi="Times New Roman" w:cs="Times New Roman"/>
          <w:sz w:val="20"/>
          <w:szCs w:val="20"/>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41C0062C" w14:textId="3A649C79" w:rsidR="00737ECD" w:rsidRDefault="00737ECD" w:rsidP="001D0F7D">
      <w:pPr>
        <w:rPr>
          <w:rFonts w:ascii="Times New Roman" w:hAnsi="Times New Roman" w:cs="Times New Roman"/>
          <w:szCs w:val="24"/>
        </w:rPr>
      </w:pPr>
    </w:p>
    <w:p w14:paraId="2916941F" w14:textId="2E4DFA48"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V106 region is a major determinant of DOR susceptibility because V106 directly contacts the central </w:t>
      </w:r>
      <w:proofErr w:type="spellStart"/>
      <w:r w:rsidRPr="004B23D9">
        <w:rPr>
          <w:rFonts w:ascii="Times New Roman" w:hAnsi="Times New Roman" w:cs="Times New Roman"/>
          <w:szCs w:val="24"/>
        </w:rPr>
        <w:t>pyridone</w:t>
      </w:r>
      <w:proofErr w:type="spellEnd"/>
      <w:r>
        <w:rPr>
          <w:rFonts w:ascii="Times New Roman" w:hAnsi="Times New Roman" w:cs="Times New Roman"/>
          <w:szCs w:val="24"/>
        </w:rPr>
        <w:t xml:space="preserve"> core of DOR</w:t>
      </w:r>
      <w:r w:rsidRPr="004B23D9">
        <w:rPr>
          <w:rFonts w:ascii="Times New Roman" w:hAnsi="Times New Roman" w:cs="Times New Roman"/>
          <w:szCs w:val="24"/>
        </w:rPr>
        <w:t xml:space="preserve">. However, the literature and our own genotype panel indicate that not all </w:t>
      </w:r>
      <w:r w:rsidR="0023650E">
        <w:rPr>
          <w:rFonts w:ascii="Times New Roman" w:hAnsi="Times New Roman" w:cs="Times New Roman"/>
          <w:szCs w:val="24"/>
        </w:rPr>
        <w:t>V</w:t>
      </w:r>
      <w:r w:rsidRPr="004B23D9">
        <w:rPr>
          <w:rFonts w:ascii="Times New Roman" w:hAnsi="Times New Roman" w:cs="Times New Roman"/>
          <w:szCs w:val="24"/>
        </w:rPr>
        <w:t xml:space="preserve">106 </w:t>
      </w:r>
      <w:r w:rsidR="0023650E">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xml:space="preserve">, a polymorphic substitution </w:t>
      </w:r>
      <w:r w:rsidR="0023650E">
        <w:rPr>
          <w:rFonts w:ascii="Times New Roman" w:hAnsi="Times New Roman" w:cs="Times New Roman"/>
          <w:szCs w:val="24"/>
        </w:rPr>
        <w:t>observed</w:t>
      </w:r>
      <w:r>
        <w:rPr>
          <w:rFonts w:ascii="Times New Roman" w:hAnsi="Times New Roman" w:cs="Times New Roman"/>
          <w:szCs w:val="24"/>
        </w:rPr>
        <w:t xml:space="preserve"> </w:t>
      </w:r>
      <w:r w:rsidR="0023650E">
        <w:rPr>
          <w:rFonts w:ascii="Times New Roman" w:hAnsi="Times New Roman" w:cs="Times New Roman"/>
          <w:szCs w:val="24"/>
        </w:rPr>
        <w:t xml:space="preserve">to some extent </w:t>
      </w:r>
      <w:r>
        <w:rPr>
          <w:rFonts w:ascii="Times New Roman" w:hAnsi="Times New Roman" w:cs="Times New Roman"/>
          <w:szCs w:val="24"/>
        </w:rPr>
        <w:t>in the general population,</w:t>
      </w:r>
      <w:r w:rsidRPr="004B23D9">
        <w:rPr>
          <w:rFonts w:ascii="Times New Roman" w:hAnsi="Times New Roman" w:cs="Times New Roman"/>
          <w:szCs w:val="24"/>
        </w:rPr>
        <w:t xml:space="preserve"> generally has little effect on DOR susceptibility when present alone, whereas V106A is a canonical DOR resistance mutation and serves as the first step in several high-resistance combination pathways.</w:t>
      </w:r>
    </w:p>
    <w:p w14:paraId="20DC0993" w14:textId="77777777" w:rsidR="004B23D9" w:rsidRPr="004B23D9" w:rsidRDefault="004B23D9" w:rsidP="004B23D9">
      <w:pPr>
        <w:rPr>
          <w:rFonts w:ascii="Times New Roman" w:hAnsi="Times New Roman" w:cs="Times New Roman"/>
          <w:szCs w:val="24"/>
        </w:rPr>
      </w:pPr>
    </w:p>
    <w:p w14:paraId="623D29D9" w14:textId="482188EA"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systematic contact analysis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sidR="007D2CDE">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preferential shifts in DOR proximity in V106A-containing trajectories. In direct comparisons among </w:t>
      </w:r>
      <w:r w:rsidR="009D1AB3">
        <w:rPr>
          <w:rFonts w:ascii="Times New Roman" w:hAnsi="Times New Roman" w:cs="Times New Roman"/>
          <w:szCs w:val="24"/>
        </w:rPr>
        <w:t xml:space="preserve">WT, </w:t>
      </w:r>
      <w:r w:rsidRPr="004B23D9">
        <w:rPr>
          <w:rFonts w:ascii="Times New Roman" w:hAnsi="Times New Roman" w:cs="Times New Roman"/>
          <w:szCs w:val="24"/>
        </w:rPr>
        <w:t>V106I</w:t>
      </w:r>
      <w:r w:rsidR="009D1AB3">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sidR="007D2CDE">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sidR="0023650E">
        <w:rPr>
          <w:rFonts w:ascii="Times New Roman" w:hAnsi="Times New Roman" w:cs="Times New Roman"/>
          <w:szCs w:val="24"/>
        </w:rPr>
        <w:t xml:space="preserve"> (Figure </w:t>
      </w:r>
      <w:r w:rsidR="002776BF">
        <w:rPr>
          <w:rFonts w:ascii="Times New Roman" w:hAnsi="Times New Roman" w:cs="Times New Roman"/>
          <w:szCs w:val="24"/>
        </w:rPr>
        <w:t>7</w:t>
      </w:r>
      <w:r w:rsidR="0023650E">
        <w:rPr>
          <w:rFonts w:ascii="Times New Roman" w:hAnsi="Times New Roman" w:cs="Times New Roman"/>
          <w:szCs w:val="24"/>
        </w:rPr>
        <w:t>)</w:t>
      </w:r>
      <w:r w:rsidRPr="004B23D9">
        <w:rPr>
          <w:rFonts w:ascii="Times New Roman" w:hAnsi="Times New Roman" w:cs="Times New Roman"/>
          <w:szCs w:val="24"/>
        </w:rPr>
        <w:t>.</w:t>
      </w:r>
    </w:p>
    <w:p w14:paraId="1884C1BC" w14:textId="77777777" w:rsidR="004B23D9" w:rsidRPr="004B23D9" w:rsidRDefault="004B23D9" w:rsidP="004B23D9">
      <w:pPr>
        <w:rPr>
          <w:rFonts w:ascii="Times New Roman" w:hAnsi="Times New Roman" w:cs="Times New Roman"/>
          <w:szCs w:val="24"/>
        </w:rPr>
      </w:pPr>
    </w:p>
    <w:p w14:paraId="5F7B59B3" w14:textId="36204051"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more </w:t>
      </w:r>
      <w:r w:rsidR="00C94FBD">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sidR="00AB7308">
        <w:rPr>
          <w:rFonts w:ascii="Times New Roman" w:hAnsi="Times New Roman" w:cs="Times New Roman"/>
          <w:szCs w:val="24"/>
        </w:rPr>
        <w:t>, which mitigates</w:t>
      </w:r>
      <w:r w:rsidRPr="004B23D9">
        <w:rPr>
          <w:rFonts w:ascii="Times New Roman" w:hAnsi="Times New Roman" w:cs="Times New Roman"/>
          <w:szCs w:val="24"/>
        </w:rPr>
        <w:t xml:space="preserve"> </w:t>
      </w:r>
      <w:r w:rsidR="00AB7308">
        <w:rPr>
          <w:rFonts w:ascii="Times New Roman" w:hAnsi="Times New Roman" w:cs="Times New Roman"/>
          <w:szCs w:val="24"/>
        </w:rPr>
        <w:t>l</w:t>
      </w:r>
      <w:r w:rsidRPr="004B23D9">
        <w:rPr>
          <w:rFonts w:ascii="Times New Roman" w:hAnsi="Times New Roman" w:cs="Times New Roman"/>
          <w:szCs w:val="24"/>
        </w:rPr>
        <w:t xml:space="preserve">ocal geometry </w:t>
      </w:r>
      <w:r w:rsidR="00AB7308">
        <w:rPr>
          <w:rFonts w:ascii="Times New Roman" w:hAnsi="Times New Roman" w:cs="Times New Roman"/>
          <w:szCs w:val="24"/>
        </w:rPr>
        <w:t>perturbation</w:t>
      </w:r>
      <w:r w:rsidRPr="004B23D9">
        <w:rPr>
          <w:rFonts w:ascii="Times New Roman" w:hAnsi="Times New Roman" w:cs="Times New Roman"/>
          <w:szCs w:val="24"/>
        </w:rPr>
        <w:t>.</w:t>
      </w:r>
    </w:p>
    <w:p w14:paraId="4EEF65E8" w14:textId="77777777" w:rsidR="004B23D9" w:rsidRPr="004B23D9" w:rsidRDefault="004B23D9" w:rsidP="004B23D9">
      <w:pPr>
        <w:rPr>
          <w:rFonts w:ascii="Times New Roman" w:hAnsi="Times New Roman" w:cs="Times New Roman"/>
          <w:szCs w:val="24"/>
        </w:rPr>
      </w:pPr>
    </w:p>
    <w:p w14:paraId="018BDE57" w14:textId="71A095EC" w:rsidR="00335759" w:rsidRDefault="004B23D9" w:rsidP="004B23D9">
      <w:pPr>
        <w:rPr>
          <w:rFonts w:ascii="Times New Roman" w:hAnsi="Times New Roman" w:cs="Times New Roman"/>
          <w:szCs w:val="24"/>
        </w:rPr>
      </w:pPr>
      <w:r w:rsidRPr="004B23D9">
        <w:rPr>
          <w:rFonts w:ascii="Times New Roman" w:hAnsi="Times New Roman" w:cs="Times New Roman"/>
          <w:szCs w:val="24"/>
        </w:rPr>
        <w:t xml:space="preserve">This model also helps explain why V106A becomes especially problematic in combination with secondary </w:t>
      </w:r>
      <w:r w:rsidR="005C0F1B">
        <w:rPr>
          <w:rFonts w:ascii="Times New Roman" w:hAnsi="Times New Roman" w:cs="Times New Roman"/>
          <w:szCs w:val="24"/>
        </w:rPr>
        <w:t>hydrophobic tunnel or primer grip mutations</w:t>
      </w:r>
      <w:r w:rsidRPr="004B23D9">
        <w:rPr>
          <w:rFonts w:ascii="Times New Roman" w:hAnsi="Times New Roman" w:cs="Times New Roman"/>
          <w:szCs w:val="24"/>
        </w:rPr>
        <w:t xml:space="preserve">. If V106A first redistributes the DOR pose toward the </w:t>
      </w:r>
      <w:r w:rsidR="00C94FBD">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p>
    <w:p w14:paraId="1A598D82" w14:textId="77777777" w:rsidR="00406A32" w:rsidRDefault="00406A32" w:rsidP="004B23D9">
      <w:pPr>
        <w:rPr>
          <w:rFonts w:ascii="Times New Roman" w:hAnsi="Times New Roman" w:cs="Times New Roman"/>
          <w:szCs w:val="24"/>
        </w:rPr>
      </w:pPr>
    </w:p>
    <w:p w14:paraId="0736B3D9" w14:textId="77777777" w:rsidR="009D1AB3" w:rsidRDefault="009D1AB3" w:rsidP="00D86BE2">
      <w:pPr>
        <w:rPr>
          <w:rFonts w:ascii="Times New Roman" w:hAnsi="Times New Roman" w:cs="Times New Roman"/>
          <w:i/>
          <w:iCs/>
          <w:szCs w:val="24"/>
          <w:u w:val="single"/>
        </w:rPr>
      </w:pPr>
      <w:r w:rsidRPr="009D1AB3">
        <w:rPr>
          <w:rFonts w:ascii="Times New Roman" w:hAnsi="Times New Roman" w:cs="Times New Roman"/>
          <w:i/>
          <w:iCs/>
          <w:szCs w:val="24"/>
          <w:u w:val="single"/>
        </w:rPr>
        <w:t>V106I+F227C reaches high resistance through a different local route than V106A+F227L</w:t>
      </w:r>
    </w:p>
    <w:p w14:paraId="76DC50EB" w14:textId="49AA1472" w:rsidR="009D1AB3" w:rsidRDefault="009D1AB3" w:rsidP="009D1AB3">
      <w:pPr>
        <w:rPr>
          <w:rFonts w:ascii="Times New Roman" w:hAnsi="Times New Roman" w:cs="Times New Roman"/>
          <w:szCs w:val="24"/>
        </w:rPr>
      </w:pPr>
      <w:r w:rsidRPr="009D1AB3">
        <w:rPr>
          <w:rFonts w:ascii="Times New Roman" w:hAnsi="Times New Roman" w:cs="Times New Roman"/>
          <w:szCs w:val="24"/>
        </w:rPr>
        <w:t>V106I+F227C and V106A+F227L are both highly resistant DOR-associated genotypes, yet the pathway-specific logic above predicts that they should not be structurally identical.</w:t>
      </w:r>
      <w:r>
        <w:rPr>
          <w:rFonts w:ascii="Times New Roman" w:hAnsi="Times New Roman" w:cs="Times New Roman"/>
          <w:szCs w:val="24"/>
        </w:rPr>
        <w:t xml:space="preserve"> </w:t>
      </w:r>
      <w:r w:rsidRPr="009D1AB3">
        <w:rPr>
          <w:rFonts w:ascii="Times New Roman" w:hAnsi="Times New Roman" w:cs="Times New Roman"/>
          <w:szCs w:val="24"/>
        </w:rPr>
        <w:t xml:space="preserve">V106A+F227L belongs to the V106A family and therefore might be expected to retain the </w:t>
      </w:r>
      <w:r>
        <w:rPr>
          <w:rFonts w:ascii="Times New Roman" w:hAnsi="Times New Roman" w:cs="Times New Roman"/>
          <w:szCs w:val="24"/>
        </w:rPr>
        <w:t>103-108 loop</w:t>
      </w:r>
      <w:r w:rsidRPr="009D1AB3">
        <w:rPr>
          <w:rFonts w:ascii="Times New Roman" w:hAnsi="Times New Roman" w:cs="Times New Roman"/>
          <w:szCs w:val="24"/>
        </w:rPr>
        <w:t xml:space="preserve">-shifted signature. V106I+F227C, by contrast, combines a relatively low-impact </w:t>
      </w:r>
      <w:r>
        <w:rPr>
          <w:rFonts w:ascii="Times New Roman" w:hAnsi="Times New Roman" w:cs="Times New Roman"/>
          <w:szCs w:val="24"/>
        </w:rPr>
        <w:t>V</w:t>
      </w:r>
      <w:r w:rsidRPr="009D1AB3">
        <w:rPr>
          <w:rFonts w:ascii="Times New Roman" w:hAnsi="Times New Roman" w:cs="Times New Roman"/>
          <w:szCs w:val="24"/>
        </w:rPr>
        <w:t xml:space="preserve">106 substitution with a </w:t>
      </w:r>
      <w:r>
        <w:rPr>
          <w:rFonts w:ascii="Times New Roman" w:hAnsi="Times New Roman" w:cs="Times New Roman"/>
          <w:szCs w:val="24"/>
        </w:rPr>
        <w:t>hydrophobic tunnel</w:t>
      </w:r>
      <w:r w:rsidRPr="009D1AB3">
        <w:rPr>
          <w:rFonts w:ascii="Times New Roman" w:hAnsi="Times New Roman" w:cs="Times New Roman"/>
          <w:szCs w:val="24"/>
        </w:rPr>
        <w:t xml:space="preserve"> substitution at position 227.</w:t>
      </w:r>
    </w:p>
    <w:p w14:paraId="24DAA122" w14:textId="77777777" w:rsidR="009D1AB3" w:rsidRPr="009D1AB3" w:rsidRDefault="009D1AB3" w:rsidP="009D1AB3">
      <w:pPr>
        <w:rPr>
          <w:rFonts w:ascii="Times New Roman" w:hAnsi="Times New Roman" w:cs="Times New Roman"/>
          <w:szCs w:val="24"/>
        </w:rPr>
      </w:pPr>
    </w:p>
    <w:p w14:paraId="7D192F25" w14:textId="4F4D3CF0" w:rsidR="009D1AB3" w:rsidRDefault="009D1AB3" w:rsidP="009D1AB3">
      <w:pPr>
        <w:rPr>
          <w:rFonts w:ascii="Times New Roman" w:hAnsi="Times New Roman" w:cs="Times New Roman"/>
          <w:szCs w:val="24"/>
        </w:rPr>
      </w:pPr>
      <w:r>
        <w:rPr>
          <w:rFonts w:ascii="Times New Roman" w:hAnsi="Times New Roman" w:cs="Times New Roman"/>
          <w:szCs w:val="24"/>
        </w:rPr>
        <w:t>In line with this expectation,</w:t>
      </w:r>
      <w:r w:rsidRPr="009D1AB3">
        <w:rPr>
          <w:rFonts w:ascii="Times New Roman" w:hAnsi="Times New Roman" w:cs="Times New Roman"/>
          <w:szCs w:val="24"/>
        </w:rPr>
        <w:t xml:space="preserve"> V106A+F227L showed the same local shift toward Ser105 and Lys104 seen in other V106A-containing backgrounds. V106I+F227C did not show that same </w:t>
      </w:r>
      <w:r>
        <w:rPr>
          <w:rFonts w:ascii="Times New Roman" w:hAnsi="Times New Roman" w:cs="Times New Roman"/>
          <w:szCs w:val="24"/>
        </w:rPr>
        <w:t>103-108 loop</w:t>
      </w:r>
      <w:r w:rsidRPr="009D1AB3">
        <w:rPr>
          <w:rFonts w:ascii="Times New Roman" w:hAnsi="Times New Roman" w:cs="Times New Roman"/>
          <w:szCs w:val="24"/>
        </w:rPr>
        <w:t>-focused pattern. Instead, it sampled alternative local conformations involving the residue</w:t>
      </w:r>
      <w:r w:rsidR="00720A25">
        <w:rPr>
          <w:rFonts w:ascii="Times New Roman" w:hAnsi="Times New Roman" w:cs="Times New Roman"/>
          <w:szCs w:val="24"/>
        </w:rPr>
        <w:t xml:space="preserve"> </w:t>
      </w:r>
      <w:r w:rsidRPr="009D1AB3">
        <w:rPr>
          <w:rFonts w:ascii="Times New Roman" w:hAnsi="Times New Roman" w:cs="Times New Roman"/>
          <w:szCs w:val="24"/>
        </w:rPr>
        <w:t>227 region, with DOR becoming transiently more separated from position 227 than in WT or V106A+F227L</w:t>
      </w:r>
      <w:r w:rsidR="00720A25">
        <w:rPr>
          <w:rFonts w:ascii="Times New Roman" w:hAnsi="Times New Roman" w:cs="Times New Roman"/>
          <w:szCs w:val="24"/>
        </w:rPr>
        <w:t xml:space="preserve"> (Figure 8)</w:t>
      </w:r>
      <w:r w:rsidRPr="009D1AB3">
        <w:rPr>
          <w:rFonts w:ascii="Times New Roman" w:hAnsi="Times New Roman" w:cs="Times New Roman"/>
          <w:szCs w:val="24"/>
        </w:rPr>
        <w:t>.</w:t>
      </w:r>
    </w:p>
    <w:p w14:paraId="0EF1202B" w14:textId="77777777" w:rsidR="009D1AB3" w:rsidRPr="009D1AB3" w:rsidRDefault="009D1AB3" w:rsidP="009D1AB3">
      <w:pPr>
        <w:rPr>
          <w:rFonts w:ascii="Times New Roman" w:hAnsi="Times New Roman" w:cs="Times New Roman"/>
          <w:szCs w:val="24"/>
        </w:rPr>
      </w:pPr>
    </w:p>
    <w:p w14:paraId="7CC269E8" w14:textId="538105B4" w:rsidR="005C0F1B" w:rsidRDefault="009D1AB3" w:rsidP="009D1AB3">
      <w:pPr>
        <w:rPr>
          <w:rFonts w:ascii="Times New Roman" w:hAnsi="Times New Roman" w:cs="Times New Roman"/>
          <w:szCs w:val="24"/>
        </w:rPr>
      </w:pPr>
      <w:r w:rsidRPr="009D1AB3">
        <w:rPr>
          <w:rFonts w:ascii="Times New Roman" w:hAnsi="Times New Roman" w:cs="Times New Roman"/>
          <w:szCs w:val="24"/>
        </w:rPr>
        <w:t>The importance of this comparison is conceptual as well as mechanistic. These two genotypes have nearly identical median DOR fold-change values in the available phenotype data, yet the simulations suggest that they arrive at that shared phenotype through different structural routes. Similar resistance magnitude therefore need not imply a shared mechanism. For DOR resistance interpretation, this means that structurally distinct genotype classes may converge on a similar susceptibility outcome through different local reorganizations of the same pocket.</w:t>
      </w:r>
    </w:p>
    <w:p w14:paraId="09EFCD50" w14:textId="6D4DE50E" w:rsidR="00C82BF8" w:rsidRPr="003A47EA" w:rsidRDefault="00C82BF8" w:rsidP="00C82BF8">
      <w:pPr>
        <w:rPr>
          <w:rFonts w:ascii="Arial" w:hAnsi="Arial" w:cs="Arial"/>
          <w:b/>
          <w:bCs/>
          <w:szCs w:val="24"/>
        </w:rPr>
      </w:pPr>
      <w:r>
        <w:rPr>
          <w:rFonts w:ascii="Times New Roman" w:hAnsi="Times New Roman" w:cs="Times New Roman"/>
          <w:noProof/>
          <w:szCs w:val="24"/>
        </w:rPr>
        <w:drawing>
          <wp:inline distT="0" distB="0" distL="0" distR="0" wp14:anchorId="3F399826" wp14:editId="4D8FF208">
            <wp:extent cx="5943600" cy="2285365"/>
            <wp:effectExtent l="0" t="0" r="0" b="635"/>
            <wp:docPr id="357265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5083" name="Picture 3572650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inline>
        </w:drawing>
      </w:r>
      <w:r w:rsidRPr="00C82BF8">
        <w:rPr>
          <w:rFonts w:ascii="Arial" w:hAnsi="Arial" w:cs="Arial"/>
          <w:b/>
          <w:bCs/>
          <w:szCs w:val="24"/>
        </w:rPr>
        <w:t xml:space="preserve"> </w:t>
      </w:r>
      <w:r w:rsidRPr="00C82BF8">
        <w:rPr>
          <w:rFonts w:ascii="Times New Roman" w:hAnsi="Times New Roman" w:cs="Times New Roman"/>
          <w:b/>
          <w:bCs/>
          <w:szCs w:val="24"/>
        </w:rPr>
        <w:t>WT</w:t>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t xml:space="preserve">             V106A+F227L</w:t>
      </w:r>
      <w:r w:rsidRPr="00C82BF8">
        <w:rPr>
          <w:rFonts w:ascii="Times New Roman" w:hAnsi="Times New Roman" w:cs="Times New Roman"/>
          <w:b/>
          <w:bCs/>
          <w:szCs w:val="24"/>
        </w:rPr>
        <w:tab/>
      </w:r>
      <w:r w:rsidRPr="00C82BF8">
        <w:rPr>
          <w:rFonts w:ascii="Times New Roman" w:hAnsi="Times New Roman" w:cs="Times New Roman"/>
          <w:b/>
          <w:bCs/>
          <w:szCs w:val="24"/>
        </w:rPr>
        <w:tab/>
        <w:t>V106I+F227C</w:t>
      </w:r>
    </w:p>
    <w:p w14:paraId="4FA42112" w14:textId="77777777" w:rsidR="00C82BF8" w:rsidRDefault="00C82BF8" w:rsidP="00C82BF8">
      <w:pPr>
        <w:rPr>
          <w:rFonts w:ascii="Arial" w:hAnsi="Arial" w:cs="Arial"/>
          <w:szCs w:val="24"/>
        </w:rPr>
      </w:pPr>
      <w:r>
        <w:rPr>
          <w:rFonts w:ascii="Arial" w:hAnsi="Arial" w:cs="Arial"/>
          <w:noProof/>
          <w:szCs w:val="24"/>
        </w:rPr>
        <w:lastRenderedPageBreak/>
        <w:drawing>
          <wp:inline distT="0" distB="0" distL="0" distR="0" wp14:anchorId="13454E95" wp14:editId="0C40ACF6">
            <wp:extent cx="2429219" cy="1493097"/>
            <wp:effectExtent l="0" t="0" r="0" b="5715"/>
            <wp:docPr id="1506776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121" name="Picture 1506776121"/>
                    <pic:cNvPicPr/>
                  </pic:nvPicPr>
                  <pic:blipFill rotWithShape="1">
                    <a:blip r:embed="rId16" cstate="print">
                      <a:extLst>
                        <a:ext uri="{28A0092B-C50C-407E-A947-70E740481C1C}">
                          <a14:useLocalDpi xmlns:a14="http://schemas.microsoft.com/office/drawing/2010/main" val="0"/>
                        </a:ext>
                      </a:extLst>
                    </a:blip>
                    <a:srcRect l="10680" t="10997" r="17924" b="10856"/>
                    <a:stretch>
                      <a:fillRect/>
                    </a:stretch>
                  </pic:blipFill>
                  <pic:spPr bwMode="auto">
                    <a:xfrm>
                      <a:off x="0" y="0"/>
                      <a:ext cx="2517918" cy="154761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B51ADAB" wp14:editId="77803955">
            <wp:extent cx="1768046" cy="1486696"/>
            <wp:effectExtent l="0" t="0" r="0" b="0"/>
            <wp:docPr id="18620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34" name="Picture 186205034"/>
                    <pic:cNvPicPr/>
                  </pic:nvPicPr>
                  <pic:blipFill rotWithShape="1">
                    <a:blip r:embed="rId17" cstate="print">
                      <a:extLst>
                        <a:ext uri="{28A0092B-C50C-407E-A947-70E740481C1C}">
                          <a14:useLocalDpi xmlns:a14="http://schemas.microsoft.com/office/drawing/2010/main" val="0"/>
                        </a:ext>
                      </a:extLst>
                    </a:blip>
                    <a:srcRect l="20027" t="2377" r="17877" b="4639"/>
                    <a:stretch>
                      <a:fillRect/>
                    </a:stretch>
                  </pic:blipFill>
                  <pic:spPr bwMode="auto">
                    <a:xfrm>
                      <a:off x="0" y="0"/>
                      <a:ext cx="1887799" cy="158739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0D246546" wp14:editId="484DD76A">
            <wp:extent cx="1743447" cy="1486103"/>
            <wp:effectExtent l="0" t="0" r="0" b="0"/>
            <wp:docPr id="156729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7815" name="Picture 1567297815"/>
                    <pic:cNvPicPr/>
                  </pic:nvPicPr>
                  <pic:blipFill rotWithShape="1">
                    <a:blip r:embed="rId18" cstate="print">
                      <a:extLst>
                        <a:ext uri="{28A0092B-C50C-407E-A947-70E740481C1C}">
                          <a14:useLocalDpi xmlns:a14="http://schemas.microsoft.com/office/drawing/2010/main" val="0"/>
                        </a:ext>
                      </a:extLst>
                    </a:blip>
                    <a:srcRect l="20023" r="25570" b="17412"/>
                    <a:stretch>
                      <a:fillRect/>
                    </a:stretch>
                  </pic:blipFill>
                  <pic:spPr bwMode="auto">
                    <a:xfrm>
                      <a:off x="0" y="0"/>
                      <a:ext cx="1756324" cy="1497079"/>
                    </a:xfrm>
                    <a:prstGeom prst="rect">
                      <a:avLst/>
                    </a:prstGeom>
                    <a:ln>
                      <a:noFill/>
                    </a:ln>
                    <a:extLst>
                      <a:ext uri="{53640926-AAD7-44D8-BBD7-CCE9431645EC}">
                        <a14:shadowObscured xmlns:a14="http://schemas.microsoft.com/office/drawing/2010/main"/>
                      </a:ext>
                    </a:extLst>
                  </pic:spPr>
                </pic:pic>
              </a:graphicData>
            </a:graphic>
          </wp:inline>
        </w:drawing>
      </w:r>
    </w:p>
    <w:p w14:paraId="7475D27A" w14:textId="24DFB8CF" w:rsidR="00C82BF8" w:rsidRDefault="00C82BF8" w:rsidP="00C82BF8">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8</w:t>
      </w:r>
      <w:r w:rsidRPr="005478F3">
        <w:rPr>
          <w:rFonts w:ascii="Times New Roman" w:hAnsi="Times New Roman" w:cs="Times New Roman"/>
          <w:b/>
          <w:bCs/>
          <w:sz w:val="20"/>
          <w:szCs w:val="20"/>
        </w:rPr>
        <w:t xml:space="preserve">: </w:t>
      </w:r>
      <w:r w:rsidRPr="00C82BF8">
        <w:rPr>
          <w:rFonts w:ascii="Times New Roman" w:hAnsi="Times New Roman" w:cs="Times New Roman"/>
          <w:b/>
          <w:bCs/>
          <w:sz w:val="20"/>
          <w:szCs w:val="20"/>
        </w:rPr>
        <w:t xml:space="preserve">V106I+F227C exhibits alternative dynamics than V106A+F227L. </w:t>
      </w:r>
      <w:r w:rsidRPr="00C82BF8">
        <w:rPr>
          <w:rFonts w:ascii="Times New Roman" w:hAnsi="Times New Roman" w:cs="Times New Roman"/>
          <w:sz w:val="20"/>
          <w:szCs w:val="20"/>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00987ED1" w14:textId="6695936B" w:rsidR="00C82BF8" w:rsidRDefault="00C82BF8" w:rsidP="009D1AB3">
      <w:pPr>
        <w:rPr>
          <w:rFonts w:ascii="Times New Roman" w:hAnsi="Times New Roman" w:cs="Times New Roman"/>
          <w:szCs w:val="24"/>
        </w:rPr>
      </w:pP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7F8AF3F" w14:textId="5BCD452A" w:rsidR="009E3D06" w:rsidRDefault="003A584C" w:rsidP="009E3D06">
      <w:pPr>
        <w:rPr>
          <w:rFonts w:ascii="Times New Roman" w:hAnsi="Times New Roman" w:cs="Times New Roman"/>
          <w:szCs w:val="24"/>
        </w:rPr>
      </w:pPr>
      <w:r>
        <w:rPr>
          <w:rFonts w:ascii="Times New Roman" w:hAnsi="Times New Roman" w:cs="Times New Roman"/>
          <w:szCs w:val="24"/>
        </w:rPr>
        <w:t>Publicly available</w:t>
      </w:r>
      <w:r w:rsidR="009E3D06" w:rsidRPr="009E3D06">
        <w:rPr>
          <w:rFonts w:ascii="Times New Roman" w:hAnsi="Times New Roman" w:cs="Times New Roman"/>
          <w:szCs w:val="24"/>
        </w:rPr>
        <w:t xml:space="preserve"> phenotype </w:t>
      </w:r>
      <w:r w:rsidR="00132E9B">
        <w:rPr>
          <w:rFonts w:ascii="Times New Roman" w:hAnsi="Times New Roman" w:cs="Times New Roman"/>
          <w:szCs w:val="24"/>
        </w:rPr>
        <w:t>data</w:t>
      </w:r>
      <w:r w:rsidR="009E3D06" w:rsidRPr="009E3D06">
        <w:rPr>
          <w:rFonts w:ascii="Times New Roman" w:hAnsi="Times New Roman" w:cs="Times New Roman"/>
          <w:szCs w:val="24"/>
        </w:rPr>
        <w:t xml:space="preserve"> suggest that </w:t>
      </w:r>
      <w:r w:rsidRPr="009E3D06">
        <w:rPr>
          <w:rFonts w:ascii="Times New Roman" w:hAnsi="Times New Roman" w:cs="Times New Roman"/>
          <w:szCs w:val="24"/>
        </w:rPr>
        <w:t xml:space="preserve">G190E </w:t>
      </w:r>
      <w:r w:rsidR="009E3D06" w:rsidRPr="009E3D06">
        <w:rPr>
          <w:rFonts w:ascii="Times New Roman" w:hAnsi="Times New Roman" w:cs="Times New Roman"/>
          <w:szCs w:val="24"/>
        </w:rPr>
        <w:t>may reduce DOR susceptibility. We therefore compared WT, G190A, and G190E to ask whether introduction of a negatively charged glutamate at position 190 produces local structural effects distinct from the more common G190A substitution</w:t>
      </w:r>
      <w:r w:rsidR="00932D08">
        <w:rPr>
          <w:rFonts w:ascii="Times New Roman" w:hAnsi="Times New Roman" w:cs="Times New Roman"/>
          <w:szCs w:val="24"/>
        </w:rPr>
        <w:t xml:space="preserve"> that is known to have little to no impact on DOR susceptibility</w:t>
      </w:r>
      <w:r w:rsidR="009E3D06" w:rsidRPr="009E3D06">
        <w:rPr>
          <w:rFonts w:ascii="Times New Roman" w:hAnsi="Times New Roman" w:cs="Times New Roman"/>
          <w:szCs w:val="24"/>
        </w:rPr>
        <w:t>.</w:t>
      </w:r>
    </w:p>
    <w:p w14:paraId="09F77214" w14:textId="77777777" w:rsidR="009E3D06" w:rsidRPr="009E3D06" w:rsidRDefault="009E3D06" w:rsidP="009E3D06">
      <w:pPr>
        <w:rPr>
          <w:rFonts w:ascii="Times New Roman" w:hAnsi="Times New Roman" w:cs="Times New Roman"/>
          <w:szCs w:val="24"/>
        </w:rPr>
      </w:pPr>
    </w:p>
    <w:p w14:paraId="4A67E452" w14:textId="2BADD997" w:rsidR="009E3D06" w:rsidRDefault="009E3D06" w:rsidP="009E3D06">
      <w:pPr>
        <w:rPr>
          <w:rFonts w:ascii="Times New Roman" w:hAnsi="Times New Roman" w:cs="Times New Roman"/>
          <w:szCs w:val="24"/>
        </w:rPr>
      </w:pPr>
      <w:r w:rsidRPr="009E3D06">
        <w:rPr>
          <w:rFonts w:ascii="Times New Roman" w:hAnsi="Times New Roman" w:cs="Times New Roman"/>
          <w:szCs w:val="24"/>
        </w:rPr>
        <w:t>The panel-wide contact analysis identified Val179 as the clearest reporter residue for this comparison</w:t>
      </w:r>
      <w:r w:rsidR="00932D08">
        <w:rPr>
          <w:rFonts w:ascii="Times New Roman" w:hAnsi="Times New Roman" w:cs="Times New Roman"/>
          <w:szCs w:val="24"/>
        </w:rPr>
        <w:t xml:space="preserve"> (Figure 5)</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9)</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57EBD1F7" w14:textId="77777777" w:rsidR="009E3D06" w:rsidRPr="009E3D06" w:rsidRDefault="009E3D06" w:rsidP="009E3D06">
      <w:pPr>
        <w:rPr>
          <w:rFonts w:ascii="Times New Roman" w:hAnsi="Times New Roman" w:cs="Times New Roman"/>
          <w:szCs w:val="24"/>
        </w:rPr>
      </w:pPr>
    </w:p>
    <w:p w14:paraId="4E55CA74" w14:textId="75DAAC5B" w:rsidR="00B532B0" w:rsidRDefault="009E3D06" w:rsidP="009E3D06">
      <w:pPr>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00E31695" w:rsidRPr="00E31695">
        <w:rPr>
          <w:rFonts w:ascii="Times New Roman" w:hAnsi="Times New Roman" w:cs="Times New Roman"/>
          <w:szCs w:val="24"/>
        </w:rPr>
        <w:t>β</w:t>
      </w:r>
      <w:r w:rsidR="00E31695">
        <w:rPr>
          <w:rFonts w:ascii="Times New Roman" w:hAnsi="Times New Roman" w:cs="Times New Roman"/>
          <w:szCs w:val="24"/>
        </w:rPr>
        <w:t>9-</w:t>
      </w:r>
      <w:r w:rsidR="00E31695" w:rsidRPr="00E31695">
        <w:rPr>
          <w:rFonts w:ascii="Times New Roman" w:hAnsi="Times New Roman" w:cs="Times New Roman"/>
          <w:szCs w:val="24"/>
        </w:rPr>
        <w:t>β</w:t>
      </w:r>
      <w:r w:rsidR="00E31695">
        <w:rPr>
          <w:rFonts w:ascii="Times New Roman" w:hAnsi="Times New Roman" w:cs="Times New Roman"/>
          <w:szCs w:val="24"/>
        </w:rPr>
        <w:t>10</w:t>
      </w:r>
      <w:r w:rsidR="00E31695"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sidR="00932D08">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7EAA00A5" w14:textId="4A37F4F6" w:rsidR="00B532B0" w:rsidRDefault="009D67D5" w:rsidP="009E3D06">
      <w:pPr>
        <w:rPr>
          <w:rFonts w:ascii="Times New Roman" w:hAnsi="Times New Roman" w:cs="Times New Roman"/>
          <w:szCs w:val="24"/>
        </w:rPr>
      </w:pPr>
      <w:r>
        <w:rPr>
          <w:rFonts w:ascii="Times New Roman" w:hAnsi="Times New Roman" w:cs="Times New Roman"/>
          <w:noProof/>
          <w:szCs w:val="24"/>
        </w:rPr>
        <w:drawing>
          <wp:inline distT="0" distB="0" distL="0" distR="0" wp14:anchorId="5FBD6612" wp14:editId="2124EB1E">
            <wp:extent cx="5943600" cy="2429510"/>
            <wp:effectExtent l="0" t="0" r="0" b="0"/>
            <wp:docPr id="631926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6793" name="Picture 6319267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0212F066" w14:textId="77777777" w:rsidR="00B532B0" w:rsidRPr="00B532B0" w:rsidRDefault="00B532B0" w:rsidP="00B532B0">
      <w:pPr>
        <w:rPr>
          <w:rFonts w:ascii="Times New Roman" w:hAnsi="Times New Roman" w:cs="Times New Roman"/>
          <w:b/>
          <w:bCs/>
          <w:szCs w:val="24"/>
        </w:rPr>
      </w:pPr>
      <w:r w:rsidRPr="00B532B0">
        <w:rPr>
          <w:rFonts w:ascii="Times New Roman" w:hAnsi="Times New Roman" w:cs="Times New Roman"/>
          <w:b/>
          <w:bCs/>
          <w:szCs w:val="24"/>
        </w:rPr>
        <w:lastRenderedPageBreak/>
        <w:t>WT</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G190A</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G190E</w:t>
      </w:r>
    </w:p>
    <w:p w14:paraId="2B9D2EA1" w14:textId="77777777" w:rsidR="00B532B0" w:rsidRDefault="00B532B0" w:rsidP="00B532B0">
      <w:pPr>
        <w:rPr>
          <w:rFonts w:ascii="Arial" w:hAnsi="Arial" w:cs="Arial"/>
          <w:szCs w:val="24"/>
        </w:rPr>
      </w:pPr>
      <w:r>
        <w:rPr>
          <w:rFonts w:ascii="Arial" w:hAnsi="Arial" w:cs="Arial"/>
          <w:noProof/>
          <w:szCs w:val="24"/>
        </w:rPr>
        <w:drawing>
          <wp:inline distT="0" distB="0" distL="0" distR="0" wp14:anchorId="4812AB76" wp14:editId="0B09A662">
            <wp:extent cx="1654862" cy="1967729"/>
            <wp:effectExtent l="0" t="0" r="0" b="1270"/>
            <wp:docPr id="1210312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2693" name="Picture 1210312693"/>
                    <pic:cNvPicPr/>
                  </pic:nvPicPr>
                  <pic:blipFill rotWithShape="1">
                    <a:blip r:embed="rId20" cstate="print">
                      <a:extLst>
                        <a:ext uri="{28A0092B-C50C-407E-A947-70E740481C1C}">
                          <a14:useLocalDpi xmlns:a14="http://schemas.microsoft.com/office/drawing/2010/main" val="0"/>
                        </a:ext>
                      </a:extLst>
                    </a:blip>
                    <a:srcRect l="26382" r="30166"/>
                    <a:stretch>
                      <a:fillRect/>
                    </a:stretch>
                  </pic:blipFill>
                  <pic:spPr bwMode="auto">
                    <a:xfrm>
                      <a:off x="0" y="0"/>
                      <a:ext cx="1655511"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6EEC983A" wp14:editId="57A5B47B">
            <wp:extent cx="1715444" cy="1967865"/>
            <wp:effectExtent l="0" t="0" r="0" b="635"/>
            <wp:docPr id="125305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74" name="Picture 125305474"/>
                    <pic:cNvPicPr/>
                  </pic:nvPicPr>
                  <pic:blipFill rotWithShape="1">
                    <a:blip r:embed="rId21" cstate="print">
                      <a:extLst>
                        <a:ext uri="{28A0092B-C50C-407E-A947-70E740481C1C}">
                          <a14:useLocalDpi xmlns:a14="http://schemas.microsoft.com/office/drawing/2010/main" val="0"/>
                        </a:ext>
                      </a:extLst>
                    </a:blip>
                    <a:srcRect l="25785" r="29175"/>
                    <a:stretch>
                      <a:fillRect/>
                    </a:stretch>
                  </pic:blipFill>
                  <pic:spPr bwMode="auto">
                    <a:xfrm>
                      <a:off x="0" y="0"/>
                      <a:ext cx="1715998"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6B58E8A" wp14:editId="7E993C28">
            <wp:extent cx="2010168" cy="1967132"/>
            <wp:effectExtent l="0" t="0" r="0" b="1905"/>
            <wp:docPr id="106052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72" name="Picture 106052772"/>
                    <pic:cNvPicPr/>
                  </pic:nvPicPr>
                  <pic:blipFill rotWithShape="1">
                    <a:blip r:embed="rId22" cstate="print">
                      <a:extLst>
                        <a:ext uri="{28A0092B-C50C-407E-A947-70E740481C1C}">
                          <a14:useLocalDpi xmlns:a14="http://schemas.microsoft.com/office/drawing/2010/main" val="0"/>
                        </a:ext>
                      </a:extLst>
                    </a:blip>
                    <a:srcRect l="23406" r="23797"/>
                    <a:stretch>
                      <a:fillRect/>
                    </a:stretch>
                  </pic:blipFill>
                  <pic:spPr bwMode="auto">
                    <a:xfrm>
                      <a:off x="0" y="0"/>
                      <a:ext cx="2011566" cy="1968500"/>
                    </a:xfrm>
                    <a:prstGeom prst="rect">
                      <a:avLst/>
                    </a:prstGeom>
                    <a:ln>
                      <a:noFill/>
                    </a:ln>
                    <a:extLst>
                      <a:ext uri="{53640926-AAD7-44D8-BBD7-CCE9431645EC}">
                        <a14:shadowObscured xmlns:a14="http://schemas.microsoft.com/office/drawing/2010/main"/>
                      </a:ext>
                    </a:extLst>
                  </pic:spPr>
                </pic:pic>
              </a:graphicData>
            </a:graphic>
          </wp:inline>
        </w:drawing>
      </w:r>
    </w:p>
    <w:p w14:paraId="65985C97" w14:textId="0572F853" w:rsidR="009D67D5" w:rsidRDefault="009D67D5" w:rsidP="009D67D5">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sidR="00C73676">
        <w:rPr>
          <w:rFonts w:ascii="Times New Roman" w:hAnsi="Times New Roman" w:cs="Times New Roman"/>
          <w:b/>
          <w:bCs/>
          <w:sz w:val="20"/>
          <w:szCs w:val="20"/>
        </w:rPr>
        <w:t>9</w:t>
      </w:r>
      <w:r w:rsidRPr="005478F3">
        <w:rPr>
          <w:rFonts w:ascii="Times New Roman" w:hAnsi="Times New Roman" w:cs="Times New Roman"/>
          <w:b/>
          <w:bCs/>
          <w:sz w:val="20"/>
          <w:szCs w:val="20"/>
        </w:rPr>
        <w:t xml:space="preserve">: </w:t>
      </w:r>
      <w:r w:rsidR="00F5517A" w:rsidRPr="00F5517A">
        <w:rPr>
          <w:rFonts w:ascii="Times New Roman" w:hAnsi="Times New Roman" w:cs="Times New Roman"/>
          <w:b/>
          <w:bCs/>
          <w:sz w:val="20"/>
          <w:szCs w:val="20"/>
        </w:rPr>
        <w:t xml:space="preserve">G190E preferentially disrupts β9-β10 hairpin, causing Val179 to lose contact with DOR. </w:t>
      </w:r>
      <w:r w:rsidR="00F5517A" w:rsidRPr="00F5517A">
        <w:rPr>
          <w:rFonts w:ascii="Times New Roman" w:hAnsi="Times New Roman" w:cs="Times New Roman"/>
          <w:sz w:val="20"/>
          <w:szCs w:val="20"/>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088C1BCB" w14:textId="77777777" w:rsidR="00B532B0" w:rsidRDefault="00B532B0" w:rsidP="009E3D06">
      <w:pPr>
        <w:rPr>
          <w:rFonts w:ascii="Times New Roman" w:hAnsi="Times New Roman" w:cs="Times New Roman"/>
          <w:szCs w:val="24"/>
        </w:rPr>
      </w:pPr>
    </w:p>
    <w:p w14:paraId="6CB6A5BD" w14:textId="15E69B4E" w:rsidR="00D27076" w:rsidRDefault="00D27076" w:rsidP="00D27076">
      <w:pPr>
        <w:rPr>
          <w:rFonts w:ascii="Times New Roman" w:hAnsi="Times New Roman" w:cs="Times New Roman"/>
          <w:b/>
          <w:bCs/>
          <w:szCs w:val="24"/>
          <w:u w:val="single"/>
        </w:rPr>
      </w:pPr>
      <w:r w:rsidRPr="00D27076">
        <w:rPr>
          <w:rFonts w:ascii="Times New Roman" w:hAnsi="Times New Roman" w:cs="Times New Roman"/>
          <w:b/>
          <w:bCs/>
          <w:szCs w:val="24"/>
          <w:u w:val="single"/>
        </w:rPr>
        <w:t xml:space="preserve">A parsimonious </w:t>
      </w:r>
      <w:r w:rsidR="00F45CA6">
        <w:rPr>
          <w:rFonts w:ascii="Times New Roman" w:hAnsi="Times New Roman" w:cs="Times New Roman"/>
          <w:b/>
          <w:bCs/>
          <w:szCs w:val="24"/>
          <w:u w:val="single"/>
        </w:rPr>
        <w:t xml:space="preserve">3-feature </w:t>
      </w:r>
      <w:r w:rsidR="00C12CEB">
        <w:rPr>
          <w:rFonts w:ascii="Times New Roman" w:hAnsi="Times New Roman" w:cs="Times New Roman"/>
          <w:b/>
          <w:bCs/>
          <w:szCs w:val="24"/>
          <w:u w:val="single"/>
        </w:rPr>
        <w:t xml:space="preserve">logistic regression </w:t>
      </w:r>
      <w:r w:rsidRPr="00D27076">
        <w:rPr>
          <w:rFonts w:ascii="Times New Roman" w:hAnsi="Times New Roman" w:cs="Times New Roman"/>
          <w:b/>
          <w:bCs/>
          <w:szCs w:val="24"/>
          <w:u w:val="single"/>
        </w:rPr>
        <w:t>model summarizes the separation between low- and high-resistance controls</w:t>
      </w:r>
    </w:p>
    <w:p w14:paraId="0F4957F6" w14:textId="77777777"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t>A)</w:t>
      </w:r>
    </w:p>
    <w:p w14:paraId="0BC03D74" w14:textId="1F7DCDF6" w:rsidR="00120227" w:rsidRDefault="00C84933" w:rsidP="00120227">
      <w:pPr>
        <w:rPr>
          <w:rFonts w:ascii="Arial" w:hAnsi="Arial" w:cs="Arial"/>
          <w:b/>
          <w:bCs/>
          <w:szCs w:val="24"/>
        </w:rPr>
      </w:pPr>
      <w:r>
        <w:rPr>
          <w:rFonts w:ascii="Arial" w:hAnsi="Arial" w:cs="Arial"/>
          <w:b/>
          <w:bCs/>
          <w:noProof/>
          <w:szCs w:val="24"/>
        </w:rPr>
        <w:drawing>
          <wp:inline distT="0" distB="0" distL="0" distR="0" wp14:anchorId="38532711" wp14:editId="0D12FAFB">
            <wp:extent cx="5749997" cy="4714875"/>
            <wp:effectExtent l="0" t="0" r="3175" b="0"/>
            <wp:docPr id="121516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4202" name="Picture 12151642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5697" cy="4719549"/>
                    </a:xfrm>
                    <a:prstGeom prst="rect">
                      <a:avLst/>
                    </a:prstGeom>
                  </pic:spPr>
                </pic:pic>
              </a:graphicData>
            </a:graphic>
          </wp:inline>
        </w:drawing>
      </w:r>
    </w:p>
    <w:p w14:paraId="690250BF" w14:textId="0B0CF619"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lastRenderedPageBreak/>
        <w:t xml:space="preserve">B)                                  </w:t>
      </w:r>
      <w:r>
        <w:rPr>
          <w:rFonts w:ascii="Times New Roman" w:hAnsi="Times New Roman" w:cs="Times New Roman"/>
          <w:b/>
          <w:bCs/>
          <w:szCs w:val="24"/>
        </w:rPr>
        <w:tab/>
      </w:r>
      <w:r>
        <w:rPr>
          <w:rFonts w:ascii="Times New Roman" w:hAnsi="Times New Roman" w:cs="Times New Roman"/>
          <w:b/>
          <w:bCs/>
          <w:szCs w:val="24"/>
        </w:rPr>
        <w:tab/>
      </w:r>
      <w:r w:rsidRPr="00120227">
        <w:rPr>
          <w:rFonts w:ascii="Times New Roman" w:hAnsi="Times New Roman" w:cs="Times New Roman"/>
          <w:b/>
          <w:bCs/>
          <w:szCs w:val="24"/>
        </w:rPr>
        <w:t xml:space="preserve">C)                                  </w:t>
      </w:r>
    </w:p>
    <w:p w14:paraId="4941C676" w14:textId="640370F0" w:rsidR="00120227" w:rsidRDefault="00C84933" w:rsidP="00120227">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86F1A98" wp14:editId="3BD247A3">
            <wp:extent cx="2247900" cy="1899634"/>
            <wp:effectExtent l="0" t="0" r="0" b="5715"/>
            <wp:docPr id="212655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293" name="Picture 2126552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74595" cy="1922193"/>
                    </a:xfrm>
                    <a:prstGeom prst="rect">
                      <a:avLst/>
                    </a:prstGeom>
                  </pic:spPr>
                </pic:pic>
              </a:graphicData>
            </a:graphic>
          </wp:inline>
        </w:drawing>
      </w:r>
      <w:r>
        <w:rPr>
          <w:rFonts w:ascii="Times New Roman" w:hAnsi="Times New Roman" w:cs="Times New Roman"/>
          <w:b/>
          <w:bCs/>
          <w:noProof/>
          <w:sz w:val="20"/>
          <w:szCs w:val="20"/>
        </w:rPr>
        <w:drawing>
          <wp:inline distT="0" distB="0" distL="0" distR="0" wp14:anchorId="731088BE" wp14:editId="1B6CE678">
            <wp:extent cx="3248025" cy="1893641"/>
            <wp:effectExtent l="0" t="0" r="3175" b="0"/>
            <wp:docPr id="195124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7129" name="Picture 19512471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7389" cy="1916591"/>
                    </a:xfrm>
                    <a:prstGeom prst="rect">
                      <a:avLst/>
                    </a:prstGeom>
                  </pic:spPr>
                </pic:pic>
              </a:graphicData>
            </a:graphic>
          </wp:inline>
        </w:drawing>
      </w:r>
    </w:p>
    <w:p w14:paraId="18E0A5C7" w14:textId="55394812" w:rsidR="00120227" w:rsidRPr="00120227" w:rsidRDefault="00120227" w:rsidP="00120227">
      <w:pPr>
        <w:rPr>
          <w:rFonts w:ascii="Arial" w:hAnsi="Arial" w:cs="Arial"/>
          <w:b/>
          <w:bCs/>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10</w:t>
      </w:r>
      <w:r w:rsidRPr="005478F3">
        <w:rPr>
          <w:rFonts w:ascii="Times New Roman" w:hAnsi="Times New Roman" w:cs="Times New Roman"/>
          <w:b/>
          <w:bCs/>
          <w:sz w:val="20"/>
          <w:szCs w:val="20"/>
        </w:rPr>
        <w:t xml:space="preserve">: </w:t>
      </w:r>
      <w:r w:rsidRPr="00120227">
        <w:rPr>
          <w:rFonts w:ascii="Times New Roman" w:hAnsi="Times New Roman" w:cs="Times New Roman"/>
          <w:b/>
          <w:bCs/>
          <w:sz w:val="20"/>
          <w:szCs w:val="20"/>
        </w:rPr>
        <w:t xml:space="preserve">Performance of Logistic Regression model </w:t>
      </w:r>
      <w:r w:rsidR="00CD5CCF">
        <w:rPr>
          <w:rFonts w:ascii="Times New Roman" w:hAnsi="Times New Roman" w:cs="Times New Roman"/>
          <w:b/>
          <w:bCs/>
          <w:sz w:val="20"/>
          <w:szCs w:val="20"/>
        </w:rPr>
        <w:t>relating</w:t>
      </w:r>
      <w:r w:rsidRPr="00120227">
        <w:rPr>
          <w:rFonts w:ascii="Times New Roman" w:hAnsi="Times New Roman" w:cs="Times New Roman"/>
          <w:b/>
          <w:bCs/>
          <w:sz w:val="20"/>
          <w:szCs w:val="20"/>
        </w:rPr>
        <w:t xml:space="preserve"> MD simulation features</w:t>
      </w:r>
      <w:r w:rsidR="00CD5CCF">
        <w:rPr>
          <w:rFonts w:ascii="Times New Roman" w:hAnsi="Times New Roman" w:cs="Times New Roman"/>
          <w:b/>
          <w:bCs/>
          <w:sz w:val="20"/>
          <w:szCs w:val="20"/>
        </w:rPr>
        <w:t xml:space="preserve"> to </w:t>
      </w:r>
      <w:r w:rsidR="00CD5CCF" w:rsidRPr="00120227">
        <w:rPr>
          <w:rFonts w:ascii="Times New Roman" w:hAnsi="Times New Roman" w:cs="Times New Roman"/>
          <w:b/>
          <w:bCs/>
          <w:sz w:val="20"/>
          <w:szCs w:val="20"/>
        </w:rPr>
        <w:t>DOR susceptibility</w:t>
      </w:r>
      <w:r w:rsidRPr="00F5517A">
        <w:rPr>
          <w:rFonts w:ascii="Times New Roman" w:hAnsi="Times New Roman" w:cs="Times New Roman"/>
          <w:b/>
          <w:bCs/>
          <w:sz w:val="20"/>
          <w:szCs w:val="20"/>
        </w:rPr>
        <w:t xml:space="preserve">. </w:t>
      </w:r>
      <w:r w:rsidRPr="00F5517A">
        <w:rPr>
          <w:rFonts w:ascii="Times New Roman" w:hAnsi="Times New Roman" w:cs="Times New Roman"/>
          <w:sz w:val="20"/>
          <w:szCs w:val="20"/>
        </w:rPr>
        <w:t>(</w:t>
      </w:r>
      <w:r>
        <w:rPr>
          <w:rFonts w:ascii="Times New Roman" w:hAnsi="Times New Roman" w:cs="Times New Roman"/>
          <w:sz w:val="20"/>
          <w:szCs w:val="20"/>
        </w:rPr>
        <w:t xml:space="preserve">A) </w:t>
      </w:r>
      <w:r w:rsidR="00932D08">
        <w:rPr>
          <w:rFonts w:ascii="Times New Roman" w:hAnsi="Times New Roman" w:cs="Times New Roman"/>
          <w:sz w:val="20"/>
          <w:szCs w:val="20"/>
        </w:rPr>
        <w:t>O</w:t>
      </w:r>
      <w:r>
        <w:rPr>
          <w:rFonts w:ascii="Times New Roman" w:hAnsi="Times New Roman" w:cs="Times New Roman"/>
          <w:sz w:val="20"/>
          <w:szCs w:val="20"/>
        </w:rPr>
        <w:t xml:space="preserve">utput of the logistic regression model, </w:t>
      </w:r>
      <w:proofErr w:type="spellStart"/>
      <w:r w:rsidRPr="00120227">
        <w:rPr>
          <w:rFonts w:ascii="Times New Roman" w:hAnsi="Times New Roman" w:cs="Times New Roman"/>
          <w:i/>
          <w:iCs/>
          <w:sz w:val="20"/>
          <w:szCs w:val="20"/>
        </w:rPr>
        <w:t>P</w:t>
      </w:r>
      <w:r w:rsidRPr="00120227">
        <w:rPr>
          <w:rFonts w:ascii="Times New Roman" w:hAnsi="Times New Roman" w:cs="Times New Roman"/>
          <w:i/>
          <w:iCs/>
          <w:sz w:val="20"/>
          <w:szCs w:val="20"/>
          <w:vertAlign w:val="subscript"/>
        </w:rPr>
        <w:t>high</w:t>
      </w:r>
      <w:proofErr w:type="spellEnd"/>
      <w:r>
        <w:rPr>
          <w:rFonts w:ascii="Times New Roman" w:hAnsi="Times New Roman" w:cs="Times New Roman"/>
          <w:sz w:val="20"/>
          <w:szCs w:val="20"/>
        </w:rPr>
        <w:t>, i.e. the probability of a mutation being labeled as high resistance</w:t>
      </w:r>
      <w:r w:rsidR="00932D08">
        <w:rPr>
          <w:rFonts w:ascii="Times New Roman" w:hAnsi="Times New Roman" w:cs="Times New Roman"/>
          <w:sz w:val="20"/>
          <w:szCs w:val="20"/>
        </w:rPr>
        <w:t>, plotted against median DOR fold-change in susceptibility on the log scale</w:t>
      </w:r>
      <w:r>
        <w:rPr>
          <w:rFonts w:ascii="Times New Roman" w:hAnsi="Times New Roman" w:cs="Times New Roman"/>
          <w:sz w:val="20"/>
          <w:szCs w:val="20"/>
        </w:rPr>
        <w:t>. The dotted lines represent the thresholds for the labels</w:t>
      </w:r>
      <w:r w:rsidR="00932D08">
        <w:rPr>
          <w:rFonts w:ascii="Times New Roman" w:hAnsi="Times New Roman" w:cs="Times New Roman"/>
          <w:sz w:val="20"/>
          <w:szCs w:val="20"/>
        </w:rPr>
        <w:t>:</w:t>
      </w:r>
      <w:r>
        <w:rPr>
          <w:rFonts w:ascii="Times New Roman" w:hAnsi="Times New Roman" w:cs="Times New Roman"/>
          <w:sz w:val="20"/>
          <w:szCs w:val="20"/>
        </w:rPr>
        <w:t xml:space="preserve"> </w:t>
      </w:r>
      <w:r w:rsidR="00932D08" w:rsidRPr="00932D08">
        <w:rPr>
          <w:rFonts w:ascii="Times New Roman" w:hAnsi="Times New Roman" w:cs="Times New Roman"/>
          <w:sz w:val="20"/>
          <w:szCs w:val="20"/>
        </w:rPr>
        <w:t xml:space="preserve">Genotypes were labeled as high resistance if their median DOR fold-change exceeded </w:t>
      </w:r>
      <w:r w:rsidR="00CD5CCF">
        <w:rPr>
          <w:rFonts w:ascii="Times New Roman" w:hAnsi="Times New Roman" w:cs="Times New Roman"/>
          <w:sz w:val="20"/>
          <w:szCs w:val="20"/>
        </w:rPr>
        <w:t>3x</w:t>
      </w:r>
      <w:r w:rsidR="00932D08" w:rsidRPr="00932D08">
        <w:rPr>
          <w:rFonts w:ascii="Times New Roman" w:hAnsi="Times New Roman" w:cs="Times New Roman"/>
          <w:sz w:val="20"/>
          <w:szCs w:val="20"/>
        </w:rPr>
        <w:t xml:space="preserve"> and low resistance otherwise. We used a decision threshold of </w:t>
      </w:r>
      <w:proofErr w:type="spellStart"/>
      <w:r w:rsidR="00932D08" w:rsidRPr="00120227">
        <w:rPr>
          <w:rFonts w:ascii="Times New Roman" w:hAnsi="Times New Roman" w:cs="Times New Roman"/>
          <w:i/>
          <w:iCs/>
          <w:sz w:val="20"/>
          <w:szCs w:val="20"/>
        </w:rPr>
        <w:t>P</w:t>
      </w:r>
      <w:r w:rsidR="00932D08" w:rsidRPr="00120227">
        <w:rPr>
          <w:rFonts w:ascii="Times New Roman" w:hAnsi="Times New Roman" w:cs="Times New Roman"/>
          <w:i/>
          <w:iCs/>
          <w:sz w:val="20"/>
          <w:szCs w:val="20"/>
          <w:vertAlign w:val="subscript"/>
        </w:rPr>
        <w:t>high</w:t>
      </w:r>
      <w:proofErr w:type="spellEnd"/>
      <w:r w:rsidR="00932D08">
        <w:rPr>
          <w:rFonts w:ascii="Times New Roman" w:hAnsi="Times New Roman" w:cs="Times New Roman"/>
          <w:i/>
          <w:iCs/>
          <w:sz w:val="20"/>
          <w:szCs w:val="20"/>
          <w:vertAlign w:val="subscript"/>
        </w:rPr>
        <w:t xml:space="preserve"> </w:t>
      </w:r>
      <w:r w:rsidR="00932D08">
        <w:rPr>
          <w:rFonts w:ascii="Times New Roman" w:hAnsi="Times New Roman" w:cs="Times New Roman"/>
          <w:sz w:val="20"/>
          <w:szCs w:val="20"/>
        </w:rPr>
        <w:t xml:space="preserve">= </w:t>
      </w:r>
      <w:r w:rsidR="00932D08" w:rsidRPr="00932D08">
        <w:rPr>
          <w:rFonts w:ascii="Times New Roman" w:hAnsi="Times New Roman" w:cs="Times New Roman"/>
          <w:sz w:val="20"/>
          <w:szCs w:val="20"/>
        </w:rPr>
        <w:t>0.5 for class assignment.</w:t>
      </w:r>
      <w:r w:rsidR="00932D08">
        <w:rPr>
          <w:rFonts w:ascii="Times New Roman" w:hAnsi="Times New Roman" w:cs="Times New Roman"/>
          <w:sz w:val="20"/>
          <w:szCs w:val="20"/>
        </w:rPr>
        <w:t xml:space="preserve"> </w:t>
      </w:r>
      <w:r>
        <w:rPr>
          <w:rFonts w:ascii="Times New Roman" w:hAnsi="Times New Roman" w:cs="Times New Roman"/>
          <w:sz w:val="20"/>
          <w:szCs w:val="20"/>
        </w:rPr>
        <w:t xml:space="preserve">The dashed trend line is a linear regression fit of the </w:t>
      </w:r>
      <w:r w:rsidR="00932D08" w:rsidRPr="00932D08">
        <w:rPr>
          <w:rFonts w:ascii="Times New Roman" w:hAnsi="Times New Roman" w:cs="Times New Roman"/>
          <w:sz w:val="20"/>
          <w:szCs w:val="20"/>
        </w:rPr>
        <w:t>data</w:t>
      </w:r>
      <w:r>
        <w:rPr>
          <w:rFonts w:ascii="Times New Roman" w:hAnsi="Times New Roman" w:cs="Times New Roman"/>
          <w:sz w:val="20"/>
          <w:szCs w:val="20"/>
        </w:rPr>
        <w:t>. R</w:t>
      </w:r>
      <w:r>
        <w:rPr>
          <w:rFonts w:ascii="Times New Roman" w:hAnsi="Times New Roman" w:cs="Times New Roman"/>
          <w:sz w:val="20"/>
          <w:szCs w:val="20"/>
          <w:vertAlign w:val="superscript"/>
        </w:rPr>
        <w:t>2</w:t>
      </w:r>
      <w:r>
        <w:rPr>
          <w:rFonts w:ascii="Times New Roman" w:hAnsi="Times New Roman" w:cs="Times New Roman"/>
          <w:sz w:val="20"/>
          <w:szCs w:val="20"/>
        </w:rPr>
        <w:t xml:space="preserve"> is the coefficient of determination for this fit and the p-value test the null hypothesis that the true linear correlation between the two variables is zero.</w:t>
      </w:r>
      <w:r w:rsidR="00961415">
        <w:rPr>
          <w:rFonts w:ascii="Times New Roman" w:hAnsi="Times New Roman" w:cs="Times New Roman"/>
          <w:sz w:val="20"/>
          <w:szCs w:val="20"/>
        </w:rPr>
        <w:t xml:space="preserve"> (B) </w:t>
      </w:r>
      <w:r w:rsidR="00961415" w:rsidRPr="00961415">
        <w:rPr>
          <w:rFonts w:ascii="Times New Roman" w:hAnsi="Times New Roman" w:cs="Times New Roman"/>
          <w:sz w:val="20"/>
          <w:szCs w:val="20"/>
        </w:rPr>
        <w:t>Confusion matrix showing predicted labels compared with true labels across train and test set</w:t>
      </w:r>
      <w:r w:rsidR="00961415">
        <w:rPr>
          <w:rFonts w:ascii="Times New Roman" w:hAnsi="Times New Roman" w:cs="Times New Roman"/>
          <w:sz w:val="20"/>
          <w:szCs w:val="20"/>
        </w:rPr>
        <w:t xml:space="preserve">. (C) </w:t>
      </w:r>
      <w:r w:rsidR="00961415" w:rsidRPr="00961415">
        <w:rPr>
          <w:rFonts w:ascii="Times New Roman" w:hAnsi="Times New Roman" w:cs="Times New Roman"/>
          <w:sz w:val="20"/>
          <w:szCs w:val="20"/>
        </w:rPr>
        <w:t>Trained model coefficients for the standardized features showing roughly equal contribution of all 3 features to the model’s output.</w:t>
      </w:r>
    </w:p>
    <w:p w14:paraId="3315305C" w14:textId="77777777" w:rsidR="00D27076" w:rsidRPr="00D27076" w:rsidRDefault="00D27076" w:rsidP="00D27076">
      <w:pPr>
        <w:rPr>
          <w:rFonts w:ascii="Times New Roman" w:hAnsi="Times New Roman" w:cs="Times New Roman"/>
          <w:szCs w:val="24"/>
        </w:rPr>
      </w:pPr>
    </w:p>
    <w:p w14:paraId="631649F4" w14:textId="49E903EC" w:rsidR="00906992" w:rsidRDefault="00906992" w:rsidP="00906992">
      <w:pPr>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the distinction between low- and high-resistance genotypes. Genotypes were labeled as high resistance if the median DOR fold-change was ≥3 and low resistance otherwise; WT was included as a low-resistance reference. We then fit a regularized logistic regression model using </w:t>
      </w:r>
      <w:r w:rsidR="00F45CA6">
        <w:rPr>
          <w:rFonts w:ascii="Times New Roman" w:hAnsi="Times New Roman" w:cs="Times New Roman"/>
          <w:szCs w:val="24"/>
        </w:rPr>
        <w:t>three</w:t>
      </w:r>
      <w:r w:rsidRPr="00906992">
        <w:rPr>
          <w:rFonts w:ascii="Times New Roman" w:hAnsi="Times New Roman" w:cs="Times New Roman"/>
          <w:szCs w:val="24"/>
        </w:rPr>
        <w:t xml:space="preserve"> mechanistically motivated features: the Ser105-DOR minimum distance, the Tyr188-DOR minimum distance, </w:t>
      </w:r>
      <w:r w:rsidR="00F45CA6">
        <w:rPr>
          <w:rFonts w:ascii="Times New Roman" w:hAnsi="Times New Roman" w:cs="Times New Roman"/>
          <w:szCs w:val="24"/>
        </w:rPr>
        <w:t xml:space="preserve">and </w:t>
      </w:r>
      <w:r w:rsidRPr="00906992">
        <w:rPr>
          <w:rFonts w:ascii="Times New Roman" w:hAnsi="Times New Roman" w:cs="Times New Roman"/>
          <w:szCs w:val="24"/>
        </w:rPr>
        <w:t>DOR pose RMSD</w:t>
      </w:r>
      <w:r w:rsidR="009B09AD">
        <w:rPr>
          <w:rFonts w:ascii="Times New Roman" w:hAnsi="Times New Roman" w:cs="Times New Roman"/>
          <w:szCs w:val="24"/>
        </w:rPr>
        <w:t xml:space="preserve"> (Figure 10)</w:t>
      </w:r>
      <w:r w:rsidRPr="00906992">
        <w:rPr>
          <w:rFonts w:ascii="Times New Roman" w:hAnsi="Times New Roman" w:cs="Times New Roman"/>
          <w:szCs w:val="24"/>
        </w:rPr>
        <w:t>.</w:t>
      </w:r>
    </w:p>
    <w:p w14:paraId="462DEB05" w14:textId="77777777" w:rsidR="00906992" w:rsidRPr="00906992" w:rsidRDefault="00906992" w:rsidP="00906992">
      <w:pPr>
        <w:rPr>
          <w:rFonts w:ascii="Times New Roman" w:hAnsi="Times New Roman" w:cs="Times New Roman"/>
          <w:szCs w:val="24"/>
        </w:rPr>
      </w:pPr>
    </w:p>
    <w:p w14:paraId="691FF5C5" w14:textId="20762E06" w:rsidR="00906992" w:rsidRDefault="00906992" w:rsidP="00906992">
      <w:pPr>
        <w:rPr>
          <w:rFonts w:ascii="Times New Roman" w:hAnsi="Times New Roman" w:cs="Times New Roman"/>
          <w:szCs w:val="24"/>
        </w:rPr>
      </w:pPr>
      <w:r w:rsidRPr="00906992">
        <w:rPr>
          <w:rFonts w:ascii="Times New Roman" w:hAnsi="Times New Roman" w:cs="Times New Roman"/>
          <w:szCs w:val="24"/>
        </w:rPr>
        <w:t xml:space="preserve">This compact model separated the low- and high-resistance control </w:t>
      </w:r>
      <w:r w:rsidR="009B09AD">
        <w:rPr>
          <w:rFonts w:ascii="Times New Roman" w:hAnsi="Times New Roman" w:cs="Times New Roman"/>
          <w:szCs w:val="24"/>
        </w:rPr>
        <w:t>mutations</w:t>
      </w:r>
      <w:r w:rsidRPr="00906992">
        <w:rPr>
          <w:rFonts w:ascii="Times New Roman" w:hAnsi="Times New Roman" w:cs="Times New Roman"/>
          <w:szCs w:val="24"/>
        </w:rPr>
        <w:t xml:space="preserve"> with strong performance in replicate-level grouped cross-validation, achieving 12/13 correct classifications. When fit across the full panel, the resulting model probabilities also tracked the continuous phenotypic fold-change values, despite being trained on a binary resistance threshold (R² = 0.50, p = 6.6 × 10⁻⁴). Thus, the classifier produced a graded score that increased with the magnitude of observed DOR susceptibility loss.</w:t>
      </w:r>
    </w:p>
    <w:p w14:paraId="2D48D509" w14:textId="77777777" w:rsidR="00906992" w:rsidRPr="00906992" w:rsidRDefault="00906992" w:rsidP="00906992">
      <w:pPr>
        <w:rPr>
          <w:rFonts w:ascii="Times New Roman" w:hAnsi="Times New Roman" w:cs="Times New Roman"/>
          <w:szCs w:val="24"/>
        </w:rPr>
      </w:pPr>
    </w:p>
    <w:p w14:paraId="0A24887F" w14:textId="61E223EE" w:rsidR="00906992" w:rsidRDefault="00906992" w:rsidP="00906992">
      <w:pPr>
        <w:rPr>
          <w:rFonts w:ascii="Times New Roman" w:hAnsi="Times New Roman" w:cs="Times New Roman"/>
          <w:szCs w:val="24"/>
        </w:rPr>
      </w:pPr>
      <w:r w:rsidRPr="00906992">
        <w:rPr>
          <w:rFonts w:ascii="Times New Roman" w:hAnsi="Times New Roman" w:cs="Times New Roman"/>
          <w:szCs w:val="24"/>
        </w:rPr>
        <w:t xml:space="preserve">The selected features are also mechanistically interpretable. Ser105-DOR distance captures the 103-108 loop-proximal shift observed in V106A-containing genotypes, Tyr188-DOR distance captures disruption of the aromatic wall of the NNRTI-binding pocket, </w:t>
      </w:r>
      <w:r w:rsidR="00262F5D">
        <w:rPr>
          <w:rFonts w:ascii="Times New Roman" w:hAnsi="Times New Roman" w:cs="Times New Roman"/>
          <w:szCs w:val="24"/>
        </w:rPr>
        <w:t xml:space="preserve">and </w:t>
      </w:r>
      <w:r w:rsidRPr="00906992">
        <w:rPr>
          <w:rFonts w:ascii="Times New Roman" w:hAnsi="Times New Roman" w:cs="Times New Roman"/>
          <w:szCs w:val="24"/>
        </w:rPr>
        <w:t>DOR pose RMSD summarizes broader ligand rearrangement. WT was assigned a low probability of high resistance, whereas most positive-control genotypes were assigned high probabilities. Among genotypes with limited or uncertain phenotype, G190E and G190S received high model probabilities, while V106M, L100I+K103N, K103N+P225H, and K103N+M230L were assigned low probabilities.</w:t>
      </w:r>
    </w:p>
    <w:p w14:paraId="16264058" w14:textId="77777777" w:rsidR="00906992" w:rsidRPr="00906992" w:rsidRDefault="00906992" w:rsidP="00906992">
      <w:pPr>
        <w:rPr>
          <w:rFonts w:ascii="Times New Roman" w:hAnsi="Times New Roman" w:cs="Times New Roman"/>
          <w:szCs w:val="24"/>
        </w:rPr>
      </w:pPr>
    </w:p>
    <w:p w14:paraId="36952244" w14:textId="23AAAC96" w:rsidR="00906992" w:rsidRPr="00906992" w:rsidRDefault="00262F5D" w:rsidP="00906992">
      <w:pPr>
        <w:rPr>
          <w:rFonts w:ascii="Times New Roman" w:hAnsi="Times New Roman" w:cs="Times New Roman"/>
          <w:szCs w:val="24"/>
        </w:rPr>
      </w:pPr>
      <w:r>
        <w:rPr>
          <w:rFonts w:ascii="Times New Roman" w:hAnsi="Times New Roman" w:cs="Times New Roman"/>
          <w:szCs w:val="24"/>
        </w:rPr>
        <w:t>Note that t</w:t>
      </w:r>
      <w:r w:rsidR="00906992" w:rsidRPr="00906992">
        <w:rPr>
          <w:rFonts w:ascii="Times New Roman" w:hAnsi="Times New Roman" w:cs="Times New Roman"/>
          <w:szCs w:val="24"/>
        </w:rPr>
        <w:t xml:space="preserve">his model should be interpreted as a compact structural summary rather than as a validated clinical susceptibility predictor. The training set is small, the phenotype labels depend </w:t>
      </w:r>
      <w:r w:rsidR="00906992" w:rsidRPr="00906992">
        <w:rPr>
          <w:rFonts w:ascii="Times New Roman" w:hAnsi="Times New Roman" w:cs="Times New Roman"/>
          <w:szCs w:val="24"/>
        </w:rPr>
        <w:lastRenderedPageBreak/>
        <w:t>on a pragmatic 3-fold threshold, and bootstrap intervals remain wide for several genotypes</w:t>
      </w:r>
      <w:r>
        <w:rPr>
          <w:rFonts w:ascii="Times New Roman" w:hAnsi="Times New Roman" w:cs="Times New Roman"/>
          <w:szCs w:val="24"/>
        </w:rPr>
        <w:t xml:space="preserve"> (</w:t>
      </w:r>
      <w:r w:rsidR="00542AD3">
        <w:rPr>
          <w:rFonts w:ascii="Times New Roman" w:hAnsi="Times New Roman" w:cs="Times New Roman"/>
          <w:szCs w:val="24"/>
        </w:rPr>
        <w:t>Supplementary</w:t>
      </w:r>
      <w:r>
        <w:rPr>
          <w:rFonts w:ascii="Times New Roman" w:hAnsi="Times New Roman" w:cs="Times New Roman"/>
          <w:szCs w:val="24"/>
        </w:rPr>
        <w:t xml:space="preserve"> Table 4</w:t>
      </w:r>
      <w:r w:rsidR="00325C5A">
        <w:rPr>
          <w:rFonts w:ascii="Times New Roman" w:hAnsi="Times New Roman" w:cs="Times New Roman"/>
          <w:szCs w:val="24"/>
        </w:rPr>
        <w:t xml:space="preserve">: </w:t>
      </w:r>
      <w:r w:rsidR="00325C5A" w:rsidRPr="00325C5A">
        <w:rPr>
          <w:rFonts w:ascii="Times New Roman" w:hAnsi="Times New Roman" w:cs="Times New Roman"/>
          <w:szCs w:val="24"/>
          <w:highlight w:val="yellow"/>
        </w:rPr>
        <w:t>@Rohit to add</w:t>
      </w:r>
      <w:r>
        <w:rPr>
          <w:rFonts w:ascii="Times New Roman" w:hAnsi="Times New Roman" w:cs="Times New Roman"/>
          <w:szCs w:val="24"/>
        </w:rPr>
        <w:t>)</w:t>
      </w:r>
      <w:r w:rsidR="00906992" w:rsidRPr="00906992">
        <w:rPr>
          <w:rFonts w:ascii="Times New Roman" w:hAnsi="Times New Roman" w:cs="Times New Roman"/>
          <w:szCs w:val="24"/>
        </w:rPr>
        <w:t>. Nevertheless, the ability of four local MD-derived features to summarize much of the low-versus-high resistance separation supports the broader conclusion that DOR resistance is better explained by coordinated local rearrangements in the binding pocket than by a single global binding-energy metric.</w:t>
      </w:r>
    </w:p>
    <w:p w14:paraId="72CE490E" w14:textId="77777777" w:rsidR="00BB3608" w:rsidRDefault="00BB3608" w:rsidP="00D27076">
      <w:pPr>
        <w:rPr>
          <w:rFonts w:ascii="Times New Roman" w:hAnsi="Times New Roman" w:cs="Times New Roman"/>
          <w:szCs w:val="24"/>
        </w:rPr>
      </w:pP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7B7C8A9" w:rsidR="005F52FE" w:rsidRDefault="007B0373" w:rsidP="005F52FE">
      <w:pPr>
        <w:rPr>
          <w:rFonts w:ascii="Times New Roman" w:hAnsi="Times New Roman" w:cs="Times New Roman"/>
          <w:szCs w:val="24"/>
        </w:rPr>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in vitro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 </w:t>
      </w:r>
      <w:proofErr w:type="spellStart"/>
      <w:r w:rsidRPr="007B0373">
        <w:rPr>
          <w:rFonts w:ascii="Times New Roman" w:hAnsi="Times New Roman" w:cs="Times New Roman"/>
          <w:szCs w:val="24"/>
        </w:rPr>
        <w:t>PhenoSense</w:t>
      </w:r>
      <w:proofErr w:type="spellEnd"/>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r w:rsidR="005F52FE" w:rsidRPr="005F52FE">
        <w:rPr>
          <w:rFonts w:ascii="Times New Roman" w:hAnsi="Times New Roman" w:cs="Times New Roman"/>
          <w:szCs w:val="24"/>
        </w:rPr>
        <w:t>We therefore asked whether short explicit-solvent MD simulations could provide a coherent structural framework for understanding known and limited-data DOR resistance genotypes.</w:t>
      </w:r>
    </w:p>
    <w:p w14:paraId="5A4B1CCF" w14:textId="77777777" w:rsidR="005F52FE" w:rsidRPr="005F52FE" w:rsidRDefault="005F52FE" w:rsidP="005F52FE">
      <w:pPr>
        <w:rPr>
          <w:rFonts w:ascii="Times New Roman" w:hAnsi="Times New Roman" w:cs="Times New Roman"/>
          <w:szCs w:val="24"/>
        </w:rPr>
      </w:pPr>
    </w:p>
    <w:p w14:paraId="6B4273C4" w14:textId="5A6FC191" w:rsidR="00385FCC" w:rsidRDefault="005F52FE" w:rsidP="005F52FE">
      <w:pPr>
        <w:rPr>
          <w:rFonts w:ascii="Times New Roman" w:hAnsi="Times New Roman" w:cs="Times New Roman"/>
          <w:szCs w:val="24"/>
        </w:rPr>
      </w:pPr>
      <w:r>
        <w:rPr>
          <w:rFonts w:ascii="Times New Roman" w:hAnsi="Times New Roman" w:cs="Times New Roman"/>
          <w:szCs w:val="24"/>
        </w:rPr>
        <w:t>We observed</w:t>
      </w:r>
      <w:r w:rsidRPr="005F52FE">
        <w:rPr>
          <w:rFonts w:ascii="Times New Roman" w:hAnsi="Times New Roman" w:cs="Times New Roman"/>
          <w:szCs w:val="24"/>
        </w:rPr>
        <w:t xml:space="preserve"> </w:t>
      </w:r>
      <w:r>
        <w:rPr>
          <w:rFonts w:ascii="Times New Roman" w:hAnsi="Times New Roman" w:cs="Times New Roman"/>
          <w:szCs w:val="24"/>
        </w:rPr>
        <w:t>that</w:t>
      </w:r>
      <w:r w:rsidRPr="005F52FE">
        <w:rPr>
          <w:rFonts w:ascii="Times New Roman" w:hAnsi="Times New Roman" w:cs="Times New Roman"/>
          <w:szCs w:val="24"/>
        </w:rPr>
        <w:t xml:space="preserve"> </w:t>
      </w:r>
      <w:r>
        <w:rPr>
          <w:rFonts w:ascii="Times New Roman" w:hAnsi="Times New Roman" w:cs="Times New Roman"/>
          <w:szCs w:val="24"/>
        </w:rPr>
        <w:t>t</w:t>
      </w:r>
      <w:r w:rsidRPr="005F52FE">
        <w:rPr>
          <w:rFonts w:ascii="Times New Roman" w:hAnsi="Times New Roman" w:cs="Times New Roman"/>
          <w:szCs w:val="24"/>
        </w:rPr>
        <w:t xml:space="preserve">otal WT-referenced energetic shifts derived from bound-state MD snapshots did not </w:t>
      </w:r>
      <w:r w:rsidR="00594894">
        <w:rPr>
          <w:rFonts w:ascii="Times New Roman" w:hAnsi="Times New Roman" w:cs="Times New Roman"/>
          <w:szCs w:val="24"/>
        </w:rPr>
        <w:t>correlate well with</w:t>
      </w:r>
      <w:r w:rsidRPr="005F52FE">
        <w:rPr>
          <w:rFonts w:ascii="Times New Roman" w:hAnsi="Times New Roman" w:cs="Times New Roman"/>
          <w:szCs w:val="24"/>
        </w:rPr>
        <w:t xml:space="preserve"> the </w:t>
      </w:r>
      <w:r w:rsidR="00594894">
        <w:rPr>
          <w:rFonts w:ascii="Times New Roman" w:hAnsi="Times New Roman" w:cs="Times New Roman"/>
          <w:szCs w:val="24"/>
        </w:rPr>
        <w:t xml:space="preserve">available </w:t>
      </w:r>
      <w:r w:rsidRPr="005F52FE">
        <w:rPr>
          <w:rFonts w:ascii="Times New Roman" w:hAnsi="Times New Roman" w:cs="Times New Roman"/>
          <w:szCs w:val="24"/>
        </w:rPr>
        <w:t xml:space="preserve">phenotypic DOR landscape.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 xml:space="preserve">values </w:t>
      </w:r>
      <w:r w:rsidR="00385FCC">
        <w:rPr>
          <w:rFonts w:ascii="Times New Roman" w:hAnsi="Times New Roman" w:cs="Times New Roman"/>
          <w:szCs w:val="24"/>
        </w:rPr>
        <w:t xml:space="preserve">fundamentally </w:t>
      </w:r>
      <w:r w:rsidR="00385FCC" w:rsidRPr="00085D4C">
        <w:rPr>
          <w:rFonts w:ascii="Times New Roman" w:hAnsi="Times New Roman" w:cs="Times New Roman"/>
          <w:szCs w:val="24"/>
        </w:rPr>
        <w:t>do not represent equilibrium binding free energies because the simulations do not sample the full bound and unbound state populations needed for a true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Second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though the simulations are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explicit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the simulations reveal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We therefore </w:t>
      </w:r>
      <w:r w:rsidR="00385FCC">
        <w:rPr>
          <w:rFonts w:ascii="Times New Roman" w:hAnsi="Times New Roman" w:cs="Times New Roman"/>
          <w:szCs w:val="24"/>
        </w:rPr>
        <w:t>recommend viewing</w:t>
      </w:r>
      <w:r w:rsidR="00385FCC" w:rsidRPr="00085D4C">
        <w:rPr>
          <w:rFonts w:ascii="Times New Roman" w:hAnsi="Times New Roman" w:cs="Times New Roman"/>
          <w:szCs w:val="24"/>
        </w:rPr>
        <w:t xml:space="preserve"> the energetic analysis as a </w:t>
      </w:r>
      <w:r w:rsidR="00385FCC">
        <w:rPr>
          <w:rFonts w:ascii="Times New Roman" w:hAnsi="Times New Roman" w:cs="Times New Roman"/>
          <w:szCs w:val="24"/>
        </w:rPr>
        <w:t>directional</w:t>
      </w:r>
      <w:r w:rsidR="00385FCC" w:rsidRPr="00085D4C">
        <w:rPr>
          <w:rFonts w:ascii="Times New Roman" w:hAnsi="Times New Roman" w:cs="Times New Roman"/>
          <w:szCs w:val="24"/>
        </w:rPr>
        <w:t xml:space="preserve"> </w:t>
      </w:r>
      <w:r w:rsidR="00385FCC">
        <w:rPr>
          <w:rFonts w:ascii="Times New Roman" w:hAnsi="Times New Roman" w:cs="Times New Roman"/>
          <w:szCs w:val="24"/>
        </w:rPr>
        <w:t>binding energy score</w:t>
      </w:r>
      <w:r w:rsidR="00385FCC" w:rsidRPr="00085D4C">
        <w:rPr>
          <w:rFonts w:ascii="Times New Roman" w:hAnsi="Times New Roman" w:cs="Times New Roman"/>
          <w:szCs w:val="24"/>
        </w:rPr>
        <w:t xml:space="preserve"> rather than as a </w:t>
      </w:r>
      <w:r w:rsidR="00385FCC">
        <w:rPr>
          <w:rFonts w:ascii="Times New Roman" w:hAnsi="Times New Roman" w:cs="Times New Roman"/>
          <w:szCs w:val="24"/>
        </w:rPr>
        <w:t>precise</w:t>
      </w:r>
      <w:r w:rsidR="00385FCC" w:rsidRPr="00085D4C">
        <w:rPr>
          <w:rFonts w:ascii="Times New Roman" w:hAnsi="Times New Roman" w:cs="Times New Roman"/>
          <w:szCs w:val="24"/>
        </w:rPr>
        <w:t xml:space="preserve"> </w:t>
      </w:r>
      <w:r w:rsidR="00385FCC">
        <w:rPr>
          <w:rFonts w:ascii="Times New Roman" w:hAnsi="Times New Roman" w:cs="Times New Roman"/>
          <w:szCs w:val="24"/>
        </w:rPr>
        <w:t>estimate</w:t>
      </w:r>
      <w:r w:rsidR="00385FCC" w:rsidRPr="00085D4C">
        <w:rPr>
          <w:rFonts w:ascii="Times New Roman" w:hAnsi="Times New Roman" w:cs="Times New Roman"/>
          <w:szCs w:val="24"/>
        </w:rPr>
        <w:t xml:space="preserve"> for </w:t>
      </w:r>
      <w:r w:rsidR="00385FCC">
        <w:rPr>
          <w:rFonts w:ascii="Times New Roman" w:hAnsi="Times New Roman" w:cs="Times New Roman"/>
          <w:szCs w:val="24"/>
        </w:rPr>
        <w:t>RT-DOR binding affinity</w:t>
      </w:r>
      <w:r w:rsidR="00385FCC" w:rsidRPr="00085D4C">
        <w:rPr>
          <w:rFonts w:ascii="Times New Roman" w:hAnsi="Times New Roman" w:cs="Times New Roman"/>
          <w:szCs w:val="24"/>
        </w:rPr>
        <w:t>.</w:t>
      </w:r>
    </w:p>
    <w:p w14:paraId="610ADC79" w14:textId="77777777" w:rsidR="00385FCC" w:rsidRDefault="00385FCC" w:rsidP="005F52FE">
      <w:pPr>
        <w:rPr>
          <w:rFonts w:ascii="Times New Roman" w:hAnsi="Times New Roman" w:cs="Times New Roman"/>
          <w:szCs w:val="24"/>
        </w:rPr>
      </w:pPr>
    </w:p>
    <w:p w14:paraId="17AD8690" w14:textId="3A918A59" w:rsidR="005F52FE" w:rsidRDefault="00385FCC" w:rsidP="005F52FE">
      <w:pPr>
        <w:rPr>
          <w:rFonts w:ascii="Times New Roman" w:hAnsi="Times New Roman" w:cs="Times New Roman"/>
          <w:szCs w:val="24"/>
        </w:rPr>
      </w:pPr>
      <w:r>
        <w:rPr>
          <w:rFonts w:ascii="Times New Roman" w:hAnsi="Times New Roman" w:cs="Times New Roman"/>
          <w:szCs w:val="24"/>
        </w:rPr>
        <w:t>Most of the energetic components</w:t>
      </w:r>
      <w:r w:rsidR="00AA56BC">
        <w:rPr>
          <w:rFonts w:ascii="Times New Roman" w:hAnsi="Times New Roman" w:cs="Times New Roman"/>
          <w:szCs w:val="24"/>
        </w:rPr>
        <w:t xml:space="preserve"> behaved similarly. However, significant loss of RT-DOR interaction, such as loss of the aromatic pi-stacking interaction between the </w:t>
      </w:r>
      <w:r w:rsidR="00C901E6">
        <w:rPr>
          <w:rFonts w:ascii="Times New Roman" w:hAnsi="Times New Roman" w:cs="Times New Roman"/>
          <w:szCs w:val="24"/>
        </w:rPr>
        <w:t xml:space="preserve">DOR </w:t>
      </w:r>
      <w:r w:rsidR="00AA56BC">
        <w:rPr>
          <w:rFonts w:ascii="Times New Roman" w:hAnsi="Times New Roman" w:cs="Times New Roman"/>
          <w:szCs w:val="24"/>
        </w:rPr>
        <w:t>chlorophenol ring and the RT Tyr188</w:t>
      </w:r>
      <w:r w:rsidR="00C901E6">
        <w:rPr>
          <w:rFonts w:ascii="Times New Roman" w:hAnsi="Times New Roman" w:cs="Times New Roman"/>
          <w:szCs w:val="24"/>
        </w:rPr>
        <w:t xml:space="preserve"> sidechain</w:t>
      </w:r>
      <w:r w:rsidR="00AA56BC">
        <w:rPr>
          <w:rFonts w:ascii="Times New Roman" w:hAnsi="Times New Roman" w:cs="Times New Roman"/>
          <w:szCs w:val="24"/>
        </w:rPr>
        <w:t xml:space="preserve"> in Y188L simulations led to a cumulative energetic penalty of ~40kJ/mol vs WT, mainly driven by the van der Waals and polar solvation energy components. </w:t>
      </w:r>
      <w:r>
        <w:rPr>
          <w:rFonts w:ascii="Times New Roman" w:hAnsi="Times New Roman" w:cs="Times New Roman"/>
          <w:szCs w:val="24"/>
        </w:rPr>
        <w:t>Furthermore</w:t>
      </w:r>
      <w:r w:rsidR="005F52FE">
        <w:rPr>
          <w:rFonts w:ascii="Times New Roman" w:hAnsi="Times New Roman" w:cs="Times New Roman"/>
          <w:szCs w:val="24"/>
        </w:rPr>
        <w:t>, t</w:t>
      </w:r>
      <w:r w:rsidR="005F52FE" w:rsidRPr="005F52FE">
        <w:rPr>
          <w:rFonts w:ascii="Times New Roman" w:hAnsi="Times New Roman" w:cs="Times New Roman"/>
          <w:szCs w:val="24"/>
        </w:rPr>
        <w:t>he weak but statistically significant association observed for the electrostatic component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electrostatic reorganization </w:t>
      </w:r>
      <w:r w:rsidR="005F52FE">
        <w:rPr>
          <w:rFonts w:ascii="Times New Roman" w:hAnsi="Times New Roman" w:cs="Times New Roman"/>
          <w:szCs w:val="24"/>
        </w:rPr>
        <w:t>in the NNIBP may be more informative.</w:t>
      </w:r>
    </w:p>
    <w:p w14:paraId="5FADE4AB" w14:textId="77777777" w:rsidR="005F52FE" w:rsidRPr="005F52FE" w:rsidRDefault="005F52FE" w:rsidP="005F52FE">
      <w:pPr>
        <w:rPr>
          <w:rFonts w:ascii="Times New Roman" w:hAnsi="Times New Roman" w:cs="Times New Roman"/>
          <w:szCs w:val="24"/>
        </w:rPr>
      </w:pPr>
    </w:p>
    <w:p w14:paraId="77100572" w14:textId="1705B165" w:rsidR="005F52FE" w:rsidRDefault="005F52FE" w:rsidP="005F52FE">
      <w:pPr>
        <w:rPr>
          <w:rFonts w:ascii="Times New Roman" w:hAnsi="Times New Roman" w:cs="Times New Roman"/>
          <w:szCs w:val="24"/>
        </w:rPr>
      </w:pPr>
      <w:r>
        <w:rPr>
          <w:rFonts w:ascii="Times New Roman" w:hAnsi="Times New Roman" w:cs="Times New Roman"/>
          <w:szCs w:val="24"/>
        </w:rPr>
        <w:t>Consequently, s</w:t>
      </w:r>
      <w:r w:rsidRPr="005F52FE">
        <w:rPr>
          <w:rFonts w:ascii="Times New Roman" w:hAnsi="Times New Roman" w:cs="Times New Roman"/>
          <w:szCs w:val="24"/>
        </w:rPr>
        <w:t xml:space="preserve">ystematic residue-level contact analysis revealed that different DOR-associated genotypes preferentially perturb different local regions of the pocket. V106A-containing genotypes redistributed DOR toward the </w:t>
      </w:r>
      <w:r>
        <w:rPr>
          <w:rFonts w:ascii="Times New Roman" w:hAnsi="Times New Roman" w:cs="Times New Roman"/>
          <w:szCs w:val="24"/>
        </w:rPr>
        <w:t>103-108</w:t>
      </w:r>
      <w:r w:rsidRPr="005F52FE">
        <w:rPr>
          <w:rFonts w:ascii="Times New Roman" w:hAnsi="Times New Roman" w:cs="Times New Roman"/>
          <w:szCs w:val="24"/>
        </w:rPr>
        <w:t xml:space="preserve"> </w:t>
      </w:r>
      <w:r>
        <w:rPr>
          <w:rFonts w:ascii="Times New Roman" w:hAnsi="Times New Roman" w:cs="Times New Roman"/>
          <w:szCs w:val="24"/>
        </w:rPr>
        <w:t>loop</w:t>
      </w:r>
      <w:r w:rsidRPr="005F52FE">
        <w:rPr>
          <w:rFonts w:ascii="Times New Roman" w:hAnsi="Times New Roman" w:cs="Times New Roman"/>
          <w:szCs w:val="24"/>
        </w:rPr>
        <w:t xml:space="preserve"> and favored compensatory proximity to Lys104 and Ser105. V106I+F227C achieved similarly high resistance through a different local route centered more strongly on the residue</w:t>
      </w:r>
      <w:r>
        <w:rPr>
          <w:rFonts w:ascii="Times New Roman" w:hAnsi="Times New Roman" w:cs="Times New Roman"/>
          <w:szCs w:val="24"/>
        </w:rPr>
        <w:t xml:space="preserve"> </w:t>
      </w:r>
      <w:r w:rsidRPr="005F52FE">
        <w:rPr>
          <w:rFonts w:ascii="Times New Roman" w:hAnsi="Times New Roman" w:cs="Times New Roman"/>
          <w:szCs w:val="24"/>
        </w:rPr>
        <w:t xml:space="preserve">227 region. G190E uniquely perturbed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 and weakened the Val179 side of the pocket. These observations support a model in </w:t>
      </w:r>
      <w:r w:rsidRPr="005F52FE">
        <w:rPr>
          <w:rFonts w:ascii="Times New Roman" w:hAnsi="Times New Roman" w:cs="Times New Roman"/>
          <w:szCs w:val="24"/>
        </w:rPr>
        <w:lastRenderedPageBreak/>
        <w:t>which DOR resistance emerges through multiple mechanistic classes rather than through a single generic reduction in binding strength.</w:t>
      </w:r>
    </w:p>
    <w:p w14:paraId="466E17D1" w14:textId="77777777" w:rsidR="005F52FE" w:rsidRPr="005F52FE" w:rsidRDefault="005F52FE" w:rsidP="005F52FE">
      <w:pPr>
        <w:rPr>
          <w:rFonts w:ascii="Times New Roman" w:hAnsi="Times New Roman" w:cs="Times New Roman"/>
          <w:szCs w:val="24"/>
        </w:rPr>
      </w:pPr>
    </w:p>
    <w:p w14:paraId="3CADDD07" w14:textId="28C434AB" w:rsidR="005F52FE" w:rsidRDefault="005F52FE" w:rsidP="005F52FE">
      <w:pPr>
        <w:rPr>
          <w:rFonts w:ascii="Times New Roman" w:hAnsi="Times New Roman" w:cs="Times New Roman"/>
          <w:szCs w:val="24"/>
        </w:rPr>
      </w:pPr>
      <w:r w:rsidRPr="005F52FE">
        <w:rPr>
          <w:rFonts w:ascii="Times New Roman" w:hAnsi="Times New Roman" w:cs="Times New Roman"/>
          <w:szCs w:val="24"/>
        </w:rPr>
        <w:t>This mechanistic diversity is especially important for interpreting epistasis. The V106A-containing double mutants retained the same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058551A2" w14:textId="77777777" w:rsidR="005F52FE" w:rsidRPr="005F52FE" w:rsidRDefault="005F52FE" w:rsidP="005F52FE">
      <w:pPr>
        <w:rPr>
          <w:rFonts w:ascii="Times New Roman" w:hAnsi="Times New Roman" w:cs="Times New Roman"/>
          <w:szCs w:val="24"/>
        </w:rPr>
      </w:pPr>
    </w:p>
    <w:p w14:paraId="75051DB2" w14:textId="7008EF0C" w:rsidR="005F52FE" w:rsidRDefault="005F52FE" w:rsidP="005F52FE">
      <w:pPr>
        <w:rPr>
          <w:rFonts w:ascii="Times New Roman" w:hAnsi="Times New Roman" w:cs="Times New Roman"/>
          <w:szCs w:val="24"/>
        </w:rPr>
      </w:pPr>
      <w:r w:rsidRPr="005F52FE">
        <w:rPr>
          <w:rFonts w:ascii="Times New Roman" w:hAnsi="Times New Roman" w:cs="Times New Roman"/>
          <w:szCs w:val="24"/>
        </w:rPr>
        <w:t xml:space="preserve">The logistic regression analysis supports this interpretation. The fact that a </w:t>
      </w:r>
      <w:r w:rsidR="00780AC7">
        <w:rPr>
          <w:rFonts w:ascii="Times New Roman" w:hAnsi="Times New Roman" w:cs="Times New Roman"/>
          <w:szCs w:val="24"/>
        </w:rPr>
        <w:t>four</w:t>
      </w:r>
      <w:r w:rsidRPr="005F52FE">
        <w:rPr>
          <w:rFonts w:ascii="Times New Roman" w:hAnsi="Times New Roman" w:cs="Times New Roman"/>
          <w:szCs w:val="24"/>
        </w:rPr>
        <w:t xml:space="preserve">-feature model built from Ser105-DOR distance, Tyr188-DOR distance, </w:t>
      </w:r>
      <w:r w:rsidR="00B14659">
        <w:rPr>
          <w:rFonts w:ascii="Times New Roman" w:hAnsi="Times New Roman" w:cs="Times New Roman"/>
          <w:szCs w:val="24"/>
        </w:rPr>
        <w:t xml:space="preserve">and </w:t>
      </w:r>
      <w:r w:rsidRPr="005F52FE">
        <w:rPr>
          <w:rFonts w:ascii="Times New Roman" w:hAnsi="Times New Roman" w:cs="Times New Roman"/>
          <w:szCs w:val="24"/>
        </w:rPr>
        <w:t>ligand pose RMSD</w:t>
      </w:r>
      <w:r w:rsidR="00B14659">
        <w:rPr>
          <w:rFonts w:ascii="Times New Roman" w:hAnsi="Times New Roman" w:cs="Times New Roman"/>
          <w:szCs w:val="24"/>
        </w:rPr>
        <w:t xml:space="preserve"> </w:t>
      </w:r>
      <w:r w:rsidRPr="005F52FE">
        <w:rPr>
          <w:rFonts w:ascii="Times New Roman" w:hAnsi="Times New Roman" w:cs="Times New Roman"/>
          <w:szCs w:val="24"/>
        </w:rPr>
        <w:t xml:space="preserve">could summarize the low-versus-high resistance control separation suggests that the dominant structural signals in this system are both local and low-dimensional. At the same time, the mixed performance in the </w:t>
      </w:r>
      <w:r w:rsidR="00B14659">
        <w:rPr>
          <w:rFonts w:ascii="Times New Roman" w:hAnsi="Times New Roman" w:cs="Times New Roman"/>
          <w:szCs w:val="24"/>
        </w:rPr>
        <w:t xml:space="preserve">uncertain phenotype </w:t>
      </w:r>
      <w:r w:rsidRPr="005F52FE">
        <w:rPr>
          <w:rFonts w:ascii="Times New Roman" w:hAnsi="Times New Roman" w:cs="Times New Roman"/>
          <w:szCs w:val="24"/>
        </w:rPr>
        <w:t>data set emphasizes that such a model is currently best understood as an interpretable structural summary rather than as a deployable prediction tool.</w:t>
      </w:r>
    </w:p>
    <w:p w14:paraId="4295FACF" w14:textId="77777777" w:rsidR="005F52FE" w:rsidRPr="005F52FE" w:rsidRDefault="005F52FE" w:rsidP="005F52FE">
      <w:pPr>
        <w:rPr>
          <w:rFonts w:ascii="Times New Roman" w:hAnsi="Times New Roman" w:cs="Times New Roman"/>
          <w:szCs w:val="24"/>
        </w:rPr>
      </w:pPr>
    </w:p>
    <w:p w14:paraId="605132CB" w14:textId="28D50A3D" w:rsidR="005F52FE" w:rsidRDefault="005F52FE" w:rsidP="005F52FE">
      <w:pPr>
        <w:rPr>
          <w:rFonts w:ascii="Times New Roman" w:hAnsi="Times New Roman" w:cs="Times New Roman"/>
          <w:szCs w:val="24"/>
        </w:rPr>
      </w:pPr>
      <w:r w:rsidRPr="005F52FE">
        <w:rPr>
          <w:rFonts w:ascii="Times New Roman" w:hAnsi="Times New Roman" w:cs="Times New Roman"/>
          <w:szCs w:val="24"/>
        </w:rPr>
        <w:t>Several limitations should frame the interpretation of this work. First, the simulations were short relative to the conformational and kinetic timescales relevant to RT-</w:t>
      </w:r>
      <w:r>
        <w:rPr>
          <w:rFonts w:ascii="Times New Roman" w:hAnsi="Times New Roman" w:cs="Times New Roman"/>
          <w:szCs w:val="24"/>
        </w:rPr>
        <w:t>DOR</w:t>
      </w:r>
      <w:r w:rsidRPr="005F52FE">
        <w:rPr>
          <w:rFonts w:ascii="Times New Roman" w:hAnsi="Times New Roman" w:cs="Times New Roman"/>
          <w:szCs w:val="24"/>
        </w:rPr>
        <w:t xml:space="preserve"> binding, so </w:t>
      </w:r>
      <w:r>
        <w:rPr>
          <w:rFonts w:ascii="Times New Roman" w:hAnsi="Times New Roman" w:cs="Times New Roman"/>
          <w:szCs w:val="24"/>
        </w:rPr>
        <w:t>there are likely</w:t>
      </w:r>
      <w:r w:rsidRPr="005F52FE">
        <w:rPr>
          <w:rFonts w:ascii="Times New Roman" w:hAnsi="Times New Roman" w:cs="Times New Roman"/>
          <w:szCs w:val="24"/>
        </w:rPr>
        <w:t xml:space="preserve"> mechanistically important events </w:t>
      </w:r>
      <w:r>
        <w:rPr>
          <w:rFonts w:ascii="Times New Roman" w:hAnsi="Times New Roman" w:cs="Times New Roman"/>
          <w:szCs w:val="24"/>
        </w:rPr>
        <w:t xml:space="preserve">that </w:t>
      </w:r>
      <w:r w:rsidRPr="005F52FE">
        <w:rPr>
          <w:rFonts w:ascii="Times New Roman" w:hAnsi="Times New Roman" w:cs="Times New Roman"/>
          <w:szCs w:val="24"/>
        </w:rPr>
        <w:t xml:space="preserve">remain unsampled. Second, the </w:t>
      </w:r>
      <w:r w:rsidR="00B14659">
        <w:rPr>
          <w:rFonts w:ascii="Times New Roman" w:hAnsi="Times New Roman" w:cs="Times New Roman"/>
          <w:szCs w:val="24"/>
        </w:rPr>
        <w:t>logistic regression</w:t>
      </w:r>
      <w:r w:rsidRPr="005F52FE">
        <w:rPr>
          <w:rFonts w:ascii="Times New Roman" w:hAnsi="Times New Roman" w:cs="Times New Roman"/>
          <w:szCs w:val="24"/>
        </w:rPr>
        <w:t xml:space="preserve"> classifier is constrained by small sample size and by the difficulty of drawing hard class boundaries in a sparse phenotype landscape.</w:t>
      </w:r>
    </w:p>
    <w:p w14:paraId="547BD018" w14:textId="77777777" w:rsidR="005F52FE" w:rsidRPr="005F52FE" w:rsidRDefault="005F52FE" w:rsidP="005F52FE">
      <w:pPr>
        <w:rPr>
          <w:rFonts w:ascii="Times New Roman" w:hAnsi="Times New Roman" w:cs="Times New Roman"/>
          <w:szCs w:val="24"/>
        </w:rPr>
      </w:pPr>
    </w:p>
    <w:p w14:paraId="674C4E0B" w14:textId="53CDE2AF" w:rsidR="00BB3608" w:rsidRDefault="005F52FE" w:rsidP="005F52FE">
      <w:pPr>
        <w:rPr>
          <w:rFonts w:ascii="Times New Roman" w:hAnsi="Times New Roman" w:cs="Times New Roman"/>
          <w:szCs w:val="24"/>
        </w:rPr>
      </w:pPr>
      <w:r w:rsidRPr="005F52FE">
        <w:rPr>
          <w:rFonts w:ascii="Times New Roman" w:hAnsi="Times New Roman" w:cs="Times New Roman"/>
          <w:szCs w:val="24"/>
        </w:rPr>
        <w:t xml:space="preserve">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hairpin-mediated resistance pathways.</w:t>
      </w:r>
    </w:p>
    <w:p w14:paraId="6CC17687" w14:textId="77777777" w:rsidR="007B0373" w:rsidRDefault="007B0373" w:rsidP="00D27076">
      <w:pPr>
        <w:rPr>
          <w:rFonts w:ascii="Times New Roman" w:hAnsi="Times New Roman" w:cs="Times New Roman"/>
          <w:szCs w:val="24"/>
        </w:rPr>
      </w:pPr>
    </w:p>
    <w:p w14:paraId="0DA0AD89" w14:textId="237FF2FB" w:rsidR="00763B1D" w:rsidRPr="00763B1D"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49F3F042" w14:textId="77777777" w:rsidR="00763B1D" w:rsidRDefault="00763B1D" w:rsidP="00D27076">
      <w:pPr>
        <w:rPr>
          <w:rFonts w:ascii="Times New Roman" w:hAnsi="Times New Roman" w:cs="Times New Roman"/>
          <w:szCs w:val="24"/>
        </w:rPr>
      </w:pPr>
    </w:p>
    <w:p w14:paraId="48236484" w14:textId="77777777" w:rsidR="00763B1D" w:rsidRPr="00763B1D" w:rsidRDefault="00763B1D" w:rsidP="00763B1D">
      <w:pPr>
        <w:pStyle w:val="Bibliography"/>
        <w:rPr>
          <w:rFonts w:ascii="Times New Roman" w:eastAsiaTheme="minorHAnsi" w:hAnsi="Times New Roman" w:cs="Times New Roman"/>
        </w:rPr>
      </w:pPr>
      <w:r>
        <w:rPr>
          <w:rFonts w:cs="Times New Roman"/>
        </w:rPr>
        <w:fldChar w:fldCharType="begin"/>
      </w:r>
      <w:r>
        <w:rPr>
          <w:rFonts w:cs="Times New Roman"/>
        </w:rPr>
        <w:instrText xml:space="preserve"> ADDIN ZOTERO_BIBL {"uncited":[],"omitted":[],"custom":[]} CSL_BIBLIOGRAPHY </w:instrText>
      </w:r>
      <w:r>
        <w:rPr>
          <w:rFonts w:cs="Times New Roman"/>
        </w:rPr>
        <w:fldChar w:fldCharType="separate"/>
      </w:r>
      <w:r w:rsidRPr="00763B1D">
        <w:rPr>
          <w:rFonts w:ascii="Times New Roman" w:eastAsiaTheme="minorHAnsi" w:hAnsi="Times New Roman" w:cs="Times New Roman"/>
        </w:rPr>
        <w:t>1.</w:t>
      </w:r>
      <w:r w:rsidRPr="00763B1D">
        <w:rPr>
          <w:rFonts w:ascii="Times New Roman" w:eastAsiaTheme="minorHAnsi" w:hAnsi="Times New Roman" w:cs="Times New Roman"/>
        </w:rPr>
        <w:tab/>
        <w:t xml:space="preserve">Hsiou, Y. </w:t>
      </w:r>
      <w:r w:rsidRPr="00763B1D">
        <w:rPr>
          <w:rFonts w:ascii="Times New Roman" w:eastAsiaTheme="minorHAnsi" w:hAnsi="Times New Roman" w:cs="Times New Roman"/>
          <w:i/>
          <w:iCs/>
        </w:rPr>
        <w:t>et al.</w:t>
      </w:r>
      <w:r w:rsidRPr="00763B1D">
        <w:rPr>
          <w:rFonts w:ascii="Times New Roman" w:eastAsiaTheme="minorHAnsi" w:hAnsi="Times New Roman" w:cs="Times New Roman"/>
        </w:rPr>
        <w:t xml:space="preserve"> The Lys103Asn mutation of HIV-1 RT: a novel mechanism of drug resistance1. </w:t>
      </w:r>
      <w:r w:rsidRPr="00763B1D">
        <w:rPr>
          <w:rFonts w:ascii="Times New Roman" w:eastAsiaTheme="minorHAnsi" w:hAnsi="Times New Roman" w:cs="Times New Roman"/>
          <w:i/>
          <w:iCs/>
        </w:rPr>
        <w:t>Journal of Molecular Biology</w:t>
      </w:r>
      <w:r w:rsidRPr="00763B1D">
        <w:rPr>
          <w:rFonts w:ascii="Times New Roman" w:eastAsiaTheme="minorHAnsi" w:hAnsi="Times New Roman" w:cs="Times New Roman"/>
        </w:rPr>
        <w:t xml:space="preserve"> </w:t>
      </w:r>
      <w:r w:rsidRPr="00763B1D">
        <w:rPr>
          <w:rFonts w:ascii="Times New Roman" w:eastAsiaTheme="minorHAnsi" w:hAnsi="Times New Roman" w:cs="Times New Roman"/>
          <w:b/>
          <w:bCs/>
        </w:rPr>
        <w:t>309</w:t>
      </w:r>
      <w:r w:rsidRPr="00763B1D">
        <w:rPr>
          <w:rFonts w:ascii="Times New Roman" w:eastAsiaTheme="minorHAnsi" w:hAnsi="Times New Roman" w:cs="Times New Roman"/>
        </w:rPr>
        <w:t>, 437–445 (2001).</w:t>
      </w:r>
    </w:p>
    <w:p w14:paraId="10D40681" w14:textId="77777777" w:rsidR="00763B1D" w:rsidRPr="00763B1D" w:rsidRDefault="00763B1D" w:rsidP="00763B1D">
      <w:pPr>
        <w:pStyle w:val="Bibliography"/>
        <w:rPr>
          <w:rFonts w:ascii="Times New Roman" w:eastAsiaTheme="minorHAnsi" w:hAnsi="Times New Roman" w:cs="Times New Roman"/>
        </w:rPr>
      </w:pPr>
      <w:r w:rsidRPr="00763B1D">
        <w:rPr>
          <w:rFonts w:ascii="Times New Roman" w:eastAsiaTheme="minorHAnsi" w:hAnsi="Times New Roman" w:cs="Times New Roman"/>
        </w:rPr>
        <w:t>2.</w:t>
      </w:r>
      <w:r w:rsidRPr="00763B1D">
        <w:rPr>
          <w:rFonts w:ascii="Times New Roman" w:eastAsiaTheme="minorHAnsi" w:hAnsi="Times New Roman" w:cs="Times New Roman"/>
        </w:rPr>
        <w:tab/>
        <w:t xml:space="preserve">Geitmann, M., </w:t>
      </w:r>
      <w:proofErr w:type="spellStart"/>
      <w:r w:rsidRPr="00763B1D">
        <w:rPr>
          <w:rFonts w:ascii="Times New Roman" w:eastAsiaTheme="minorHAnsi" w:hAnsi="Times New Roman" w:cs="Times New Roman"/>
        </w:rPr>
        <w:t>Unge</w:t>
      </w:r>
      <w:proofErr w:type="spellEnd"/>
      <w:r w:rsidRPr="00763B1D">
        <w:rPr>
          <w:rFonts w:ascii="Times New Roman" w:eastAsiaTheme="minorHAnsi" w:hAnsi="Times New Roman" w:cs="Times New Roman"/>
        </w:rPr>
        <w:t xml:space="preserve">, T. &amp; Danielson, U. H. Interaction Kinetic Characterization of HIV-1 Reverse Transcriptase Non-nucleoside Inhibitor Resistance. </w:t>
      </w:r>
      <w:r w:rsidRPr="00763B1D">
        <w:rPr>
          <w:rFonts w:ascii="Times New Roman" w:eastAsiaTheme="minorHAnsi" w:hAnsi="Times New Roman" w:cs="Times New Roman"/>
          <w:i/>
          <w:iCs/>
        </w:rPr>
        <w:t>J. Med. Chem.</w:t>
      </w:r>
      <w:r w:rsidRPr="00763B1D">
        <w:rPr>
          <w:rFonts w:ascii="Times New Roman" w:eastAsiaTheme="minorHAnsi" w:hAnsi="Times New Roman" w:cs="Times New Roman"/>
        </w:rPr>
        <w:t xml:space="preserve"> </w:t>
      </w:r>
      <w:r w:rsidRPr="00763B1D">
        <w:rPr>
          <w:rFonts w:ascii="Times New Roman" w:eastAsiaTheme="minorHAnsi" w:hAnsi="Times New Roman" w:cs="Times New Roman"/>
          <w:b/>
          <w:bCs/>
        </w:rPr>
        <w:t>49</w:t>
      </w:r>
      <w:r w:rsidRPr="00763B1D">
        <w:rPr>
          <w:rFonts w:ascii="Times New Roman" w:eastAsiaTheme="minorHAnsi" w:hAnsi="Times New Roman" w:cs="Times New Roman"/>
        </w:rPr>
        <w:t>, 2375–2387 (2006).</w:t>
      </w:r>
    </w:p>
    <w:p w14:paraId="310A4194" w14:textId="77777777" w:rsidR="00763B1D" w:rsidRPr="00763B1D" w:rsidRDefault="00763B1D" w:rsidP="00763B1D">
      <w:pPr>
        <w:pStyle w:val="Bibliography"/>
        <w:rPr>
          <w:rFonts w:ascii="Times New Roman" w:eastAsiaTheme="minorHAnsi" w:hAnsi="Times New Roman" w:cs="Times New Roman"/>
        </w:rPr>
      </w:pPr>
      <w:r w:rsidRPr="00763B1D">
        <w:rPr>
          <w:rFonts w:ascii="Times New Roman" w:eastAsiaTheme="minorHAnsi" w:hAnsi="Times New Roman" w:cs="Times New Roman"/>
        </w:rPr>
        <w:lastRenderedPageBreak/>
        <w:t>3.</w:t>
      </w:r>
      <w:r w:rsidRPr="00763B1D">
        <w:rPr>
          <w:rFonts w:ascii="Times New Roman" w:eastAsiaTheme="minorHAnsi" w:hAnsi="Times New Roman" w:cs="Times New Roman"/>
        </w:rPr>
        <w:tab/>
        <w:t xml:space="preserve">Srivastava, A., </w:t>
      </w:r>
      <w:proofErr w:type="spellStart"/>
      <w:r w:rsidRPr="00763B1D">
        <w:rPr>
          <w:rFonts w:ascii="Times New Roman" w:eastAsiaTheme="minorHAnsi" w:hAnsi="Times New Roman" w:cs="Times New Roman"/>
        </w:rPr>
        <w:t>Birari</w:t>
      </w:r>
      <w:proofErr w:type="spellEnd"/>
      <w:r w:rsidRPr="00763B1D">
        <w:rPr>
          <w:rFonts w:ascii="Times New Roman" w:eastAsiaTheme="minorHAnsi" w:hAnsi="Times New Roman" w:cs="Times New Roman"/>
        </w:rPr>
        <w:t xml:space="preserve">, V. &amp; Sinha, S. Small Conformational Changes Underlie Evolution of Resistance to NNRTI in HIV Reverse Transcriptase. </w:t>
      </w:r>
      <w:r w:rsidRPr="00763B1D">
        <w:rPr>
          <w:rFonts w:ascii="Times New Roman" w:eastAsiaTheme="minorHAnsi" w:hAnsi="Times New Roman" w:cs="Times New Roman"/>
          <w:i/>
          <w:iCs/>
        </w:rPr>
        <w:t>Biophysical Journal</w:t>
      </w:r>
      <w:r w:rsidRPr="00763B1D">
        <w:rPr>
          <w:rFonts w:ascii="Times New Roman" w:eastAsiaTheme="minorHAnsi" w:hAnsi="Times New Roman" w:cs="Times New Roman"/>
        </w:rPr>
        <w:t xml:space="preserve"> </w:t>
      </w:r>
      <w:r w:rsidRPr="00763B1D">
        <w:rPr>
          <w:rFonts w:ascii="Times New Roman" w:eastAsiaTheme="minorHAnsi" w:hAnsi="Times New Roman" w:cs="Times New Roman"/>
          <w:b/>
          <w:bCs/>
        </w:rPr>
        <w:t>118</w:t>
      </w:r>
      <w:r w:rsidRPr="00763B1D">
        <w:rPr>
          <w:rFonts w:ascii="Times New Roman" w:eastAsiaTheme="minorHAnsi" w:hAnsi="Times New Roman" w:cs="Times New Roman"/>
        </w:rPr>
        <w:t>, 2489–2501 (2020).</w:t>
      </w:r>
    </w:p>
    <w:p w14:paraId="22A16918" w14:textId="7182A5E0" w:rsidR="007B0373" w:rsidRPr="00BB3608" w:rsidRDefault="00763B1D" w:rsidP="00D27076">
      <w:pPr>
        <w:rPr>
          <w:rFonts w:ascii="Times New Roman" w:hAnsi="Times New Roman" w:cs="Times New Roman"/>
          <w:szCs w:val="24"/>
        </w:rPr>
      </w:pPr>
      <w:r>
        <w:rPr>
          <w:rFonts w:ascii="Times New Roman" w:hAnsi="Times New Roman" w:cs="Times New Roman"/>
          <w:szCs w:val="24"/>
        </w:rPr>
        <w:fldChar w:fldCharType="end"/>
      </w:r>
    </w:p>
    <w:sectPr w:rsidR="007B0373" w:rsidRPr="00BB3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60CC"/>
    <w:rsid w:val="000366F8"/>
    <w:rsid w:val="00040531"/>
    <w:rsid w:val="000538DD"/>
    <w:rsid w:val="00085D4C"/>
    <w:rsid w:val="00097E02"/>
    <w:rsid w:val="000B178E"/>
    <w:rsid w:val="000B4D8C"/>
    <w:rsid w:val="000C068E"/>
    <w:rsid w:val="000D17F2"/>
    <w:rsid w:val="000E328A"/>
    <w:rsid w:val="000F1E0E"/>
    <w:rsid w:val="00106118"/>
    <w:rsid w:val="00120227"/>
    <w:rsid w:val="00132E9B"/>
    <w:rsid w:val="001550B3"/>
    <w:rsid w:val="0015518B"/>
    <w:rsid w:val="00155503"/>
    <w:rsid w:val="001823FD"/>
    <w:rsid w:val="00190719"/>
    <w:rsid w:val="001D0F7D"/>
    <w:rsid w:val="001E4A2E"/>
    <w:rsid w:val="001F0A69"/>
    <w:rsid w:val="002023D5"/>
    <w:rsid w:val="00230A01"/>
    <w:rsid w:val="0023650E"/>
    <w:rsid w:val="00262F5D"/>
    <w:rsid w:val="00276BFB"/>
    <w:rsid w:val="002776BF"/>
    <w:rsid w:val="00277ED3"/>
    <w:rsid w:val="002902D1"/>
    <w:rsid w:val="002B5128"/>
    <w:rsid w:val="002B62B1"/>
    <w:rsid w:val="002B6DFB"/>
    <w:rsid w:val="002C427F"/>
    <w:rsid w:val="002F6EA2"/>
    <w:rsid w:val="00304F6D"/>
    <w:rsid w:val="00325C5A"/>
    <w:rsid w:val="00335759"/>
    <w:rsid w:val="003431AA"/>
    <w:rsid w:val="003604E7"/>
    <w:rsid w:val="00385FCC"/>
    <w:rsid w:val="003919B1"/>
    <w:rsid w:val="003A584C"/>
    <w:rsid w:val="003B21EA"/>
    <w:rsid w:val="003B67BA"/>
    <w:rsid w:val="003D40B4"/>
    <w:rsid w:val="003E13C8"/>
    <w:rsid w:val="003F4B9F"/>
    <w:rsid w:val="003F6EE9"/>
    <w:rsid w:val="003F74A7"/>
    <w:rsid w:val="00406A32"/>
    <w:rsid w:val="00415C1D"/>
    <w:rsid w:val="0043131D"/>
    <w:rsid w:val="004327D7"/>
    <w:rsid w:val="00442202"/>
    <w:rsid w:val="00444107"/>
    <w:rsid w:val="00456A13"/>
    <w:rsid w:val="004574A0"/>
    <w:rsid w:val="00460C26"/>
    <w:rsid w:val="00471553"/>
    <w:rsid w:val="00473791"/>
    <w:rsid w:val="004B23D9"/>
    <w:rsid w:val="004F5449"/>
    <w:rsid w:val="005365EF"/>
    <w:rsid w:val="00542AD3"/>
    <w:rsid w:val="00544B7B"/>
    <w:rsid w:val="005478F3"/>
    <w:rsid w:val="00573E87"/>
    <w:rsid w:val="00594894"/>
    <w:rsid w:val="005C0F1B"/>
    <w:rsid w:val="005C2299"/>
    <w:rsid w:val="005D5032"/>
    <w:rsid w:val="005E5C8B"/>
    <w:rsid w:val="005F52FE"/>
    <w:rsid w:val="005F6D6C"/>
    <w:rsid w:val="00611478"/>
    <w:rsid w:val="0061294B"/>
    <w:rsid w:val="006257EC"/>
    <w:rsid w:val="00671B81"/>
    <w:rsid w:val="00687912"/>
    <w:rsid w:val="0069357F"/>
    <w:rsid w:val="006E7C0B"/>
    <w:rsid w:val="006F24CF"/>
    <w:rsid w:val="006F609B"/>
    <w:rsid w:val="00720A25"/>
    <w:rsid w:val="00737ECD"/>
    <w:rsid w:val="00755CAB"/>
    <w:rsid w:val="00763B1D"/>
    <w:rsid w:val="00780AC7"/>
    <w:rsid w:val="007B0373"/>
    <w:rsid w:val="007B75F0"/>
    <w:rsid w:val="007D1187"/>
    <w:rsid w:val="007D2CDE"/>
    <w:rsid w:val="007D445F"/>
    <w:rsid w:val="007E41BA"/>
    <w:rsid w:val="00822130"/>
    <w:rsid w:val="00834F2A"/>
    <w:rsid w:val="008572A1"/>
    <w:rsid w:val="00862498"/>
    <w:rsid w:val="008869E6"/>
    <w:rsid w:val="00897100"/>
    <w:rsid w:val="008D3AFC"/>
    <w:rsid w:val="008D424E"/>
    <w:rsid w:val="00906992"/>
    <w:rsid w:val="009247B6"/>
    <w:rsid w:val="00932D08"/>
    <w:rsid w:val="00933D82"/>
    <w:rsid w:val="00936881"/>
    <w:rsid w:val="0094185F"/>
    <w:rsid w:val="00951AB0"/>
    <w:rsid w:val="00961415"/>
    <w:rsid w:val="00970BE4"/>
    <w:rsid w:val="00982DF8"/>
    <w:rsid w:val="00985CF1"/>
    <w:rsid w:val="009B09AD"/>
    <w:rsid w:val="009B6E3A"/>
    <w:rsid w:val="009D1AB3"/>
    <w:rsid w:val="009D5DAB"/>
    <w:rsid w:val="009D67D5"/>
    <w:rsid w:val="009E3D06"/>
    <w:rsid w:val="009E48E6"/>
    <w:rsid w:val="009F33B8"/>
    <w:rsid w:val="009F7F9F"/>
    <w:rsid w:val="00A305C8"/>
    <w:rsid w:val="00A537ED"/>
    <w:rsid w:val="00A575B2"/>
    <w:rsid w:val="00AA56BC"/>
    <w:rsid w:val="00AB7308"/>
    <w:rsid w:val="00AD031C"/>
    <w:rsid w:val="00AE6586"/>
    <w:rsid w:val="00AF30BF"/>
    <w:rsid w:val="00B11FD5"/>
    <w:rsid w:val="00B14659"/>
    <w:rsid w:val="00B33B67"/>
    <w:rsid w:val="00B532B0"/>
    <w:rsid w:val="00B66B4F"/>
    <w:rsid w:val="00B750C1"/>
    <w:rsid w:val="00B81311"/>
    <w:rsid w:val="00B923F2"/>
    <w:rsid w:val="00BB3608"/>
    <w:rsid w:val="00BC4626"/>
    <w:rsid w:val="00BC7757"/>
    <w:rsid w:val="00BE0212"/>
    <w:rsid w:val="00BE6784"/>
    <w:rsid w:val="00BF3DF7"/>
    <w:rsid w:val="00C12CEB"/>
    <w:rsid w:val="00C13FA8"/>
    <w:rsid w:val="00C31C75"/>
    <w:rsid w:val="00C427E7"/>
    <w:rsid w:val="00C73676"/>
    <w:rsid w:val="00C76E0F"/>
    <w:rsid w:val="00C82BF8"/>
    <w:rsid w:val="00C84933"/>
    <w:rsid w:val="00C901E6"/>
    <w:rsid w:val="00C9045E"/>
    <w:rsid w:val="00C94FBD"/>
    <w:rsid w:val="00C965EE"/>
    <w:rsid w:val="00CB3AC6"/>
    <w:rsid w:val="00CC5E6F"/>
    <w:rsid w:val="00CD5CCF"/>
    <w:rsid w:val="00CE23B4"/>
    <w:rsid w:val="00D03D24"/>
    <w:rsid w:val="00D27076"/>
    <w:rsid w:val="00D34269"/>
    <w:rsid w:val="00D34E37"/>
    <w:rsid w:val="00D47BB9"/>
    <w:rsid w:val="00D55096"/>
    <w:rsid w:val="00D55273"/>
    <w:rsid w:val="00D86BE2"/>
    <w:rsid w:val="00D93008"/>
    <w:rsid w:val="00DA319B"/>
    <w:rsid w:val="00DC2082"/>
    <w:rsid w:val="00DC5E99"/>
    <w:rsid w:val="00DC7721"/>
    <w:rsid w:val="00DD72F4"/>
    <w:rsid w:val="00E049D2"/>
    <w:rsid w:val="00E06057"/>
    <w:rsid w:val="00E278A5"/>
    <w:rsid w:val="00E31695"/>
    <w:rsid w:val="00E340E6"/>
    <w:rsid w:val="00E7021E"/>
    <w:rsid w:val="00E8192C"/>
    <w:rsid w:val="00EA6B72"/>
    <w:rsid w:val="00ED1B78"/>
    <w:rsid w:val="00EE01CA"/>
    <w:rsid w:val="00EE65AE"/>
    <w:rsid w:val="00F2303F"/>
    <w:rsid w:val="00F4076A"/>
    <w:rsid w:val="00F45CA6"/>
    <w:rsid w:val="00F501B3"/>
    <w:rsid w:val="00F5517A"/>
    <w:rsid w:val="00F67A84"/>
    <w:rsid w:val="00FA68FF"/>
    <w:rsid w:val="00FD5AE8"/>
    <w:rsid w:val="00FE16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608"/>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13</cp:revision>
  <dcterms:created xsi:type="dcterms:W3CDTF">2026-05-18T20:24:00Z</dcterms:created>
  <dcterms:modified xsi:type="dcterms:W3CDTF">2026-05-20T18:01:00Z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id="lxHVp6m0"/&gt;&lt;style id="http://www.zotero.org/styles/nature" hasBibliography="1" bibliographyStyleHasBeenSet="1"/&gt;&lt;prefs&gt;&lt;pref name="fieldType" value="Field"/&gt;&lt;/prefs&gt;&lt;/data&gt;</vt:lpwstr>
  </property>
</Properties>
</file>