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rPr/>
        <w:t xml:space="preserve">Contents</w:t>
      </w:r>
    </w:p>
    <w:p>
      <w:pPr>
        <w:pStyle w:val="Heading1"/>
      </w:pPr>
      <w:r>
        <w:rPr>
          <w:color w:val="FF0000"/>
        </w:rPr>
        <w:t xml:space="preserve">1  Finite-size corrections for the charge-changing alchemical legs</w:t>
      </w:r>
    </w:p>
    <w:p>
      <w:pPr>
        <w:pStyle w:val="Heading1"/>
      </w:pPr>
      <w:r>
        <w:rPr>
          <w:color w:val="FF0000"/>
        </w:rPr>
        <w:t xml:space="preserve">2  Sensitivity of the MM/GBSA energies to the ligand charge model</w:t>
      </w:r>
    </w:p>
    <w:p>
      <w:pPr>
        <w:pStyle w:val="Heading1"/>
      </w:pPr>
      <w:r>
        <w:rPr>
          <w:color w:val="FF0000"/>
        </w:rPr>
        <w:t xml:space="preserve">3  Sensitivity of the MM/GBSA energies to the snapshot relaxation protocol</w:t>
      </w:r>
    </w:p>
    <w:p>
      <w:pPr>
        <w:pStyle w:val="Heading1"/>
      </w:pPr>
      <w:r>
        <w:rPr>
          <w:color w:val="FF0000"/>
        </w:rPr>
        <w:t xml:space="preserve">4  Conformation of the unliganded binding pocket</w:t>
      </w:r>
    </w:p>
    <w:p>
      <w:pPr>
        <w:pStyle w:val="Heading1"/>
      </w:pPr>
      <w:r>
        <w:rPr>
          <w:color w:val="FF0000"/>
        </w:rP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Heading1"/>
      </w:pPr>
      <w:r>
        <w:rPr>
          <w:color w:val="FF0000"/>
        </w:rP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The shaded band, drawn for wild type alone to keep the panel legible, is the 95% chi-square interval on a standard error estimated from that number of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3453265"/>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3453265"/>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