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rPr>
          <w:color w:val="FF0000"/>
        </w:rPr>
        <w:lastRenderedPageBreak/>
        <w:t xml:space="preserve">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under single-point evaluation and under hydrogen-only relaxation with heavy atoms restrained (Supplementary Note 4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rPr>
          <w:color w:val="FF0000"/>
        </w:rP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rPr>
          <w:color w:val="FF0000"/>
        </w:rPr>
        <w:t>(Supplementary Note 1)</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w:t>
      </w:r>
      <w:r w:rsidR="007C4C4D">
        <w:rPr>
          <w:color w:val="FF0000"/>
        </w:rPr>
        <w:t>minus</w:t>
      </w:r>
      <w:r>
        <w:rPr>
          <w:color w:val="FF0000"/>
        </w:rPr>
        <w:t xml:space="preserve"> its standard error over replicates, exceeded +0.5 kcal/mol, approximately k</w:t>
      </w:r>
      <w:r w:rsidRPr="007C4C4D">
        <w:rPr>
          <w:color w:val="FF0000"/>
          <w:vertAlign w:val="subscript"/>
        </w:rPr>
        <w:t>B</w:t>
      </w:r>
      <w:r>
        <w:rPr>
          <w:color w:val="FF0000"/>
        </w:rPr>
        <w:t>T at 300 K, and as predicted-susceptible otherwise. This cutoff was fixed a priori from the thermal energy rather than fitted to the panel.</w:t>
      </w:r>
    </w:p>
    <w:p w14:paraId="66920146" w14:textId="5F20EC03" w:rsidR="00766EBA" w:rsidRPr="003960AE" w:rsidRDefault="00D53F77" w:rsidP="003960AE">
      <w:pPr>
        <w:pStyle w:val="TAMainText"/>
        <w:spacing w:after="240"/>
      </w:pPr>
      <w:r>
        <w:rPr>
          <w:color w:val="FF0000"/>
        </w:rPr>
        <w:t xml:space="preserve">Convergence diagnostics. For a time series x1 … xN of a structural observable with mean x̄, sampled at interval Δt, the normalised autocorrelation function was computed as C(τ) = Σt (xt − x̄)(xt+τ − x̄) / Σt (xt − x̄)², taken over t = 1 … N−τ in the numerator and t = 1 … N in the denominator, so that C(0) = 1; lags are reported as τΔt in nanoseconds. For block averaging, each series was partitioned into M = ⌊N/n⌋ non-overlapping blocks of length n with block means x̄b = n−1 Σ xt over the n frames of block b. The standard error of the mean implied by that block length is SEM(n) = [ Σb (x̄b − x̄)² / (M(M − 1)) ]^(1/2), and the statistical inefficiency is g(n) = [SEM(n) / SEM(1)]², where SEM(1) = s/√N is the naive estimate that assumes independent frames and s is the sample standard deviation. The effective number of independent samples is Neff = N/g.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rPr>
          <w:color w:val="FF0000"/>
        </w:rPr>
        <w:t>erefore</w:t>
      </w:r>
      <w:r w:rsidR="00F75255">
        <w:rPr>
          <w:color w:val="FF0000"/>
        </w:rPr>
        <w:t>,</w:t>
      </w:r>
      <w:r>
        <w:rPr>
          <w:color w:val="FF0000"/>
        </w:rPr>
        <w:t xml:space="preserve"> outside </w:t>
      </w:r>
      <w:r w:rsidR="00F75255">
        <w:rPr>
          <w:color w:val="FF0000"/>
        </w:rPr>
        <w:t>the scope of our measurements</w:t>
      </w:r>
      <w:r>
        <w:rPr>
          <w:color w:val="FF0000"/>
        </w:rP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rPr>
          <w:color w:val="FF0000"/>
        </w:rP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rPr>
          <w:color w:val="FF0000"/>
        </w:rPr>
        <w:lastRenderedPageBreak/>
        <w:t xml:space="preserve">between the two states was larger than in wild type for all three genotypes whose ΔΔGbind misses the phenotype (Supplementary Note 3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rPr>
          <w:color w:val="FF0000"/>
        </w:rP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